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A0FFFE">
      <w:pPr>
        <w:keepNext w:val="0"/>
        <w:keepLines w:val="0"/>
        <w:pageBreakBefore w:val="0"/>
        <w:widowControl w:val="0"/>
        <w:kinsoku/>
        <w:wordWrap/>
        <w:overflowPunct/>
        <w:topLinePunct w:val="0"/>
        <w:autoSpaceDE/>
        <w:autoSpaceDN/>
        <w:bidi w:val="0"/>
        <w:adjustRightInd w:val="0"/>
        <w:snapToGrid w:val="0"/>
        <w:ind w:firstLine="0"/>
        <w:textAlignment w:val="auto"/>
        <w:rPr>
          <w:color w:val="auto"/>
          <w:sz w:val="36"/>
          <w:szCs w:val="36"/>
        </w:rPr>
      </w:pPr>
      <w:r>
        <w:rPr>
          <w:rFonts w:hint="eastAsia"/>
          <w:color w:val="auto"/>
          <w:sz w:val="36"/>
          <w:szCs w:val="36"/>
        </w:rPr>
        <w:t xml:space="preserve"> </w:t>
      </w:r>
      <w:r>
        <w:rPr>
          <w:rFonts w:eastAsia="仿宋_GB2312"/>
          <w:color w:val="auto"/>
          <w:sz w:val="36"/>
          <w:szCs w:val="36"/>
        </w:rPr>
        <w:drawing>
          <wp:inline distT="0" distB="0" distL="114300" distR="114300">
            <wp:extent cx="885190" cy="862965"/>
            <wp:effectExtent l="0" t="0" r="10160" b="1333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0" cstate="print"/>
                    <a:stretch>
                      <a:fillRect/>
                    </a:stretch>
                  </pic:blipFill>
                  <pic:spPr>
                    <a:xfrm>
                      <a:off x="0" y="0"/>
                      <a:ext cx="885190" cy="862965"/>
                    </a:xfrm>
                    <a:prstGeom prst="rect">
                      <a:avLst/>
                    </a:prstGeom>
                    <a:noFill/>
                    <a:ln>
                      <a:noFill/>
                    </a:ln>
                  </pic:spPr>
                </pic:pic>
              </a:graphicData>
            </a:graphic>
          </wp:inline>
        </w:drawing>
      </w:r>
    </w:p>
    <w:p w14:paraId="0483CE7E">
      <w:pPr>
        <w:keepNext w:val="0"/>
        <w:keepLines w:val="0"/>
        <w:pageBreakBefore w:val="0"/>
        <w:widowControl w:val="0"/>
        <w:kinsoku/>
        <w:wordWrap/>
        <w:overflowPunct/>
        <w:topLinePunct w:val="0"/>
        <w:autoSpaceDE/>
        <w:autoSpaceDN/>
        <w:bidi w:val="0"/>
        <w:adjustRightInd w:val="0"/>
        <w:snapToGrid w:val="0"/>
        <w:ind w:firstLine="0"/>
        <w:textAlignment w:val="auto"/>
        <w:rPr>
          <w:color w:val="auto"/>
          <w:sz w:val="36"/>
          <w:szCs w:val="36"/>
        </w:rPr>
      </w:pPr>
    </w:p>
    <w:p w14:paraId="486C585D">
      <w:pPr>
        <w:keepNext w:val="0"/>
        <w:keepLines w:val="0"/>
        <w:pageBreakBefore w:val="0"/>
        <w:widowControl w:val="0"/>
        <w:kinsoku/>
        <w:wordWrap/>
        <w:overflowPunct/>
        <w:topLinePunct w:val="0"/>
        <w:autoSpaceDE/>
        <w:autoSpaceDN/>
        <w:bidi w:val="0"/>
        <w:adjustRightInd w:val="0"/>
        <w:snapToGrid w:val="0"/>
        <w:ind w:firstLine="0"/>
        <w:textAlignment w:val="auto"/>
        <w:rPr>
          <w:color w:val="auto"/>
          <w:sz w:val="36"/>
          <w:szCs w:val="36"/>
        </w:rPr>
      </w:pPr>
    </w:p>
    <w:p w14:paraId="2A773650">
      <w:pPr>
        <w:keepNext w:val="0"/>
        <w:keepLines w:val="0"/>
        <w:pageBreakBefore w:val="0"/>
        <w:widowControl w:val="0"/>
        <w:kinsoku/>
        <w:wordWrap/>
        <w:overflowPunct/>
        <w:topLinePunct w:val="0"/>
        <w:autoSpaceDE/>
        <w:autoSpaceDN/>
        <w:bidi w:val="0"/>
        <w:adjustRightInd w:val="0"/>
        <w:snapToGrid w:val="0"/>
        <w:ind w:firstLine="0"/>
        <w:textAlignment w:val="auto"/>
        <w:rPr>
          <w:color w:val="auto"/>
          <w:sz w:val="36"/>
          <w:szCs w:val="36"/>
        </w:rPr>
      </w:pPr>
      <w:r>
        <w:rPr>
          <w:rFonts w:hint="eastAsia"/>
          <w:color w:val="auto"/>
          <w:sz w:val="36"/>
          <w:szCs w:val="36"/>
        </w:rPr>
        <w:t xml:space="preserve">  </w:t>
      </w:r>
    </w:p>
    <w:p w14:paraId="2E35242F">
      <w:pPr>
        <w:keepNext w:val="0"/>
        <w:keepLines w:val="0"/>
        <w:pageBreakBefore w:val="0"/>
        <w:widowControl w:val="0"/>
        <w:kinsoku/>
        <w:wordWrap/>
        <w:overflowPunct/>
        <w:topLinePunct w:val="0"/>
        <w:autoSpaceDE/>
        <w:autoSpaceDN/>
        <w:bidi w:val="0"/>
        <w:adjustRightInd w:val="0"/>
        <w:snapToGrid w:val="0"/>
        <w:ind w:firstLine="0"/>
        <w:textAlignment w:val="auto"/>
        <w:rPr>
          <w:color w:val="auto"/>
          <w:sz w:val="36"/>
          <w:szCs w:val="36"/>
        </w:rPr>
      </w:pPr>
    </w:p>
    <w:p w14:paraId="149886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bCs/>
          <w:color w:val="auto"/>
          <w:sz w:val="72"/>
          <w:szCs w:val="72"/>
        </w:rPr>
      </w:pPr>
      <w:r>
        <w:rPr>
          <w:bCs/>
          <w:color w:val="auto"/>
          <w:sz w:val="72"/>
          <w:szCs w:val="72"/>
        </w:rPr>
        <w:t>建设项目环境影响报告表</w:t>
      </w:r>
    </w:p>
    <w:p w14:paraId="2B22691E">
      <w:pPr>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auto"/>
          <w:sz w:val="48"/>
          <w:szCs w:val="48"/>
        </w:rPr>
      </w:pPr>
      <w:r>
        <w:rPr>
          <w:bCs/>
          <w:color w:val="auto"/>
          <w:sz w:val="48"/>
          <w:szCs w:val="48"/>
        </w:rPr>
        <w:t>（污染影响类）</w:t>
      </w:r>
    </w:p>
    <w:p w14:paraId="23EBA446">
      <w:pPr>
        <w:ind w:firstLine="880"/>
        <w:rPr>
          <w:color w:val="auto"/>
          <w:kern w:val="44"/>
          <w:sz w:val="44"/>
          <w:szCs w:val="44"/>
        </w:rPr>
      </w:pPr>
    </w:p>
    <w:p w14:paraId="764A8D47">
      <w:pPr>
        <w:ind w:firstLine="1040"/>
        <w:jc w:val="center"/>
        <w:rPr>
          <w:color w:val="auto"/>
          <w:sz w:val="52"/>
          <w:szCs w:val="52"/>
        </w:rPr>
      </w:pPr>
    </w:p>
    <w:p w14:paraId="01B14178">
      <w:pPr>
        <w:ind w:firstLine="880"/>
        <w:rPr>
          <w:color w:val="auto"/>
          <w:sz w:val="44"/>
          <w:szCs w:val="44"/>
        </w:rPr>
      </w:pPr>
    </w:p>
    <w:p w14:paraId="49C63B4B">
      <w:pPr>
        <w:ind w:firstLine="880"/>
        <w:rPr>
          <w:color w:val="auto"/>
          <w:sz w:val="44"/>
          <w:szCs w:val="44"/>
        </w:rPr>
      </w:pPr>
    </w:p>
    <w:p w14:paraId="77EEFC45">
      <w:pPr>
        <w:ind w:firstLine="880"/>
        <w:rPr>
          <w:color w:val="auto"/>
          <w:sz w:val="44"/>
          <w:szCs w:val="44"/>
        </w:rPr>
      </w:pPr>
      <w:bookmarkStart w:id="41" w:name="_GoBack"/>
      <w:bookmarkEnd w:id="41"/>
    </w:p>
    <w:p w14:paraId="733B79B8">
      <w:pPr>
        <w:ind w:firstLine="880"/>
        <w:rPr>
          <w:color w:val="auto"/>
          <w:sz w:val="44"/>
          <w:szCs w:val="44"/>
        </w:rPr>
      </w:pPr>
    </w:p>
    <w:p w14:paraId="7EE8A003">
      <w:pPr>
        <w:adjustRightInd w:val="0"/>
        <w:snapToGrid w:val="0"/>
        <w:spacing w:line="288" w:lineRule="auto"/>
        <w:ind w:left="2159" w:leftChars="171" w:hanging="1800" w:hangingChars="500"/>
        <w:jc w:val="both"/>
        <w:rPr>
          <w:color w:val="auto"/>
          <w:sz w:val="36"/>
          <w:szCs w:val="36"/>
          <w:u w:val="single"/>
        </w:rPr>
      </w:pPr>
      <w:r>
        <w:rPr>
          <w:color w:val="auto"/>
          <w:sz w:val="36"/>
          <w:szCs w:val="36"/>
        </w:rPr>
        <w:t>项目名称：</w:t>
      </w:r>
      <w:r>
        <w:rPr>
          <w:rFonts w:hint="eastAsia"/>
          <w:color w:val="auto"/>
          <w:sz w:val="32"/>
          <w:szCs w:val="32"/>
          <w:u w:val="single"/>
          <w:lang w:eastAsia="zh-CN"/>
        </w:rPr>
        <w:t>涟水杰特电气有限公司</w:t>
      </w:r>
      <w:r>
        <w:rPr>
          <w:rFonts w:hint="eastAsia"/>
          <w:color w:val="auto"/>
          <w:sz w:val="32"/>
          <w:szCs w:val="32"/>
          <w:u w:val="single"/>
        </w:rPr>
        <w:t>年产3万台套新型电机、变频器生产项目</w:t>
      </w:r>
    </w:p>
    <w:p w14:paraId="33EF9CBD">
      <w:pPr>
        <w:adjustRightInd w:val="0"/>
        <w:snapToGrid w:val="0"/>
        <w:spacing w:line="288" w:lineRule="auto"/>
        <w:ind w:firstLine="360" w:firstLineChars="100"/>
        <w:rPr>
          <w:color w:val="auto"/>
          <w:sz w:val="32"/>
          <w:szCs w:val="32"/>
          <w:u w:val="single"/>
        </w:rPr>
      </w:pPr>
      <w:r>
        <w:rPr>
          <w:color w:val="auto"/>
          <w:sz w:val="36"/>
          <w:szCs w:val="36"/>
        </w:rPr>
        <w:t>建设单位（盖章）：</w:t>
      </w:r>
      <w:r>
        <w:rPr>
          <w:color w:val="auto"/>
          <w:sz w:val="36"/>
          <w:szCs w:val="36"/>
          <w:u w:val="single"/>
        </w:rPr>
        <w:t xml:space="preserve"> </w:t>
      </w:r>
      <w:r>
        <w:rPr>
          <w:rFonts w:hint="eastAsia"/>
          <w:color w:val="auto"/>
          <w:sz w:val="32"/>
          <w:szCs w:val="32"/>
          <w:u w:val="single"/>
          <w:lang w:eastAsia="zh-CN"/>
        </w:rPr>
        <w:t>涟水杰特电气有限公司</w:t>
      </w:r>
      <w:r>
        <w:rPr>
          <w:color w:val="auto"/>
          <w:sz w:val="32"/>
          <w:szCs w:val="32"/>
          <w:u w:val="single"/>
        </w:rPr>
        <w:t xml:space="preserve"> </w:t>
      </w:r>
    </w:p>
    <w:p w14:paraId="3EDA3D4A">
      <w:pPr>
        <w:adjustRightInd w:val="0"/>
        <w:snapToGrid w:val="0"/>
        <w:spacing w:line="288" w:lineRule="auto"/>
        <w:ind w:firstLine="360" w:firstLineChars="100"/>
        <w:rPr>
          <w:color w:val="auto"/>
          <w:sz w:val="36"/>
          <w:szCs w:val="36"/>
        </w:rPr>
      </w:pPr>
      <w:r>
        <w:rPr>
          <w:color w:val="auto"/>
          <w:sz w:val="36"/>
          <w:szCs w:val="36"/>
        </w:rPr>
        <w:t>编  制  日  期 ：</w:t>
      </w:r>
      <w:r>
        <w:rPr>
          <w:color w:val="auto"/>
          <w:sz w:val="36"/>
          <w:szCs w:val="36"/>
          <w:u w:val="single"/>
        </w:rPr>
        <w:t xml:space="preserve">    </w:t>
      </w:r>
      <w:r>
        <w:rPr>
          <w:rFonts w:hint="eastAsia"/>
          <w:color w:val="auto"/>
          <w:sz w:val="36"/>
          <w:szCs w:val="36"/>
          <w:u w:val="single"/>
        </w:rPr>
        <w:t xml:space="preserve">  </w:t>
      </w:r>
      <w:r>
        <w:rPr>
          <w:color w:val="auto"/>
          <w:sz w:val="36"/>
          <w:szCs w:val="36"/>
          <w:u w:val="single"/>
        </w:rPr>
        <w:t xml:space="preserve"> </w:t>
      </w:r>
      <w:r>
        <w:rPr>
          <w:color w:val="auto"/>
          <w:sz w:val="32"/>
          <w:szCs w:val="32"/>
          <w:u w:val="single"/>
        </w:rPr>
        <w:t>202</w:t>
      </w:r>
      <w:r>
        <w:rPr>
          <w:rFonts w:hint="eastAsia"/>
          <w:color w:val="auto"/>
          <w:sz w:val="32"/>
          <w:szCs w:val="32"/>
          <w:u w:val="single"/>
        </w:rPr>
        <w:t>5</w:t>
      </w:r>
      <w:r>
        <w:rPr>
          <w:color w:val="auto"/>
          <w:sz w:val="32"/>
          <w:szCs w:val="32"/>
          <w:u w:val="single"/>
        </w:rPr>
        <w:t>年</w:t>
      </w:r>
      <w:r>
        <w:rPr>
          <w:rFonts w:hint="eastAsia"/>
          <w:color w:val="auto"/>
          <w:sz w:val="32"/>
          <w:szCs w:val="32"/>
          <w:u w:val="single"/>
          <w:lang w:val="en-US" w:eastAsia="zh-CN"/>
        </w:rPr>
        <w:t>4</w:t>
      </w:r>
      <w:r>
        <w:rPr>
          <w:color w:val="auto"/>
          <w:sz w:val="32"/>
          <w:szCs w:val="32"/>
          <w:u w:val="single"/>
        </w:rPr>
        <w:t>月</w:t>
      </w:r>
      <w:bookmarkStart w:id="0" w:name="_Hlk57884087"/>
      <w:r>
        <w:rPr>
          <w:color w:val="auto"/>
          <w:sz w:val="32"/>
          <w:szCs w:val="32"/>
          <w:u w:val="single"/>
        </w:rPr>
        <w:t xml:space="preserve">           </w:t>
      </w:r>
    </w:p>
    <w:p w14:paraId="38F60D4C">
      <w:pPr>
        <w:adjustRightInd w:val="0"/>
        <w:snapToGrid w:val="0"/>
        <w:spacing w:line="288" w:lineRule="auto"/>
        <w:ind w:firstLine="720"/>
        <w:rPr>
          <w:color w:val="auto"/>
          <w:sz w:val="36"/>
          <w:szCs w:val="36"/>
        </w:rPr>
      </w:pPr>
    </w:p>
    <w:p w14:paraId="5CA2EC4F">
      <w:pPr>
        <w:adjustRightInd w:val="0"/>
        <w:snapToGrid w:val="0"/>
        <w:spacing w:line="288" w:lineRule="auto"/>
        <w:ind w:firstLine="720"/>
        <w:rPr>
          <w:color w:val="auto"/>
          <w:sz w:val="36"/>
          <w:szCs w:val="36"/>
        </w:rPr>
      </w:pPr>
    </w:p>
    <w:p w14:paraId="4D336A87">
      <w:pPr>
        <w:adjustRightInd w:val="0"/>
        <w:snapToGrid w:val="0"/>
        <w:spacing w:line="288" w:lineRule="auto"/>
        <w:ind w:firstLine="720"/>
        <w:rPr>
          <w:color w:val="auto"/>
          <w:sz w:val="36"/>
          <w:szCs w:val="36"/>
        </w:rPr>
      </w:pPr>
    </w:p>
    <w:bookmarkEnd w:id="0"/>
    <w:p w14:paraId="03100C39">
      <w:pPr>
        <w:widowControl/>
        <w:spacing w:line="360" w:lineRule="auto"/>
        <w:ind w:firstLine="640"/>
        <w:rPr>
          <w:color w:val="auto"/>
          <w:kern w:val="0"/>
          <w:sz w:val="32"/>
          <w:szCs w:val="32"/>
        </w:rPr>
      </w:pPr>
    </w:p>
    <w:p w14:paraId="45B851B9">
      <w:pPr>
        <w:widowControl/>
        <w:spacing w:line="360" w:lineRule="auto"/>
        <w:ind w:left="-181" w:firstLine="640"/>
        <w:jc w:val="center"/>
        <w:rPr>
          <w:color w:val="auto"/>
          <w:kern w:val="0"/>
          <w:sz w:val="32"/>
          <w:szCs w:val="32"/>
        </w:rPr>
      </w:pPr>
    </w:p>
    <w:p w14:paraId="68ECA859">
      <w:pPr>
        <w:widowControl/>
        <w:spacing w:line="360" w:lineRule="auto"/>
        <w:ind w:left="-181" w:firstLine="640"/>
        <w:jc w:val="center"/>
        <w:rPr>
          <w:color w:val="auto"/>
          <w:kern w:val="0"/>
          <w:sz w:val="32"/>
          <w:szCs w:val="32"/>
        </w:rPr>
      </w:pPr>
    </w:p>
    <w:p w14:paraId="0A9C5874">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 w:val="32"/>
          <w:szCs w:val="32"/>
        </w:rPr>
        <w:sectPr>
          <w:headerReference r:id="rId3" w:type="default"/>
          <w:footerReference r:id="rId4" w:type="default"/>
          <w:footerReference r:id="rId5" w:type="even"/>
          <w:pgSz w:w="11907" w:h="16840"/>
          <w:pgMar w:top="1701" w:right="1418" w:bottom="1418" w:left="1701" w:header="851" w:footer="1134" w:gutter="0"/>
          <w:pgBorders>
            <w:top w:val="none" w:sz="0" w:space="0"/>
            <w:left w:val="none" w:sz="0" w:space="0"/>
            <w:bottom w:val="none" w:sz="0" w:space="0"/>
            <w:right w:val="none" w:sz="0" w:space="0"/>
          </w:pgBorders>
          <w:cols w:space="720" w:num="1"/>
          <w:docGrid w:linePitch="317" w:charSpace="0"/>
        </w:sectPr>
      </w:pPr>
      <w:r>
        <w:rPr>
          <w:color w:val="auto"/>
          <w:kern w:val="0"/>
          <w:sz w:val="32"/>
          <w:szCs w:val="32"/>
        </w:rPr>
        <w:t>中华人民共和国生态环境部制</w:t>
      </w:r>
    </w:p>
    <w:p w14:paraId="6E6F779C">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rPr>
      </w:pPr>
      <w:r>
        <w:rPr>
          <w:color w:val="auto"/>
        </w:rPr>
        <w:br w:type="page"/>
      </w:r>
    </w:p>
    <w:p w14:paraId="76ADF27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0"/>
        <w:rPr>
          <w:b/>
          <w:bCs/>
          <w:color w:val="auto"/>
          <w:sz w:val="24"/>
        </w:rPr>
      </w:pPr>
      <w:bookmarkStart w:id="1" w:name="_Toc26738"/>
      <w:r>
        <w:rPr>
          <w:b/>
          <w:bCs/>
          <w:color w:val="auto"/>
          <w:sz w:val="24"/>
        </w:rPr>
        <w:t>附件：</w:t>
      </w:r>
      <w:bookmarkEnd w:id="1"/>
    </w:p>
    <w:p w14:paraId="2322C85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color w:val="auto"/>
        </w:rPr>
      </w:pPr>
      <w:r>
        <w:rPr>
          <w:color w:val="auto"/>
          <w:sz w:val="24"/>
        </w:rPr>
        <w:t>附件1</w:t>
      </w:r>
      <w:r>
        <w:rPr>
          <w:rFonts w:hint="eastAsia"/>
          <w:color w:val="auto"/>
          <w:sz w:val="24"/>
        </w:rPr>
        <w:t>备案证</w:t>
      </w:r>
    </w:p>
    <w:p w14:paraId="6C7F214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color w:val="auto"/>
          <w:sz w:val="24"/>
        </w:rPr>
      </w:pPr>
      <w:r>
        <w:rPr>
          <w:color w:val="auto"/>
          <w:sz w:val="24"/>
        </w:rPr>
        <w:t>附件2</w:t>
      </w:r>
      <w:r>
        <w:rPr>
          <w:rFonts w:hint="eastAsia"/>
          <w:color w:val="auto"/>
          <w:sz w:val="24"/>
        </w:rPr>
        <w:t>营业执照</w:t>
      </w:r>
    </w:p>
    <w:p w14:paraId="4A8D181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color w:val="auto"/>
          <w:sz w:val="24"/>
        </w:rPr>
      </w:pPr>
      <w:r>
        <w:rPr>
          <w:color w:val="auto"/>
          <w:sz w:val="24"/>
        </w:rPr>
        <w:t>附件3</w:t>
      </w:r>
      <w:r>
        <w:rPr>
          <w:rFonts w:hint="eastAsia"/>
          <w:color w:val="auto"/>
          <w:sz w:val="24"/>
        </w:rPr>
        <w:t>法人身份证</w:t>
      </w:r>
    </w:p>
    <w:p w14:paraId="7B9A54C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color w:val="auto"/>
          <w:sz w:val="24"/>
        </w:rPr>
      </w:pPr>
      <w:r>
        <w:rPr>
          <w:rFonts w:hint="eastAsia"/>
          <w:color w:val="auto"/>
          <w:sz w:val="24"/>
        </w:rPr>
        <w:t>附件4 土地规划文件</w:t>
      </w:r>
    </w:p>
    <w:p w14:paraId="2D15079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color w:val="auto"/>
          <w:sz w:val="24"/>
        </w:rPr>
      </w:pPr>
      <w:r>
        <w:rPr>
          <w:color w:val="auto"/>
          <w:sz w:val="24"/>
        </w:rPr>
        <w:t>附件</w:t>
      </w:r>
      <w:r>
        <w:rPr>
          <w:rFonts w:hint="eastAsia"/>
          <w:color w:val="auto"/>
          <w:sz w:val="24"/>
          <w:lang w:val="en-US" w:eastAsia="zh-CN"/>
        </w:rPr>
        <w:t>5</w:t>
      </w:r>
      <w:r>
        <w:rPr>
          <w:rFonts w:hint="eastAsia"/>
          <w:color w:val="auto"/>
          <w:sz w:val="24"/>
        </w:rPr>
        <w:t xml:space="preserve"> 委托书</w:t>
      </w:r>
    </w:p>
    <w:p w14:paraId="58DE5B2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color w:val="auto"/>
          <w:sz w:val="24"/>
        </w:rPr>
      </w:pPr>
      <w:r>
        <w:rPr>
          <w:color w:val="auto"/>
          <w:sz w:val="24"/>
        </w:rPr>
        <w:t>附件</w:t>
      </w:r>
      <w:r>
        <w:rPr>
          <w:rFonts w:hint="eastAsia"/>
          <w:color w:val="auto"/>
          <w:sz w:val="24"/>
          <w:lang w:val="en-US" w:eastAsia="zh-CN"/>
        </w:rPr>
        <w:t>6</w:t>
      </w:r>
      <w:r>
        <w:rPr>
          <w:rFonts w:hint="eastAsia"/>
          <w:color w:val="auto"/>
          <w:sz w:val="24"/>
        </w:rPr>
        <w:t xml:space="preserve"> 建设单位承诺书</w:t>
      </w:r>
    </w:p>
    <w:p w14:paraId="7BBA60D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olor w:val="auto"/>
          <w:sz w:val="24"/>
        </w:rPr>
      </w:pPr>
      <w:r>
        <w:rPr>
          <w:rFonts w:hint="eastAsia"/>
          <w:color w:val="auto"/>
          <w:sz w:val="24"/>
        </w:rPr>
        <w:t>附件7 建设项目环境影响评价文件报批申请书</w:t>
      </w:r>
    </w:p>
    <w:p w14:paraId="60F76F9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color w:val="auto"/>
          <w:sz w:val="24"/>
        </w:rPr>
      </w:pPr>
      <w:r>
        <w:rPr>
          <w:rFonts w:hint="eastAsia"/>
          <w:color w:val="auto"/>
          <w:sz w:val="24"/>
        </w:rPr>
        <w:t>附件</w:t>
      </w:r>
      <w:r>
        <w:rPr>
          <w:rFonts w:hint="eastAsia"/>
          <w:color w:val="auto"/>
          <w:sz w:val="24"/>
          <w:lang w:val="en-US" w:eastAsia="zh-CN"/>
        </w:rPr>
        <w:t>8</w:t>
      </w:r>
      <w:r>
        <w:rPr>
          <w:rFonts w:hint="eastAsia"/>
          <w:color w:val="auto"/>
          <w:sz w:val="24"/>
        </w:rPr>
        <w:t xml:space="preserve"> </w:t>
      </w:r>
      <w:r>
        <w:rPr>
          <w:color w:val="auto"/>
          <w:sz w:val="24"/>
        </w:rPr>
        <w:t>政府信息公开删除内容申请表</w:t>
      </w:r>
    </w:p>
    <w:p w14:paraId="2D50140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color w:val="auto"/>
          <w:sz w:val="24"/>
        </w:rPr>
      </w:pPr>
      <w:r>
        <w:rPr>
          <w:color w:val="auto"/>
          <w:sz w:val="24"/>
        </w:rPr>
        <w:t>附件</w:t>
      </w:r>
      <w:r>
        <w:rPr>
          <w:rFonts w:hint="eastAsia"/>
          <w:color w:val="auto"/>
          <w:sz w:val="24"/>
          <w:lang w:val="en-US" w:eastAsia="zh-CN"/>
        </w:rPr>
        <w:t>9</w:t>
      </w:r>
      <w:r>
        <w:rPr>
          <w:rFonts w:hint="eastAsia"/>
          <w:color w:val="auto"/>
          <w:sz w:val="24"/>
        </w:rPr>
        <w:t xml:space="preserve"> MSDS</w:t>
      </w:r>
    </w:p>
    <w:p w14:paraId="6B1F665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color w:val="auto"/>
          <w:sz w:val="24"/>
        </w:rPr>
      </w:pPr>
      <w:r>
        <w:rPr>
          <w:rFonts w:hint="eastAsia"/>
          <w:color w:val="auto"/>
          <w:sz w:val="24"/>
        </w:rPr>
        <w:t>附件1</w:t>
      </w:r>
      <w:r>
        <w:rPr>
          <w:rFonts w:hint="eastAsia"/>
          <w:color w:val="auto"/>
          <w:sz w:val="24"/>
          <w:lang w:val="en-US" w:eastAsia="zh-CN"/>
        </w:rPr>
        <w:t>0</w:t>
      </w:r>
      <w:r>
        <w:rPr>
          <w:rFonts w:hint="eastAsia"/>
          <w:color w:val="auto"/>
          <w:sz w:val="24"/>
        </w:rPr>
        <w:t xml:space="preserve"> 江苏省生态环境分区管控综合查询报告书</w:t>
      </w:r>
    </w:p>
    <w:p w14:paraId="6A8A476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olor w:val="auto"/>
          <w:sz w:val="24"/>
        </w:rPr>
      </w:pPr>
      <w:r>
        <w:rPr>
          <w:color w:val="auto"/>
          <w:sz w:val="24"/>
        </w:rPr>
        <w:t>附件</w:t>
      </w:r>
      <w:r>
        <w:rPr>
          <w:rFonts w:hint="eastAsia"/>
          <w:color w:val="auto"/>
          <w:sz w:val="24"/>
          <w:lang w:val="en-US" w:eastAsia="zh-CN"/>
        </w:rPr>
        <w:t>11</w:t>
      </w:r>
      <w:r>
        <w:rPr>
          <w:rFonts w:hint="eastAsia"/>
          <w:color w:val="auto"/>
          <w:sz w:val="24"/>
        </w:rPr>
        <w:t xml:space="preserve"> 环评合同</w:t>
      </w:r>
    </w:p>
    <w:p w14:paraId="092528E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color w:val="auto"/>
          <w:sz w:val="24"/>
        </w:rPr>
      </w:pPr>
      <w:r>
        <w:rPr>
          <w:rFonts w:hint="eastAsia"/>
          <w:color w:val="auto"/>
          <w:sz w:val="24"/>
        </w:rPr>
        <w:t>附件1</w:t>
      </w:r>
      <w:r>
        <w:rPr>
          <w:rFonts w:hint="eastAsia"/>
          <w:color w:val="auto"/>
          <w:sz w:val="24"/>
          <w:lang w:val="en-US" w:eastAsia="zh-CN"/>
        </w:rPr>
        <w:t>2</w:t>
      </w:r>
      <w:r>
        <w:rPr>
          <w:rFonts w:hint="eastAsia"/>
          <w:color w:val="auto"/>
          <w:sz w:val="24"/>
        </w:rPr>
        <w:t xml:space="preserve"> 现场监察记录单</w:t>
      </w:r>
    </w:p>
    <w:p w14:paraId="27B050D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olor w:val="auto"/>
          <w:sz w:val="24"/>
        </w:rPr>
      </w:pPr>
      <w:r>
        <w:rPr>
          <w:rFonts w:hint="eastAsia"/>
          <w:color w:val="auto"/>
          <w:sz w:val="24"/>
        </w:rPr>
        <w:t>附件13 公示截图</w:t>
      </w:r>
    </w:p>
    <w:p w14:paraId="727D0CB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olor w:val="auto"/>
          <w:sz w:val="24"/>
        </w:rPr>
      </w:pPr>
      <w:r>
        <w:rPr>
          <w:rFonts w:hint="eastAsia"/>
          <w:color w:val="auto"/>
          <w:sz w:val="24"/>
        </w:rPr>
        <w:t>附件14 工程师照片</w:t>
      </w:r>
    </w:p>
    <w:p w14:paraId="4072CEE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olor w:val="auto"/>
          <w:sz w:val="24"/>
        </w:rPr>
      </w:pPr>
      <w:r>
        <w:rPr>
          <w:rFonts w:hint="eastAsia"/>
          <w:color w:val="auto"/>
          <w:sz w:val="24"/>
        </w:rPr>
        <w:t>附件15 声明</w:t>
      </w:r>
    </w:p>
    <w:p w14:paraId="4E9CECB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color w:val="auto"/>
          <w:sz w:val="24"/>
        </w:rPr>
      </w:pPr>
    </w:p>
    <w:p w14:paraId="34DD7C0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b/>
          <w:color w:val="auto"/>
          <w:sz w:val="24"/>
        </w:rPr>
      </w:pPr>
      <w:r>
        <w:rPr>
          <w:b/>
          <w:color w:val="auto"/>
          <w:sz w:val="24"/>
        </w:rPr>
        <w:t>附图：</w:t>
      </w:r>
    </w:p>
    <w:p w14:paraId="6144905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color w:val="auto"/>
          <w:sz w:val="24"/>
        </w:rPr>
      </w:pPr>
      <w:r>
        <w:rPr>
          <w:rFonts w:hint="eastAsia"/>
          <w:color w:val="auto"/>
          <w:sz w:val="24"/>
        </w:rPr>
        <w:t>附图1-1 建设项目与江苏省国家级生态保护红线位置关系图</w:t>
      </w:r>
    </w:p>
    <w:p w14:paraId="4EE4075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olor w:val="auto"/>
          <w:sz w:val="24"/>
        </w:rPr>
      </w:pPr>
      <w:r>
        <w:rPr>
          <w:rFonts w:hint="eastAsia"/>
          <w:color w:val="auto"/>
          <w:sz w:val="24"/>
        </w:rPr>
        <w:t>附图1-2 建设项目与江苏省生态空间保护区域分布图</w:t>
      </w:r>
    </w:p>
    <w:p w14:paraId="72D3817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olor w:val="auto"/>
          <w:sz w:val="24"/>
        </w:rPr>
      </w:pPr>
      <w:r>
        <w:rPr>
          <w:rFonts w:hint="eastAsia"/>
          <w:color w:val="auto"/>
          <w:sz w:val="24"/>
        </w:rPr>
        <w:t>附图1-3 建设项目与淮安市环境管控单元位置关系图</w:t>
      </w:r>
    </w:p>
    <w:p w14:paraId="08E3EA1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olor w:val="auto"/>
          <w:sz w:val="24"/>
        </w:rPr>
      </w:pPr>
      <w:r>
        <w:rPr>
          <w:rFonts w:hint="eastAsia"/>
          <w:color w:val="auto"/>
          <w:sz w:val="24"/>
        </w:rPr>
        <w:t>附图2 建设项目地理位置图</w:t>
      </w:r>
    </w:p>
    <w:p w14:paraId="3E1FCDF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olor w:val="auto"/>
          <w:sz w:val="24"/>
        </w:rPr>
      </w:pPr>
      <w:r>
        <w:rPr>
          <w:rFonts w:hint="eastAsia"/>
          <w:color w:val="auto"/>
          <w:sz w:val="24"/>
        </w:rPr>
        <w:t>附图3 建设项目周边状况图</w:t>
      </w:r>
    </w:p>
    <w:p w14:paraId="714B73D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olor w:val="auto"/>
          <w:sz w:val="24"/>
        </w:rPr>
      </w:pPr>
      <w:r>
        <w:rPr>
          <w:rFonts w:hint="eastAsia"/>
          <w:color w:val="auto"/>
          <w:sz w:val="24"/>
        </w:rPr>
        <w:t>附图4 建设项目厂区平面布置图</w:t>
      </w:r>
    </w:p>
    <w:p w14:paraId="1F647CA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olor w:val="auto"/>
          <w:sz w:val="24"/>
        </w:rPr>
      </w:pPr>
    </w:p>
    <w:p w14:paraId="34B4A12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olor w:val="auto"/>
          <w:sz w:val="24"/>
        </w:rPr>
      </w:pPr>
    </w:p>
    <w:p w14:paraId="7C6639F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olor w:val="auto"/>
          <w:sz w:val="24"/>
        </w:rPr>
      </w:pPr>
    </w:p>
    <w:p w14:paraId="7F679EF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olor w:val="auto"/>
          <w:sz w:val="24"/>
        </w:rPr>
      </w:pPr>
    </w:p>
    <w:p w14:paraId="114B765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olor w:val="auto"/>
          <w:sz w:val="24"/>
        </w:rPr>
      </w:pPr>
    </w:p>
    <w:p w14:paraId="7C2C812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olor w:val="auto"/>
          <w:sz w:val="24"/>
        </w:rPr>
      </w:pPr>
    </w:p>
    <w:sdt>
      <w:sdtPr>
        <w:rPr>
          <w:rFonts w:ascii="宋体" w:hAnsi="宋体" w:eastAsia="宋体" w:cs="Times New Roman"/>
          <w:kern w:val="2"/>
          <w:sz w:val="21"/>
          <w:szCs w:val="24"/>
          <w:lang w:val="en-US" w:eastAsia="zh-CN" w:bidi="ar-SA"/>
        </w:rPr>
        <w:id w:val="147459482"/>
        <w15:color w:val="DBDBDB"/>
        <w:docPartObj>
          <w:docPartGallery w:val="Table of Contents"/>
          <w:docPartUnique/>
        </w:docPartObj>
      </w:sdtPr>
      <w:sdtEndPr>
        <w:rPr>
          <w:rFonts w:hint="eastAsia" w:ascii="Times New Roman" w:hAnsi="Times New Roman" w:eastAsia="宋体" w:cs="Times New Roman"/>
          <w:color w:val="auto"/>
          <w:kern w:val="2"/>
          <w:sz w:val="21"/>
          <w:szCs w:val="24"/>
          <w:lang w:val="en-US" w:eastAsia="zh-CN" w:bidi="ar-SA"/>
        </w:rPr>
      </w:sdtEndPr>
      <w:sdtContent>
        <w:p w14:paraId="67132B99">
          <w:pPr>
            <w:spacing w:before="0" w:beforeLines="0" w:after="0" w:afterLines="0" w:line="240" w:lineRule="auto"/>
            <w:ind w:left="0" w:leftChars="0" w:right="0" w:rightChars="0" w:firstLine="0" w:firstLineChars="0"/>
            <w:jc w:val="center"/>
            <w:rPr>
              <w:b/>
              <w:bCs/>
              <w:sz w:val="28"/>
              <w:szCs w:val="28"/>
            </w:rPr>
          </w:pPr>
          <w:r>
            <w:rPr>
              <w:rFonts w:ascii="宋体" w:hAnsi="宋体" w:eastAsia="宋体"/>
              <w:b/>
              <w:bCs/>
              <w:sz w:val="28"/>
              <w:szCs w:val="28"/>
            </w:rPr>
            <w:t>目</w:t>
          </w:r>
          <w:r>
            <w:rPr>
              <w:rFonts w:hint="eastAsia" w:ascii="宋体" w:hAnsi="宋体" w:eastAsia="宋体"/>
              <w:b/>
              <w:bCs/>
              <w:sz w:val="28"/>
              <w:szCs w:val="28"/>
              <w:lang w:val="en-US" w:eastAsia="zh-CN"/>
            </w:rPr>
            <w:t xml:space="preserve">  </w:t>
          </w:r>
          <w:r>
            <w:rPr>
              <w:rFonts w:ascii="宋体" w:hAnsi="宋体" w:eastAsia="宋体"/>
              <w:b/>
              <w:bCs/>
              <w:sz w:val="28"/>
              <w:szCs w:val="28"/>
            </w:rPr>
            <w:t>录</w:t>
          </w:r>
        </w:p>
        <w:p w14:paraId="40965640">
          <w:pPr>
            <w:pStyle w:val="59"/>
            <w:keepNext w:val="0"/>
            <w:keepLines w:val="0"/>
            <w:pageBreakBefore w:val="0"/>
            <w:widowControl w:val="0"/>
            <w:tabs>
              <w:tab w:val="right" w:leader="dot" w:pos="8788"/>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sz w:val="24"/>
              <w:szCs w:val="24"/>
            </w:rPr>
          </w:pPr>
          <w:r>
            <w:rPr>
              <w:rFonts w:hint="eastAsia"/>
              <w:color w:val="auto"/>
              <w:sz w:val="24"/>
            </w:rPr>
            <w:fldChar w:fldCharType="begin"/>
          </w:r>
          <w:r>
            <w:rPr>
              <w:rFonts w:hint="eastAsia"/>
              <w:color w:val="auto"/>
              <w:sz w:val="24"/>
            </w:rPr>
            <w:instrText xml:space="preserve">TOC \o "1-3" \h \u </w:instrText>
          </w:r>
          <w:r>
            <w:rPr>
              <w:rFonts w:hint="eastAsia"/>
              <w:color w:val="auto"/>
              <w:sz w:val="24"/>
            </w:rPr>
            <w:fldChar w:fldCharType="separate"/>
          </w:r>
          <w:r>
            <w:rPr>
              <w:rFonts w:hint="default" w:ascii="Times New Roman" w:hAnsi="Times New Roman" w:cs="Times New Roman"/>
              <w:b/>
              <w:bCs/>
              <w:color w:val="auto"/>
              <w:sz w:val="24"/>
              <w:szCs w:val="24"/>
            </w:rPr>
            <w:fldChar w:fldCharType="begin"/>
          </w:r>
          <w:r>
            <w:rPr>
              <w:rFonts w:hint="default" w:ascii="Times New Roman" w:hAnsi="Times New Roman" w:cs="Times New Roman"/>
              <w:b/>
              <w:bCs/>
              <w:sz w:val="24"/>
              <w:szCs w:val="24"/>
            </w:rPr>
            <w:instrText xml:space="preserve"> HYPERLINK \l _Toc9994 </w:instrText>
          </w:r>
          <w:r>
            <w:rPr>
              <w:rFonts w:hint="default" w:ascii="Times New Roman" w:hAnsi="Times New Roman" w:cs="Times New Roman"/>
              <w:b/>
              <w:bCs/>
              <w:sz w:val="24"/>
              <w:szCs w:val="24"/>
            </w:rPr>
            <w:fldChar w:fldCharType="separate"/>
          </w:r>
          <w:r>
            <w:rPr>
              <w:rFonts w:hint="default" w:ascii="Times New Roman" w:hAnsi="Times New Roman" w:cs="Times New Roman"/>
              <w:b/>
              <w:bCs/>
              <w:snapToGrid w:val="0"/>
              <w:sz w:val="24"/>
              <w:szCs w:val="24"/>
            </w:rPr>
            <w:t>一、建设项目基本情况</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_Toc9994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1</w:t>
          </w:r>
          <w:r>
            <w:rPr>
              <w:rFonts w:hint="default" w:ascii="Times New Roman" w:hAnsi="Times New Roman" w:cs="Times New Roman"/>
              <w:b/>
              <w:bCs/>
              <w:sz w:val="24"/>
              <w:szCs w:val="24"/>
            </w:rPr>
            <w:fldChar w:fldCharType="end"/>
          </w:r>
          <w:r>
            <w:rPr>
              <w:rFonts w:hint="default" w:ascii="Times New Roman" w:hAnsi="Times New Roman" w:cs="Times New Roman"/>
              <w:b/>
              <w:bCs/>
              <w:color w:val="auto"/>
              <w:sz w:val="24"/>
              <w:szCs w:val="24"/>
            </w:rPr>
            <w:fldChar w:fldCharType="end"/>
          </w:r>
        </w:p>
        <w:p w14:paraId="23386806">
          <w:pPr>
            <w:pStyle w:val="59"/>
            <w:keepNext w:val="0"/>
            <w:keepLines w:val="0"/>
            <w:pageBreakBefore w:val="0"/>
            <w:widowControl w:val="0"/>
            <w:tabs>
              <w:tab w:val="right" w:leader="dot" w:pos="8788"/>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color w:val="auto"/>
              <w:sz w:val="24"/>
              <w:szCs w:val="24"/>
            </w:rPr>
            <w:fldChar w:fldCharType="begin"/>
          </w:r>
          <w:r>
            <w:rPr>
              <w:rFonts w:hint="default" w:ascii="Times New Roman" w:hAnsi="Times New Roman" w:cs="Times New Roman"/>
              <w:b/>
              <w:bCs/>
              <w:sz w:val="24"/>
              <w:szCs w:val="24"/>
            </w:rPr>
            <w:instrText xml:space="preserve"> HYPERLINK \l _Toc1481 </w:instrText>
          </w:r>
          <w:r>
            <w:rPr>
              <w:rFonts w:hint="default" w:ascii="Times New Roman" w:hAnsi="Times New Roman" w:cs="Times New Roman"/>
              <w:b/>
              <w:bCs/>
              <w:sz w:val="24"/>
              <w:szCs w:val="24"/>
            </w:rPr>
            <w:fldChar w:fldCharType="separate"/>
          </w:r>
          <w:r>
            <w:rPr>
              <w:rFonts w:hint="default" w:ascii="Times New Roman" w:hAnsi="Times New Roman" w:cs="Times New Roman"/>
              <w:b/>
              <w:bCs/>
              <w:snapToGrid w:val="0"/>
              <w:sz w:val="24"/>
              <w:szCs w:val="24"/>
            </w:rPr>
            <w:t>二、建设项目工程分析</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_Toc1481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29</w:t>
          </w:r>
          <w:r>
            <w:rPr>
              <w:rFonts w:hint="default" w:ascii="Times New Roman" w:hAnsi="Times New Roman" w:cs="Times New Roman"/>
              <w:b/>
              <w:bCs/>
              <w:sz w:val="24"/>
              <w:szCs w:val="24"/>
            </w:rPr>
            <w:fldChar w:fldCharType="end"/>
          </w:r>
          <w:r>
            <w:rPr>
              <w:rFonts w:hint="default" w:ascii="Times New Roman" w:hAnsi="Times New Roman" w:cs="Times New Roman"/>
              <w:b/>
              <w:bCs/>
              <w:color w:val="auto"/>
              <w:sz w:val="24"/>
              <w:szCs w:val="24"/>
            </w:rPr>
            <w:fldChar w:fldCharType="end"/>
          </w:r>
        </w:p>
        <w:p w14:paraId="410935BE">
          <w:pPr>
            <w:pStyle w:val="59"/>
            <w:keepNext w:val="0"/>
            <w:keepLines w:val="0"/>
            <w:pageBreakBefore w:val="0"/>
            <w:widowControl w:val="0"/>
            <w:tabs>
              <w:tab w:val="right" w:leader="dot" w:pos="8788"/>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color w:val="auto"/>
              <w:sz w:val="24"/>
              <w:szCs w:val="24"/>
            </w:rPr>
            <w:fldChar w:fldCharType="begin"/>
          </w:r>
          <w:r>
            <w:rPr>
              <w:rFonts w:hint="default" w:ascii="Times New Roman" w:hAnsi="Times New Roman" w:cs="Times New Roman"/>
              <w:b/>
              <w:bCs/>
              <w:sz w:val="24"/>
              <w:szCs w:val="24"/>
            </w:rPr>
            <w:instrText xml:space="preserve"> HYPERLINK \l _Toc4135 </w:instrText>
          </w:r>
          <w:r>
            <w:rPr>
              <w:rFonts w:hint="default" w:ascii="Times New Roman" w:hAnsi="Times New Roman" w:cs="Times New Roman"/>
              <w:b/>
              <w:bCs/>
              <w:sz w:val="24"/>
              <w:szCs w:val="24"/>
            </w:rPr>
            <w:fldChar w:fldCharType="separate"/>
          </w:r>
          <w:r>
            <w:rPr>
              <w:rFonts w:hint="default" w:ascii="Times New Roman" w:hAnsi="Times New Roman" w:cs="Times New Roman"/>
              <w:b/>
              <w:bCs/>
              <w:snapToGrid w:val="0"/>
              <w:sz w:val="24"/>
              <w:szCs w:val="24"/>
            </w:rPr>
            <w:t>三、区域环境质量现状、环境保护目标及评价标准</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_Toc4135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44</w:t>
          </w:r>
          <w:r>
            <w:rPr>
              <w:rFonts w:hint="default" w:ascii="Times New Roman" w:hAnsi="Times New Roman" w:cs="Times New Roman"/>
              <w:b/>
              <w:bCs/>
              <w:sz w:val="24"/>
              <w:szCs w:val="24"/>
            </w:rPr>
            <w:fldChar w:fldCharType="end"/>
          </w:r>
          <w:r>
            <w:rPr>
              <w:rFonts w:hint="default" w:ascii="Times New Roman" w:hAnsi="Times New Roman" w:cs="Times New Roman"/>
              <w:b/>
              <w:bCs/>
              <w:color w:val="auto"/>
              <w:sz w:val="24"/>
              <w:szCs w:val="24"/>
            </w:rPr>
            <w:fldChar w:fldCharType="end"/>
          </w:r>
        </w:p>
        <w:p w14:paraId="613FE66F">
          <w:pPr>
            <w:pStyle w:val="59"/>
            <w:keepNext w:val="0"/>
            <w:keepLines w:val="0"/>
            <w:pageBreakBefore w:val="0"/>
            <w:widowControl w:val="0"/>
            <w:tabs>
              <w:tab w:val="right" w:leader="dot" w:pos="8788"/>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color w:val="auto"/>
              <w:sz w:val="24"/>
              <w:szCs w:val="24"/>
            </w:rPr>
            <w:fldChar w:fldCharType="begin"/>
          </w:r>
          <w:r>
            <w:rPr>
              <w:rFonts w:hint="default" w:ascii="Times New Roman" w:hAnsi="Times New Roman" w:cs="Times New Roman"/>
              <w:b/>
              <w:bCs/>
              <w:sz w:val="24"/>
              <w:szCs w:val="24"/>
            </w:rPr>
            <w:instrText xml:space="preserve"> HYPERLINK \l _Toc23219 </w:instrText>
          </w:r>
          <w:r>
            <w:rPr>
              <w:rFonts w:hint="default" w:ascii="Times New Roman" w:hAnsi="Times New Roman" w:cs="Times New Roman"/>
              <w:b/>
              <w:bCs/>
              <w:sz w:val="24"/>
              <w:szCs w:val="24"/>
            </w:rPr>
            <w:fldChar w:fldCharType="separate"/>
          </w:r>
          <w:r>
            <w:rPr>
              <w:rFonts w:hint="default" w:ascii="Times New Roman" w:hAnsi="Times New Roman" w:cs="Times New Roman"/>
              <w:b/>
              <w:bCs/>
              <w:snapToGrid w:val="0"/>
              <w:sz w:val="24"/>
              <w:szCs w:val="24"/>
            </w:rPr>
            <w:t>四、主要环境影响和保护措施</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_Toc23219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51</w:t>
          </w:r>
          <w:r>
            <w:rPr>
              <w:rFonts w:hint="default" w:ascii="Times New Roman" w:hAnsi="Times New Roman" w:cs="Times New Roman"/>
              <w:b/>
              <w:bCs/>
              <w:sz w:val="24"/>
              <w:szCs w:val="24"/>
            </w:rPr>
            <w:fldChar w:fldCharType="end"/>
          </w:r>
          <w:r>
            <w:rPr>
              <w:rFonts w:hint="default" w:ascii="Times New Roman" w:hAnsi="Times New Roman" w:cs="Times New Roman"/>
              <w:b/>
              <w:bCs/>
              <w:color w:val="auto"/>
              <w:sz w:val="24"/>
              <w:szCs w:val="24"/>
            </w:rPr>
            <w:fldChar w:fldCharType="end"/>
          </w:r>
        </w:p>
        <w:p w14:paraId="20F9FB5A">
          <w:pPr>
            <w:pStyle w:val="59"/>
            <w:keepNext w:val="0"/>
            <w:keepLines w:val="0"/>
            <w:pageBreakBefore w:val="0"/>
            <w:widowControl w:val="0"/>
            <w:tabs>
              <w:tab w:val="right" w:leader="dot" w:pos="8788"/>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color w:val="auto"/>
              <w:sz w:val="24"/>
              <w:szCs w:val="24"/>
            </w:rPr>
            <w:fldChar w:fldCharType="begin"/>
          </w:r>
          <w:r>
            <w:rPr>
              <w:rFonts w:hint="default" w:ascii="Times New Roman" w:hAnsi="Times New Roman" w:cs="Times New Roman"/>
              <w:b/>
              <w:bCs/>
              <w:sz w:val="24"/>
              <w:szCs w:val="24"/>
            </w:rPr>
            <w:instrText xml:space="preserve"> HYPERLINK \l _Toc26060 </w:instrText>
          </w:r>
          <w:r>
            <w:rPr>
              <w:rFonts w:hint="default" w:ascii="Times New Roman" w:hAnsi="Times New Roman" w:cs="Times New Roman"/>
              <w:b/>
              <w:bCs/>
              <w:sz w:val="24"/>
              <w:szCs w:val="24"/>
            </w:rPr>
            <w:fldChar w:fldCharType="separate"/>
          </w:r>
          <w:r>
            <w:rPr>
              <w:rFonts w:hint="default" w:ascii="Times New Roman" w:hAnsi="Times New Roman" w:cs="Times New Roman"/>
              <w:b/>
              <w:bCs/>
              <w:snapToGrid w:val="0"/>
              <w:sz w:val="24"/>
              <w:szCs w:val="24"/>
            </w:rPr>
            <w:t>五、环境保护措施监督检查清单</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_Toc26060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90</w:t>
          </w:r>
          <w:r>
            <w:rPr>
              <w:rFonts w:hint="default" w:ascii="Times New Roman" w:hAnsi="Times New Roman" w:cs="Times New Roman"/>
              <w:b/>
              <w:bCs/>
              <w:sz w:val="24"/>
              <w:szCs w:val="24"/>
            </w:rPr>
            <w:fldChar w:fldCharType="end"/>
          </w:r>
          <w:r>
            <w:rPr>
              <w:rFonts w:hint="default" w:ascii="Times New Roman" w:hAnsi="Times New Roman" w:cs="Times New Roman"/>
              <w:b/>
              <w:bCs/>
              <w:color w:val="auto"/>
              <w:sz w:val="24"/>
              <w:szCs w:val="24"/>
            </w:rPr>
            <w:fldChar w:fldCharType="end"/>
          </w:r>
        </w:p>
        <w:p w14:paraId="0C9BD1B8">
          <w:pPr>
            <w:pStyle w:val="59"/>
            <w:keepNext w:val="0"/>
            <w:keepLines w:val="0"/>
            <w:pageBreakBefore w:val="0"/>
            <w:widowControl w:val="0"/>
            <w:tabs>
              <w:tab w:val="right" w:leader="dot" w:pos="8788"/>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color w:val="auto"/>
              <w:sz w:val="24"/>
              <w:szCs w:val="24"/>
            </w:rPr>
            <w:fldChar w:fldCharType="begin"/>
          </w:r>
          <w:r>
            <w:rPr>
              <w:rFonts w:hint="default" w:ascii="Times New Roman" w:hAnsi="Times New Roman" w:cs="Times New Roman"/>
              <w:b/>
              <w:bCs/>
              <w:sz w:val="24"/>
              <w:szCs w:val="24"/>
            </w:rPr>
            <w:instrText xml:space="preserve"> HYPERLINK \l _Toc19769 </w:instrText>
          </w:r>
          <w:r>
            <w:rPr>
              <w:rFonts w:hint="default" w:ascii="Times New Roman" w:hAnsi="Times New Roman" w:cs="Times New Roman"/>
              <w:b/>
              <w:bCs/>
              <w:sz w:val="24"/>
              <w:szCs w:val="24"/>
            </w:rPr>
            <w:fldChar w:fldCharType="separate"/>
          </w:r>
          <w:r>
            <w:rPr>
              <w:rFonts w:hint="default" w:ascii="Times New Roman" w:hAnsi="Times New Roman" w:cs="Times New Roman"/>
              <w:b/>
              <w:bCs/>
              <w:snapToGrid w:val="0"/>
              <w:sz w:val="24"/>
              <w:szCs w:val="24"/>
            </w:rPr>
            <w:t>六、结论</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_Toc19769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91</w:t>
          </w:r>
          <w:r>
            <w:rPr>
              <w:rFonts w:hint="default" w:ascii="Times New Roman" w:hAnsi="Times New Roman" w:cs="Times New Roman"/>
              <w:b/>
              <w:bCs/>
              <w:sz w:val="24"/>
              <w:szCs w:val="24"/>
            </w:rPr>
            <w:fldChar w:fldCharType="end"/>
          </w:r>
          <w:r>
            <w:rPr>
              <w:rFonts w:hint="default" w:ascii="Times New Roman" w:hAnsi="Times New Roman" w:cs="Times New Roman"/>
              <w:b/>
              <w:bCs/>
              <w:color w:val="auto"/>
              <w:sz w:val="24"/>
              <w:szCs w:val="24"/>
            </w:rPr>
            <w:fldChar w:fldCharType="end"/>
          </w:r>
        </w:p>
        <w:p w14:paraId="358E431D">
          <w:pPr>
            <w:pStyle w:val="59"/>
            <w:tabs>
              <w:tab w:val="right" w:leader="dot" w:pos="8788"/>
            </w:tabs>
          </w:pPr>
        </w:p>
        <w:p w14:paraId="14FB551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Times New Roman" w:hAnsi="Times New Roman" w:eastAsia="宋体" w:cs="Times New Roman"/>
              <w:color w:val="auto"/>
              <w:kern w:val="2"/>
              <w:sz w:val="21"/>
              <w:szCs w:val="24"/>
              <w:lang w:val="en-US" w:eastAsia="zh-CN" w:bidi="ar-SA"/>
            </w:rPr>
          </w:pPr>
          <w:r>
            <w:rPr>
              <w:rFonts w:hint="eastAsia"/>
              <w:color w:val="auto"/>
            </w:rPr>
            <w:fldChar w:fldCharType="end"/>
          </w:r>
        </w:p>
      </w:sdtContent>
    </w:sdt>
    <w:p w14:paraId="0811EA4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Times New Roman" w:hAnsi="Times New Roman" w:eastAsia="宋体" w:cs="Times New Roman"/>
          <w:color w:val="auto"/>
          <w:kern w:val="2"/>
          <w:sz w:val="21"/>
          <w:szCs w:val="24"/>
          <w:lang w:val="en-US" w:eastAsia="zh-CN" w:bidi="ar-SA"/>
        </w:rPr>
      </w:pPr>
    </w:p>
    <w:p w14:paraId="6064DC9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color w:val="auto"/>
          <w:kern w:val="0"/>
          <w:sz w:val="32"/>
          <w:szCs w:val="32"/>
        </w:rPr>
        <w:sectPr>
          <w:pgSz w:w="11907" w:h="16840"/>
          <w:pgMar w:top="1701" w:right="1418" w:bottom="1418" w:left="1701" w:header="851" w:footer="1134" w:gutter="0"/>
          <w:pgBorders>
            <w:top w:val="none" w:sz="0" w:space="0"/>
            <w:left w:val="none" w:sz="0" w:space="0"/>
            <w:bottom w:val="none" w:sz="0" w:space="0"/>
            <w:right w:val="none" w:sz="0" w:space="0"/>
          </w:pgBorders>
          <w:cols w:space="720" w:num="1"/>
          <w:docGrid w:linePitch="317" w:charSpace="0"/>
        </w:sectPr>
      </w:pPr>
    </w:p>
    <w:p w14:paraId="5C52BB75">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ind w:firstLine="0"/>
        <w:jc w:val="center"/>
        <w:textAlignment w:val="auto"/>
        <w:outlineLvl w:val="0"/>
        <w:rPr>
          <w:rFonts w:ascii="Times New Roman" w:hAnsi="Times New Roman"/>
          <w:snapToGrid w:val="0"/>
          <w:color w:val="auto"/>
          <w:sz w:val="30"/>
          <w:szCs w:val="30"/>
        </w:rPr>
      </w:pPr>
      <w:bookmarkStart w:id="2" w:name="_Toc9994"/>
      <w:r>
        <w:rPr>
          <w:rFonts w:ascii="Times New Roman" w:hAnsi="Times New Roman"/>
          <w:snapToGrid w:val="0"/>
          <w:color w:val="auto"/>
          <w:sz w:val="30"/>
          <w:szCs w:val="30"/>
        </w:rPr>
        <w:t>一、建设项目基本情况</w:t>
      </w:r>
      <w:bookmarkEnd w:id="2"/>
    </w:p>
    <w:tbl>
      <w:tblPr>
        <w:tblStyle w:val="88"/>
        <w:tblpPr w:leftFromText="180" w:rightFromText="180" w:vertAnchor="text" w:tblpXSpec="center" w:tblpY="1"/>
        <w:tblOverlap w:val="never"/>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66"/>
        <w:gridCol w:w="2250"/>
        <w:gridCol w:w="1773"/>
        <w:gridCol w:w="2935"/>
      </w:tblGrid>
      <w:tr w14:paraId="2E8102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866" w:type="dxa"/>
            <w:tcMar>
              <w:top w:w="16" w:type="dxa"/>
              <w:left w:w="16" w:type="dxa"/>
              <w:right w:w="16" w:type="dxa"/>
            </w:tcMar>
            <w:vAlign w:val="center"/>
          </w:tcPr>
          <w:p w14:paraId="3176114E">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4"/>
              </w:rPr>
            </w:pPr>
            <w:r>
              <w:rPr>
                <w:color w:val="auto"/>
                <w:sz w:val="24"/>
              </w:rPr>
              <w:t>建设项目</w:t>
            </w:r>
          </w:p>
          <w:p w14:paraId="67B2CE4F">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4"/>
              </w:rPr>
            </w:pPr>
            <w:r>
              <w:rPr>
                <w:color w:val="auto"/>
                <w:sz w:val="24"/>
              </w:rPr>
              <w:t>名称</w:t>
            </w:r>
          </w:p>
        </w:tc>
        <w:tc>
          <w:tcPr>
            <w:tcW w:w="6958" w:type="dxa"/>
            <w:gridSpan w:val="3"/>
            <w:vAlign w:val="center"/>
          </w:tcPr>
          <w:p w14:paraId="6B01B927">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4"/>
              </w:rPr>
            </w:pPr>
            <w:r>
              <w:rPr>
                <w:rFonts w:hint="eastAsia"/>
                <w:color w:val="auto"/>
                <w:sz w:val="24"/>
                <w:lang w:eastAsia="zh-CN"/>
              </w:rPr>
              <w:t>涟水杰特电气有限公司</w:t>
            </w:r>
            <w:r>
              <w:rPr>
                <w:rFonts w:hint="eastAsia"/>
                <w:color w:val="auto"/>
                <w:sz w:val="24"/>
              </w:rPr>
              <w:t>年产3万台套新型电机、变频器生产项目</w:t>
            </w:r>
          </w:p>
        </w:tc>
      </w:tr>
      <w:tr w14:paraId="1CEAE0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2" w:hRule="atLeast"/>
        </w:trPr>
        <w:tc>
          <w:tcPr>
            <w:tcW w:w="1866" w:type="dxa"/>
            <w:tcMar>
              <w:top w:w="16" w:type="dxa"/>
              <w:left w:w="16" w:type="dxa"/>
              <w:right w:w="16" w:type="dxa"/>
            </w:tcMar>
            <w:vAlign w:val="center"/>
          </w:tcPr>
          <w:p w14:paraId="7F0BDE20">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4"/>
              </w:rPr>
            </w:pPr>
            <w:r>
              <w:rPr>
                <w:color w:val="auto"/>
                <w:sz w:val="24"/>
              </w:rPr>
              <w:t>项目代码</w:t>
            </w:r>
          </w:p>
        </w:tc>
        <w:tc>
          <w:tcPr>
            <w:tcW w:w="6958" w:type="dxa"/>
            <w:gridSpan w:val="3"/>
            <w:vAlign w:val="center"/>
          </w:tcPr>
          <w:p w14:paraId="409606A0">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4"/>
              </w:rPr>
            </w:pPr>
            <w:r>
              <w:rPr>
                <w:rFonts w:hint="eastAsia"/>
                <w:color w:val="auto"/>
                <w:sz w:val="24"/>
              </w:rPr>
              <w:t>2406-320860-89-01-318379</w:t>
            </w:r>
          </w:p>
        </w:tc>
      </w:tr>
      <w:tr w14:paraId="173E49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866" w:type="dxa"/>
            <w:tcMar>
              <w:top w:w="16" w:type="dxa"/>
              <w:left w:w="16" w:type="dxa"/>
              <w:right w:w="16" w:type="dxa"/>
            </w:tcMar>
            <w:vAlign w:val="center"/>
          </w:tcPr>
          <w:p w14:paraId="56D829F7">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4"/>
              </w:rPr>
            </w:pPr>
            <w:r>
              <w:rPr>
                <w:color w:val="auto"/>
                <w:sz w:val="24"/>
              </w:rPr>
              <w:t>建设单位联系人</w:t>
            </w:r>
          </w:p>
        </w:tc>
        <w:tc>
          <w:tcPr>
            <w:tcW w:w="2250" w:type="dxa"/>
            <w:vAlign w:val="center"/>
          </w:tcPr>
          <w:p w14:paraId="1D16464F">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4"/>
              </w:rPr>
            </w:pPr>
            <w:r>
              <w:rPr>
                <w:rFonts w:hint="eastAsia"/>
                <w:color w:val="auto"/>
                <w:sz w:val="24"/>
              </w:rPr>
              <w:t>熊旨焓</w:t>
            </w:r>
          </w:p>
        </w:tc>
        <w:tc>
          <w:tcPr>
            <w:tcW w:w="1773" w:type="dxa"/>
            <w:vAlign w:val="center"/>
          </w:tcPr>
          <w:p w14:paraId="03E7E952">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4"/>
              </w:rPr>
            </w:pPr>
            <w:r>
              <w:rPr>
                <w:color w:val="auto"/>
                <w:sz w:val="24"/>
              </w:rPr>
              <w:t>联系方式</w:t>
            </w:r>
          </w:p>
        </w:tc>
        <w:tc>
          <w:tcPr>
            <w:tcW w:w="2935" w:type="dxa"/>
            <w:vAlign w:val="center"/>
          </w:tcPr>
          <w:p w14:paraId="11BC75E5">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4"/>
              </w:rPr>
            </w:pPr>
            <w:r>
              <w:rPr>
                <w:rFonts w:hint="eastAsia"/>
                <w:color w:val="auto"/>
                <w:sz w:val="24"/>
              </w:rPr>
              <w:t>13813303118</w:t>
            </w:r>
          </w:p>
        </w:tc>
      </w:tr>
      <w:tr w14:paraId="1328B4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866" w:type="dxa"/>
            <w:tcMar>
              <w:top w:w="16" w:type="dxa"/>
              <w:left w:w="16" w:type="dxa"/>
              <w:right w:w="16" w:type="dxa"/>
            </w:tcMar>
            <w:vAlign w:val="center"/>
          </w:tcPr>
          <w:p w14:paraId="267C1BDA">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4"/>
              </w:rPr>
            </w:pPr>
            <w:r>
              <w:rPr>
                <w:color w:val="auto"/>
                <w:sz w:val="24"/>
              </w:rPr>
              <w:t>建设地点</w:t>
            </w:r>
          </w:p>
        </w:tc>
        <w:tc>
          <w:tcPr>
            <w:tcW w:w="6958" w:type="dxa"/>
            <w:gridSpan w:val="3"/>
            <w:vAlign w:val="center"/>
          </w:tcPr>
          <w:p w14:paraId="66D14AAA">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4"/>
              </w:rPr>
            </w:pPr>
            <w:r>
              <w:rPr>
                <w:color w:val="auto"/>
                <w:sz w:val="24"/>
                <w:u w:val="single"/>
              </w:rPr>
              <w:t>江苏</w:t>
            </w:r>
            <w:r>
              <w:rPr>
                <w:color w:val="auto"/>
                <w:sz w:val="24"/>
              </w:rPr>
              <w:t>省（自治区）</w:t>
            </w:r>
            <w:r>
              <w:rPr>
                <w:color w:val="auto"/>
                <w:sz w:val="24"/>
                <w:u w:val="single"/>
              </w:rPr>
              <w:t>淮安</w:t>
            </w:r>
            <w:r>
              <w:rPr>
                <w:color w:val="auto"/>
                <w:sz w:val="24"/>
              </w:rPr>
              <w:t>市</w:t>
            </w:r>
            <w:r>
              <w:rPr>
                <w:rFonts w:hint="eastAsia"/>
                <w:color w:val="auto"/>
                <w:sz w:val="24"/>
                <w:u w:val="single"/>
              </w:rPr>
              <w:t>涟水县</w:t>
            </w:r>
            <w:r>
              <w:rPr>
                <w:color w:val="auto"/>
                <w:sz w:val="24"/>
              </w:rPr>
              <w:t>（</w:t>
            </w:r>
            <w:r>
              <w:rPr>
                <w:rFonts w:hint="eastAsia"/>
                <w:color w:val="auto"/>
                <w:sz w:val="24"/>
              </w:rPr>
              <w:t>县/</w:t>
            </w:r>
            <w:r>
              <w:rPr>
                <w:color w:val="auto"/>
                <w:sz w:val="24"/>
              </w:rPr>
              <w:t>区）</w:t>
            </w:r>
            <w:r>
              <w:rPr>
                <w:rFonts w:hint="eastAsia"/>
                <w:color w:val="auto"/>
                <w:sz w:val="24"/>
                <w:u w:val="single"/>
              </w:rPr>
              <w:t>江苏涟水经济开发区涟古路</w:t>
            </w:r>
            <w:r>
              <w:rPr>
                <w:color w:val="auto"/>
                <w:sz w:val="24"/>
                <w:u w:val="single"/>
              </w:rPr>
              <w:t>北侧、兴隆路西侧</w:t>
            </w:r>
            <w:r>
              <w:rPr>
                <w:color w:val="auto"/>
                <w:sz w:val="24"/>
              </w:rPr>
              <w:t>（具体地址）</w:t>
            </w:r>
          </w:p>
        </w:tc>
      </w:tr>
      <w:tr w14:paraId="05D848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866" w:type="dxa"/>
            <w:tcMar>
              <w:top w:w="16" w:type="dxa"/>
              <w:left w:w="16" w:type="dxa"/>
              <w:right w:w="16" w:type="dxa"/>
            </w:tcMar>
            <w:vAlign w:val="center"/>
          </w:tcPr>
          <w:p w14:paraId="4FF82506">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4"/>
              </w:rPr>
            </w:pPr>
            <w:r>
              <w:rPr>
                <w:color w:val="auto"/>
                <w:sz w:val="24"/>
              </w:rPr>
              <w:t>地理坐标</w:t>
            </w:r>
          </w:p>
        </w:tc>
        <w:tc>
          <w:tcPr>
            <w:tcW w:w="6958" w:type="dxa"/>
            <w:gridSpan w:val="3"/>
            <w:vAlign w:val="center"/>
          </w:tcPr>
          <w:p w14:paraId="02404F5D">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4"/>
              </w:rPr>
            </w:pPr>
            <w:r>
              <w:rPr>
                <w:rFonts w:hint="eastAsia"/>
                <w:color w:val="auto"/>
                <w:sz w:val="24"/>
              </w:rPr>
              <w:t>（E119度15分</w:t>
            </w:r>
            <w:r>
              <w:rPr>
                <w:rFonts w:hint="eastAsia"/>
                <w:color w:val="auto"/>
                <w:sz w:val="24"/>
                <w:lang w:val="en-US" w:eastAsia="zh-CN"/>
              </w:rPr>
              <w:t>28.983</w:t>
            </w:r>
            <w:r>
              <w:rPr>
                <w:rFonts w:hint="eastAsia"/>
                <w:color w:val="auto"/>
                <w:sz w:val="24"/>
              </w:rPr>
              <w:t>秒，N33度49分</w:t>
            </w:r>
            <w:r>
              <w:rPr>
                <w:rFonts w:hint="eastAsia"/>
                <w:color w:val="auto"/>
                <w:sz w:val="24"/>
                <w:lang w:val="en-US" w:eastAsia="zh-CN"/>
              </w:rPr>
              <w:t>7.951</w:t>
            </w:r>
            <w:r>
              <w:rPr>
                <w:rFonts w:hint="eastAsia"/>
                <w:color w:val="auto"/>
                <w:sz w:val="24"/>
              </w:rPr>
              <w:t>秒）</w:t>
            </w:r>
          </w:p>
        </w:tc>
      </w:tr>
      <w:tr w14:paraId="4B2564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9" w:hRule="atLeast"/>
        </w:trPr>
        <w:tc>
          <w:tcPr>
            <w:tcW w:w="1866" w:type="dxa"/>
            <w:vMerge w:val="restart"/>
            <w:tcMar>
              <w:top w:w="16" w:type="dxa"/>
              <w:left w:w="16" w:type="dxa"/>
              <w:right w:w="16" w:type="dxa"/>
            </w:tcMar>
            <w:vAlign w:val="center"/>
          </w:tcPr>
          <w:p w14:paraId="16A10E97">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4"/>
              </w:rPr>
            </w:pPr>
            <w:r>
              <w:rPr>
                <w:color w:val="auto"/>
                <w:sz w:val="24"/>
              </w:rPr>
              <w:t>国民经济</w:t>
            </w:r>
          </w:p>
          <w:p w14:paraId="5ED451EE">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4"/>
              </w:rPr>
            </w:pPr>
            <w:r>
              <w:rPr>
                <w:color w:val="auto"/>
                <w:sz w:val="24"/>
              </w:rPr>
              <w:t>行业类别</w:t>
            </w:r>
          </w:p>
        </w:tc>
        <w:tc>
          <w:tcPr>
            <w:tcW w:w="2250" w:type="dxa"/>
            <w:vAlign w:val="center"/>
          </w:tcPr>
          <w:p w14:paraId="08AC39C2">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4"/>
              </w:rPr>
            </w:pPr>
            <w:r>
              <w:rPr>
                <w:color w:val="auto"/>
                <w:sz w:val="24"/>
              </w:rPr>
              <w:t>C</w:t>
            </w:r>
            <w:r>
              <w:rPr>
                <w:rFonts w:hint="eastAsia"/>
                <w:color w:val="auto"/>
                <w:sz w:val="24"/>
              </w:rPr>
              <w:t>3819其他电机制造</w:t>
            </w:r>
          </w:p>
        </w:tc>
        <w:tc>
          <w:tcPr>
            <w:tcW w:w="1773" w:type="dxa"/>
            <w:vMerge w:val="restart"/>
            <w:vAlign w:val="center"/>
          </w:tcPr>
          <w:p w14:paraId="3055DCDE">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4"/>
              </w:rPr>
            </w:pPr>
            <w:bookmarkStart w:id="3" w:name="_Hlk49843745"/>
            <w:r>
              <w:rPr>
                <w:color w:val="auto"/>
                <w:sz w:val="24"/>
              </w:rPr>
              <w:t>建设项目</w:t>
            </w:r>
          </w:p>
          <w:p w14:paraId="47746BBA">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4"/>
              </w:rPr>
            </w:pPr>
            <w:r>
              <w:rPr>
                <w:color w:val="auto"/>
                <w:sz w:val="24"/>
              </w:rPr>
              <w:t>行业类别</w:t>
            </w:r>
            <w:bookmarkEnd w:id="3"/>
          </w:p>
        </w:tc>
        <w:tc>
          <w:tcPr>
            <w:tcW w:w="2935" w:type="dxa"/>
            <w:vMerge w:val="restart"/>
            <w:vAlign w:val="center"/>
          </w:tcPr>
          <w:p w14:paraId="4F8EDE67">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4"/>
              </w:rPr>
            </w:pPr>
            <w:r>
              <w:rPr>
                <w:rFonts w:hint="eastAsia"/>
                <w:color w:val="auto"/>
                <w:sz w:val="24"/>
              </w:rPr>
              <w:t>三十五</w:t>
            </w:r>
            <w:r>
              <w:rPr>
                <w:color w:val="auto"/>
                <w:sz w:val="24"/>
              </w:rPr>
              <w:t>、</w:t>
            </w:r>
            <w:r>
              <w:rPr>
                <w:rFonts w:hint="eastAsia"/>
                <w:color w:val="auto"/>
                <w:sz w:val="24"/>
              </w:rPr>
              <w:t xml:space="preserve">电气机械和器材制造业38 电机制造381；输配电及控制设备制造382 </w:t>
            </w:r>
          </w:p>
        </w:tc>
      </w:tr>
      <w:tr w14:paraId="171ED2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9" w:hRule="atLeast"/>
        </w:trPr>
        <w:tc>
          <w:tcPr>
            <w:tcW w:w="1866" w:type="dxa"/>
            <w:vMerge w:val="continue"/>
            <w:tcMar>
              <w:top w:w="16" w:type="dxa"/>
              <w:left w:w="16" w:type="dxa"/>
              <w:right w:w="16" w:type="dxa"/>
            </w:tcMar>
            <w:vAlign w:val="center"/>
          </w:tcPr>
          <w:p w14:paraId="610E099F">
            <w:pPr>
              <w:adjustRightInd w:val="0"/>
              <w:snapToGrid w:val="0"/>
              <w:jc w:val="center"/>
              <w:rPr>
                <w:color w:val="auto"/>
              </w:rPr>
            </w:pPr>
          </w:p>
        </w:tc>
        <w:tc>
          <w:tcPr>
            <w:tcW w:w="2250" w:type="dxa"/>
            <w:vAlign w:val="center"/>
          </w:tcPr>
          <w:p w14:paraId="21DF95A7">
            <w:pPr>
              <w:adjustRightInd w:val="0"/>
              <w:snapToGrid w:val="0"/>
              <w:jc w:val="center"/>
              <w:rPr>
                <w:color w:val="auto"/>
                <w:sz w:val="24"/>
              </w:rPr>
            </w:pPr>
            <w:r>
              <w:rPr>
                <w:rFonts w:hint="eastAsia"/>
                <w:color w:val="auto"/>
                <w:sz w:val="24"/>
              </w:rPr>
              <w:t>C3821变压器、整流器和电感器制造</w:t>
            </w:r>
          </w:p>
        </w:tc>
        <w:tc>
          <w:tcPr>
            <w:tcW w:w="1773" w:type="dxa"/>
            <w:vMerge w:val="continue"/>
            <w:vAlign w:val="center"/>
          </w:tcPr>
          <w:p w14:paraId="38A25FE8">
            <w:pPr>
              <w:adjustRightInd w:val="0"/>
              <w:snapToGrid w:val="0"/>
              <w:jc w:val="center"/>
              <w:rPr>
                <w:color w:val="auto"/>
                <w:sz w:val="24"/>
              </w:rPr>
            </w:pPr>
          </w:p>
        </w:tc>
        <w:tc>
          <w:tcPr>
            <w:tcW w:w="2935" w:type="dxa"/>
            <w:vMerge w:val="continue"/>
            <w:vAlign w:val="center"/>
          </w:tcPr>
          <w:p w14:paraId="14493863">
            <w:pPr>
              <w:adjustRightInd w:val="0"/>
              <w:snapToGrid w:val="0"/>
              <w:jc w:val="center"/>
              <w:rPr>
                <w:color w:val="auto"/>
                <w:sz w:val="24"/>
              </w:rPr>
            </w:pPr>
          </w:p>
        </w:tc>
      </w:tr>
      <w:tr w14:paraId="20DB6F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trPr>
        <w:tc>
          <w:tcPr>
            <w:tcW w:w="1866" w:type="dxa"/>
            <w:tcMar>
              <w:top w:w="16" w:type="dxa"/>
              <w:left w:w="16" w:type="dxa"/>
              <w:right w:w="16" w:type="dxa"/>
            </w:tcMar>
            <w:vAlign w:val="center"/>
          </w:tcPr>
          <w:p w14:paraId="27C2814E">
            <w:pPr>
              <w:adjustRightInd w:val="0"/>
              <w:snapToGrid w:val="0"/>
              <w:jc w:val="center"/>
              <w:rPr>
                <w:color w:val="auto"/>
                <w:sz w:val="24"/>
              </w:rPr>
            </w:pPr>
            <w:r>
              <w:rPr>
                <w:color w:val="auto"/>
                <w:sz w:val="24"/>
              </w:rPr>
              <w:t>建设性质</w:t>
            </w:r>
          </w:p>
        </w:tc>
        <w:tc>
          <w:tcPr>
            <w:tcW w:w="2250" w:type="dxa"/>
            <w:vAlign w:val="center"/>
          </w:tcPr>
          <w:p w14:paraId="6ABBA90C">
            <w:pPr>
              <w:jc w:val="left"/>
              <w:rPr>
                <w:color w:val="auto"/>
                <w:sz w:val="24"/>
              </w:rPr>
            </w:pPr>
            <w:r>
              <w:rPr>
                <w:rFonts w:ascii="Segoe UI Symbol" w:hAnsi="Segoe UI Symbol" w:cs="Segoe UI Symbol"/>
                <w:color w:val="auto"/>
                <w:sz w:val="24"/>
              </w:rPr>
              <w:t>☑</w:t>
            </w:r>
            <w:r>
              <w:rPr>
                <w:color w:val="auto"/>
                <w:sz w:val="24"/>
              </w:rPr>
              <w:t>新建（迁建）</w:t>
            </w:r>
          </w:p>
          <w:p w14:paraId="452CDDE9">
            <w:pPr>
              <w:jc w:val="left"/>
              <w:rPr>
                <w:color w:val="auto"/>
                <w:sz w:val="24"/>
              </w:rPr>
            </w:pPr>
            <w:r>
              <w:rPr>
                <w:rFonts w:hint="eastAsia"/>
                <w:color w:val="auto"/>
                <w:sz w:val="24"/>
              </w:rPr>
              <w:t>□</w:t>
            </w:r>
            <w:r>
              <w:rPr>
                <w:color w:val="auto"/>
                <w:sz w:val="24"/>
              </w:rPr>
              <w:t>改建</w:t>
            </w:r>
          </w:p>
          <w:p w14:paraId="40BE0F68">
            <w:pPr>
              <w:jc w:val="left"/>
              <w:rPr>
                <w:color w:val="auto"/>
                <w:sz w:val="24"/>
              </w:rPr>
            </w:pPr>
            <w:r>
              <w:rPr>
                <w:rFonts w:hint="eastAsia"/>
                <w:color w:val="auto"/>
                <w:sz w:val="24"/>
              </w:rPr>
              <w:t>□</w:t>
            </w:r>
            <w:r>
              <w:rPr>
                <w:color w:val="auto"/>
                <w:sz w:val="24"/>
              </w:rPr>
              <w:t>扩建</w:t>
            </w:r>
          </w:p>
          <w:p w14:paraId="345DF407">
            <w:pPr>
              <w:jc w:val="left"/>
              <w:rPr>
                <w:color w:val="auto"/>
                <w:sz w:val="24"/>
              </w:rPr>
            </w:pPr>
            <w:r>
              <w:rPr>
                <w:rFonts w:hint="eastAsia"/>
                <w:color w:val="auto"/>
                <w:sz w:val="24"/>
              </w:rPr>
              <w:t>□</w:t>
            </w:r>
            <w:r>
              <w:rPr>
                <w:color w:val="auto"/>
                <w:sz w:val="24"/>
              </w:rPr>
              <w:t>技术改造</w:t>
            </w:r>
          </w:p>
        </w:tc>
        <w:tc>
          <w:tcPr>
            <w:tcW w:w="1773" w:type="dxa"/>
            <w:vAlign w:val="center"/>
          </w:tcPr>
          <w:p w14:paraId="037A4FCE">
            <w:pPr>
              <w:adjustRightInd w:val="0"/>
              <w:snapToGrid w:val="0"/>
              <w:jc w:val="center"/>
              <w:rPr>
                <w:color w:val="auto"/>
                <w:sz w:val="24"/>
              </w:rPr>
            </w:pPr>
            <w:r>
              <w:rPr>
                <w:color w:val="auto"/>
                <w:sz w:val="24"/>
              </w:rPr>
              <w:t>建设项目</w:t>
            </w:r>
          </w:p>
          <w:p w14:paraId="68328042">
            <w:pPr>
              <w:adjustRightInd w:val="0"/>
              <w:snapToGrid w:val="0"/>
              <w:jc w:val="center"/>
              <w:rPr>
                <w:color w:val="auto"/>
                <w:sz w:val="24"/>
              </w:rPr>
            </w:pPr>
            <w:r>
              <w:rPr>
                <w:color w:val="auto"/>
                <w:sz w:val="24"/>
              </w:rPr>
              <w:t>申报情形</w:t>
            </w:r>
          </w:p>
        </w:tc>
        <w:tc>
          <w:tcPr>
            <w:tcW w:w="2935" w:type="dxa"/>
            <w:vAlign w:val="center"/>
          </w:tcPr>
          <w:p w14:paraId="43EE2B9D">
            <w:pPr>
              <w:jc w:val="left"/>
              <w:rPr>
                <w:color w:val="auto"/>
                <w:sz w:val="24"/>
              </w:rPr>
            </w:pPr>
            <w:r>
              <w:rPr>
                <w:rFonts w:ascii="Segoe UI Symbol" w:hAnsi="Segoe UI Symbol" w:cs="Segoe UI Symbol"/>
                <w:color w:val="auto"/>
                <w:sz w:val="24"/>
              </w:rPr>
              <w:t>☑</w:t>
            </w:r>
            <w:r>
              <w:rPr>
                <w:color w:val="auto"/>
                <w:sz w:val="24"/>
              </w:rPr>
              <w:t>首次申报项目</w:t>
            </w:r>
          </w:p>
          <w:p w14:paraId="3618C40F">
            <w:pPr>
              <w:jc w:val="left"/>
              <w:rPr>
                <w:color w:val="auto"/>
                <w:sz w:val="24"/>
              </w:rPr>
            </w:pPr>
            <w:r>
              <w:rPr>
                <w:rFonts w:hint="eastAsia"/>
                <w:color w:val="auto"/>
                <w:sz w:val="24"/>
              </w:rPr>
              <w:t>□</w:t>
            </w:r>
            <w:r>
              <w:rPr>
                <w:color w:val="auto"/>
                <w:sz w:val="24"/>
              </w:rPr>
              <w:t>不予批准后再次申报项目</w:t>
            </w:r>
          </w:p>
          <w:p w14:paraId="16F1B18D">
            <w:pPr>
              <w:jc w:val="left"/>
              <w:rPr>
                <w:color w:val="auto"/>
                <w:sz w:val="24"/>
              </w:rPr>
            </w:pPr>
            <w:r>
              <w:rPr>
                <w:rFonts w:hint="eastAsia"/>
                <w:color w:val="auto"/>
                <w:sz w:val="24"/>
              </w:rPr>
              <w:t>□</w:t>
            </w:r>
            <w:r>
              <w:rPr>
                <w:color w:val="auto"/>
                <w:sz w:val="24"/>
              </w:rPr>
              <w:t>超五年重新审核项目</w:t>
            </w:r>
          </w:p>
          <w:p w14:paraId="1667C12D">
            <w:pPr>
              <w:jc w:val="left"/>
              <w:rPr>
                <w:color w:val="auto"/>
                <w:sz w:val="24"/>
              </w:rPr>
            </w:pPr>
            <w:r>
              <w:rPr>
                <w:rFonts w:hint="eastAsia"/>
                <w:color w:val="auto"/>
                <w:sz w:val="24"/>
              </w:rPr>
              <w:t>□</w:t>
            </w:r>
            <w:r>
              <w:rPr>
                <w:color w:val="auto"/>
                <w:sz w:val="24"/>
              </w:rPr>
              <w:t>重大变动重新报批项目</w:t>
            </w:r>
          </w:p>
        </w:tc>
      </w:tr>
      <w:tr w14:paraId="2FC8BB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trPr>
        <w:tc>
          <w:tcPr>
            <w:tcW w:w="1866" w:type="dxa"/>
            <w:tcMar>
              <w:top w:w="16" w:type="dxa"/>
              <w:left w:w="16" w:type="dxa"/>
              <w:right w:w="16" w:type="dxa"/>
            </w:tcMar>
            <w:vAlign w:val="center"/>
          </w:tcPr>
          <w:p w14:paraId="759344C4">
            <w:pPr>
              <w:adjustRightInd w:val="0"/>
              <w:snapToGrid w:val="0"/>
              <w:jc w:val="center"/>
              <w:rPr>
                <w:color w:val="auto"/>
                <w:sz w:val="24"/>
              </w:rPr>
            </w:pPr>
            <w:r>
              <w:rPr>
                <w:color w:val="auto"/>
                <w:sz w:val="24"/>
              </w:rPr>
              <w:t>项目审批（核准/备案）部门（选填）</w:t>
            </w:r>
          </w:p>
        </w:tc>
        <w:tc>
          <w:tcPr>
            <w:tcW w:w="2250" w:type="dxa"/>
            <w:vAlign w:val="center"/>
          </w:tcPr>
          <w:p w14:paraId="2E4E3226">
            <w:pPr>
              <w:adjustRightInd w:val="0"/>
              <w:snapToGrid w:val="0"/>
              <w:jc w:val="center"/>
              <w:rPr>
                <w:color w:val="auto"/>
                <w:sz w:val="24"/>
              </w:rPr>
            </w:pPr>
            <w:r>
              <w:rPr>
                <w:rFonts w:hint="eastAsia"/>
                <w:color w:val="auto"/>
                <w:sz w:val="24"/>
              </w:rPr>
              <w:t>江苏涟水经济开发区管理委员会</w:t>
            </w:r>
          </w:p>
        </w:tc>
        <w:tc>
          <w:tcPr>
            <w:tcW w:w="1773" w:type="dxa"/>
            <w:vAlign w:val="center"/>
          </w:tcPr>
          <w:p w14:paraId="6332F05F">
            <w:pPr>
              <w:adjustRightInd w:val="0"/>
              <w:snapToGrid w:val="0"/>
              <w:jc w:val="center"/>
              <w:rPr>
                <w:color w:val="auto"/>
                <w:sz w:val="24"/>
              </w:rPr>
            </w:pPr>
            <w:r>
              <w:rPr>
                <w:color w:val="auto"/>
                <w:sz w:val="24"/>
              </w:rPr>
              <w:t>项目审批（核准/备案）文号（选填）</w:t>
            </w:r>
          </w:p>
        </w:tc>
        <w:tc>
          <w:tcPr>
            <w:tcW w:w="2935" w:type="dxa"/>
            <w:vAlign w:val="center"/>
          </w:tcPr>
          <w:p w14:paraId="308E1E93">
            <w:pPr>
              <w:widowControl/>
              <w:tabs>
                <w:tab w:val="left" w:pos="1800"/>
              </w:tabs>
              <w:jc w:val="center"/>
              <w:rPr>
                <w:color w:val="auto"/>
                <w:sz w:val="24"/>
              </w:rPr>
            </w:pPr>
            <w:r>
              <w:rPr>
                <w:rFonts w:hint="eastAsia"/>
                <w:color w:val="auto"/>
                <w:sz w:val="24"/>
              </w:rPr>
              <w:t>涟区开发备</w:t>
            </w:r>
            <w:r>
              <w:rPr>
                <w:rFonts w:hint="eastAsia"/>
                <w:color w:val="auto"/>
                <w:sz w:val="24"/>
                <w:lang w:eastAsia="zh-CN"/>
              </w:rPr>
              <w:t>〔2025〕</w:t>
            </w:r>
            <w:r>
              <w:rPr>
                <w:rFonts w:hint="eastAsia"/>
                <w:color w:val="auto"/>
                <w:sz w:val="24"/>
                <w:lang w:val="en-US" w:eastAsia="zh-CN"/>
              </w:rPr>
              <w:t>33</w:t>
            </w:r>
            <w:r>
              <w:rPr>
                <w:rFonts w:hint="eastAsia"/>
                <w:color w:val="auto"/>
                <w:sz w:val="24"/>
                <w:lang w:eastAsia="zh-CN"/>
              </w:rPr>
              <w:t>号</w:t>
            </w:r>
          </w:p>
        </w:tc>
      </w:tr>
      <w:tr w14:paraId="012536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866" w:type="dxa"/>
            <w:tcMar>
              <w:top w:w="16" w:type="dxa"/>
              <w:left w:w="16" w:type="dxa"/>
              <w:right w:w="16" w:type="dxa"/>
            </w:tcMar>
            <w:vAlign w:val="center"/>
          </w:tcPr>
          <w:p w14:paraId="07DEA812">
            <w:pPr>
              <w:adjustRightInd w:val="0"/>
              <w:snapToGrid w:val="0"/>
              <w:jc w:val="center"/>
              <w:rPr>
                <w:color w:val="auto"/>
                <w:sz w:val="24"/>
              </w:rPr>
            </w:pPr>
            <w:r>
              <w:rPr>
                <w:color w:val="auto"/>
                <w:sz w:val="24"/>
              </w:rPr>
              <w:t>总投资（万元）</w:t>
            </w:r>
          </w:p>
        </w:tc>
        <w:tc>
          <w:tcPr>
            <w:tcW w:w="2250" w:type="dxa"/>
            <w:vAlign w:val="center"/>
          </w:tcPr>
          <w:p w14:paraId="7A0D27E8">
            <w:pPr>
              <w:adjustRightInd w:val="0"/>
              <w:snapToGrid w:val="0"/>
              <w:jc w:val="center"/>
              <w:rPr>
                <w:color w:val="auto"/>
                <w:sz w:val="24"/>
              </w:rPr>
            </w:pPr>
            <w:r>
              <w:rPr>
                <w:rFonts w:hint="eastAsia"/>
                <w:color w:val="auto"/>
                <w:sz w:val="24"/>
              </w:rPr>
              <w:t>20000</w:t>
            </w:r>
          </w:p>
        </w:tc>
        <w:tc>
          <w:tcPr>
            <w:tcW w:w="1773" w:type="dxa"/>
            <w:tcMar>
              <w:top w:w="16" w:type="dxa"/>
              <w:left w:w="16" w:type="dxa"/>
              <w:right w:w="16" w:type="dxa"/>
            </w:tcMar>
            <w:vAlign w:val="center"/>
          </w:tcPr>
          <w:p w14:paraId="773D5F17">
            <w:pPr>
              <w:adjustRightInd w:val="0"/>
              <w:snapToGrid w:val="0"/>
              <w:jc w:val="center"/>
              <w:rPr>
                <w:color w:val="auto"/>
                <w:sz w:val="24"/>
              </w:rPr>
            </w:pPr>
            <w:r>
              <w:rPr>
                <w:color w:val="auto"/>
                <w:sz w:val="24"/>
              </w:rPr>
              <w:t>环保投资（万元）</w:t>
            </w:r>
          </w:p>
        </w:tc>
        <w:tc>
          <w:tcPr>
            <w:tcW w:w="2935" w:type="dxa"/>
            <w:vAlign w:val="center"/>
          </w:tcPr>
          <w:p w14:paraId="0B0A32E7">
            <w:pPr>
              <w:adjustRightInd w:val="0"/>
              <w:snapToGrid w:val="0"/>
              <w:jc w:val="center"/>
              <w:rPr>
                <w:color w:val="auto"/>
                <w:sz w:val="24"/>
              </w:rPr>
            </w:pPr>
            <w:r>
              <w:rPr>
                <w:rFonts w:hint="eastAsia"/>
                <w:color w:val="auto"/>
                <w:sz w:val="24"/>
              </w:rPr>
              <w:t>18.3</w:t>
            </w:r>
          </w:p>
        </w:tc>
      </w:tr>
      <w:tr w14:paraId="17EC91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866" w:type="dxa"/>
            <w:tcMar>
              <w:top w:w="16" w:type="dxa"/>
              <w:left w:w="16" w:type="dxa"/>
              <w:right w:w="16" w:type="dxa"/>
            </w:tcMar>
            <w:vAlign w:val="center"/>
          </w:tcPr>
          <w:p w14:paraId="1158DF51">
            <w:pPr>
              <w:adjustRightInd w:val="0"/>
              <w:snapToGrid w:val="0"/>
              <w:jc w:val="center"/>
              <w:rPr>
                <w:color w:val="auto"/>
                <w:sz w:val="24"/>
              </w:rPr>
            </w:pPr>
            <w:r>
              <w:rPr>
                <w:color w:val="auto"/>
                <w:sz w:val="24"/>
              </w:rPr>
              <w:t>环保投资占比（%）</w:t>
            </w:r>
          </w:p>
        </w:tc>
        <w:tc>
          <w:tcPr>
            <w:tcW w:w="2250" w:type="dxa"/>
            <w:vAlign w:val="center"/>
          </w:tcPr>
          <w:p w14:paraId="076DB970">
            <w:pPr>
              <w:adjustRightInd w:val="0"/>
              <w:snapToGrid w:val="0"/>
              <w:jc w:val="center"/>
              <w:rPr>
                <w:color w:val="auto"/>
                <w:sz w:val="24"/>
              </w:rPr>
            </w:pPr>
            <w:r>
              <w:rPr>
                <w:rFonts w:hint="eastAsia"/>
                <w:color w:val="auto"/>
                <w:sz w:val="24"/>
              </w:rPr>
              <w:t>0.09%</w:t>
            </w:r>
          </w:p>
        </w:tc>
        <w:tc>
          <w:tcPr>
            <w:tcW w:w="1773" w:type="dxa"/>
            <w:tcMar>
              <w:top w:w="16" w:type="dxa"/>
              <w:left w:w="16" w:type="dxa"/>
              <w:right w:w="16" w:type="dxa"/>
            </w:tcMar>
            <w:vAlign w:val="center"/>
          </w:tcPr>
          <w:p w14:paraId="53FEC605">
            <w:pPr>
              <w:adjustRightInd w:val="0"/>
              <w:snapToGrid w:val="0"/>
              <w:jc w:val="center"/>
              <w:rPr>
                <w:color w:val="auto"/>
                <w:sz w:val="24"/>
              </w:rPr>
            </w:pPr>
            <w:r>
              <w:rPr>
                <w:color w:val="auto"/>
                <w:sz w:val="24"/>
              </w:rPr>
              <w:t>施工工期</w:t>
            </w:r>
          </w:p>
        </w:tc>
        <w:tc>
          <w:tcPr>
            <w:tcW w:w="2935" w:type="dxa"/>
            <w:vAlign w:val="center"/>
          </w:tcPr>
          <w:p w14:paraId="46EFE7FA">
            <w:pPr>
              <w:adjustRightInd w:val="0"/>
              <w:snapToGrid w:val="0"/>
              <w:jc w:val="center"/>
              <w:rPr>
                <w:color w:val="auto"/>
                <w:sz w:val="24"/>
              </w:rPr>
            </w:pPr>
            <w:r>
              <w:rPr>
                <w:rFonts w:hint="eastAsia"/>
                <w:color w:val="auto"/>
                <w:sz w:val="24"/>
              </w:rPr>
              <w:t>3个月</w:t>
            </w:r>
          </w:p>
        </w:tc>
      </w:tr>
      <w:tr w14:paraId="44F95B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866" w:type="dxa"/>
            <w:tcMar>
              <w:top w:w="16" w:type="dxa"/>
              <w:left w:w="16" w:type="dxa"/>
              <w:right w:w="16" w:type="dxa"/>
            </w:tcMar>
            <w:vAlign w:val="center"/>
          </w:tcPr>
          <w:p w14:paraId="0938018F">
            <w:pPr>
              <w:adjustRightInd w:val="0"/>
              <w:snapToGrid w:val="0"/>
              <w:jc w:val="center"/>
              <w:rPr>
                <w:color w:val="auto"/>
                <w:sz w:val="24"/>
              </w:rPr>
            </w:pPr>
            <w:r>
              <w:rPr>
                <w:color w:val="auto"/>
                <w:sz w:val="24"/>
              </w:rPr>
              <w:t>是否开工建设</w:t>
            </w:r>
          </w:p>
        </w:tc>
        <w:tc>
          <w:tcPr>
            <w:tcW w:w="2250" w:type="dxa"/>
            <w:vAlign w:val="center"/>
          </w:tcPr>
          <w:p w14:paraId="1F38E816">
            <w:pPr>
              <w:adjustRightInd w:val="0"/>
              <w:snapToGrid w:val="0"/>
              <w:rPr>
                <w:color w:val="auto"/>
                <w:sz w:val="24"/>
              </w:rPr>
            </w:pPr>
            <w:r>
              <w:rPr>
                <w:rFonts w:ascii="Segoe UI Symbol" w:hAnsi="Segoe UI Symbol" w:cs="Segoe UI Symbol"/>
                <w:color w:val="auto"/>
                <w:sz w:val="24"/>
              </w:rPr>
              <w:t>☑</w:t>
            </w:r>
            <w:r>
              <w:rPr>
                <w:color w:val="auto"/>
                <w:sz w:val="24"/>
              </w:rPr>
              <w:t>否</w:t>
            </w:r>
          </w:p>
          <w:p w14:paraId="477EBC10">
            <w:pPr>
              <w:adjustRightInd w:val="0"/>
              <w:snapToGrid w:val="0"/>
              <w:rPr>
                <w:color w:val="auto"/>
                <w:sz w:val="24"/>
              </w:rPr>
            </w:pPr>
            <w:r>
              <w:rPr>
                <w:rFonts w:hint="eastAsia"/>
                <w:color w:val="auto"/>
                <w:sz w:val="24"/>
              </w:rPr>
              <w:t>□</w:t>
            </w:r>
            <w:r>
              <w:rPr>
                <w:color w:val="auto"/>
                <w:sz w:val="24"/>
              </w:rPr>
              <w:t>是：</w:t>
            </w:r>
            <w:r>
              <w:rPr>
                <w:rFonts w:hint="eastAsia"/>
                <w:color w:val="auto"/>
                <w:sz w:val="24"/>
                <w:u w:val="single"/>
              </w:rPr>
              <w:t xml:space="preserve">         </w:t>
            </w:r>
          </w:p>
        </w:tc>
        <w:tc>
          <w:tcPr>
            <w:tcW w:w="1773" w:type="dxa"/>
            <w:tcMar>
              <w:top w:w="16" w:type="dxa"/>
              <w:left w:w="16" w:type="dxa"/>
              <w:right w:w="16" w:type="dxa"/>
            </w:tcMar>
            <w:vAlign w:val="center"/>
          </w:tcPr>
          <w:p w14:paraId="145032AA">
            <w:pPr>
              <w:adjustRightInd w:val="0"/>
              <w:snapToGrid w:val="0"/>
              <w:ind w:firstLine="456"/>
              <w:jc w:val="center"/>
              <w:rPr>
                <w:color w:val="auto"/>
                <w:spacing w:val="-6"/>
                <w:sz w:val="24"/>
              </w:rPr>
            </w:pPr>
            <w:r>
              <w:rPr>
                <w:color w:val="auto"/>
                <w:spacing w:val="-6"/>
                <w:sz w:val="24"/>
              </w:rPr>
              <w:t>用地（用海）</w:t>
            </w:r>
          </w:p>
          <w:p w14:paraId="11408548">
            <w:pPr>
              <w:adjustRightInd w:val="0"/>
              <w:snapToGrid w:val="0"/>
              <w:ind w:firstLine="456"/>
              <w:jc w:val="center"/>
              <w:rPr>
                <w:color w:val="auto"/>
                <w:sz w:val="24"/>
              </w:rPr>
            </w:pPr>
            <w:r>
              <w:rPr>
                <w:color w:val="auto"/>
                <w:spacing w:val="-6"/>
                <w:sz w:val="24"/>
              </w:rPr>
              <w:t>面积（m</w:t>
            </w:r>
            <w:r>
              <w:rPr>
                <w:color w:val="auto"/>
                <w:spacing w:val="-6"/>
                <w:sz w:val="24"/>
                <w:vertAlign w:val="superscript"/>
              </w:rPr>
              <w:t>2</w:t>
            </w:r>
            <w:r>
              <w:rPr>
                <w:color w:val="auto"/>
                <w:spacing w:val="-6"/>
                <w:sz w:val="24"/>
              </w:rPr>
              <w:t>）</w:t>
            </w:r>
          </w:p>
        </w:tc>
        <w:tc>
          <w:tcPr>
            <w:tcW w:w="2935" w:type="dxa"/>
            <w:vAlign w:val="center"/>
          </w:tcPr>
          <w:p w14:paraId="1F0EADF9">
            <w:pPr>
              <w:adjustRightInd w:val="0"/>
              <w:snapToGrid w:val="0"/>
              <w:jc w:val="center"/>
              <w:rPr>
                <w:rFonts w:hint="default" w:eastAsia="宋体"/>
                <w:color w:val="auto"/>
                <w:sz w:val="24"/>
                <w:lang w:val="en-US" w:eastAsia="zh-CN"/>
              </w:rPr>
            </w:pPr>
            <w:r>
              <w:rPr>
                <w:rFonts w:hint="eastAsia"/>
                <w:color w:val="auto"/>
                <w:sz w:val="24"/>
                <w:lang w:val="en-US" w:eastAsia="zh-CN"/>
              </w:rPr>
              <w:t>22890</w:t>
            </w:r>
          </w:p>
        </w:tc>
      </w:tr>
      <w:tr w14:paraId="3CA990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866" w:type="dxa"/>
            <w:vAlign w:val="center"/>
          </w:tcPr>
          <w:p w14:paraId="7235D47D">
            <w:pPr>
              <w:autoSpaceDE w:val="0"/>
              <w:autoSpaceDN w:val="0"/>
              <w:adjustRightInd w:val="0"/>
              <w:snapToGrid w:val="0"/>
              <w:jc w:val="center"/>
              <w:rPr>
                <w:color w:val="auto"/>
                <w:kern w:val="0"/>
                <w:sz w:val="24"/>
              </w:rPr>
            </w:pPr>
            <w:r>
              <w:rPr>
                <w:color w:val="auto"/>
                <w:kern w:val="0"/>
                <w:sz w:val="24"/>
              </w:rPr>
              <w:t>专项评价设置情况</w:t>
            </w:r>
          </w:p>
        </w:tc>
        <w:tc>
          <w:tcPr>
            <w:tcW w:w="6958" w:type="dxa"/>
            <w:gridSpan w:val="3"/>
            <w:vAlign w:val="center"/>
          </w:tcPr>
          <w:p w14:paraId="7DF111D3">
            <w:pPr>
              <w:autoSpaceDE w:val="0"/>
              <w:autoSpaceDN w:val="0"/>
              <w:adjustRightInd w:val="0"/>
              <w:snapToGrid w:val="0"/>
              <w:jc w:val="center"/>
              <w:rPr>
                <w:color w:val="auto"/>
                <w:kern w:val="0"/>
                <w:sz w:val="24"/>
              </w:rPr>
            </w:pPr>
            <w:r>
              <w:rPr>
                <w:color w:val="auto"/>
                <w:kern w:val="0"/>
                <w:sz w:val="24"/>
              </w:rPr>
              <w:t>无</w:t>
            </w:r>
          </w:p>
        </w:tc>
      </w:tr>
      <w:tr w14:paraId="252892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866" w:type="dxa"/>
            <w:vAlign w:val="center"/>
          </w:tcPr>
          <w:p w14:paraId="2E65D701">
            <w:pPr>
              <w:autoSpaceDE w:val="0"/>
              <w:autoSpaceDN w:val="0"/>
              <w:adjustRightInd w:val="0"/>
              <w:snapToGrid w:val="0"/>
              <w:jc w:val="center"/>
              <w:rPr>
                <w:color w:val="auto"/>
                <w:kern w:val="0"/>
                <w:sz w:val="24"/>
              </w:rPr>
            </w:pPr>
            <w:r>
              <w:rPr>
                <w:color w:val="auto"/>
                <w:sz w:val="24"/>
              </w:rPr>
              <w:t>规划情况</w:t>
            </w:r>
          </w:p>
        </w:tc>
        <w:tc>
          <w:tcPr>
            <w:tcW w:w="6958" w:type="dxa"/>
            <w:gridSpan w:val="3"/>
            <w:shd w:val="clear" w:color="auto" w:fill="auto"/>
            <w:vAlign w:val="center"/>
          </w:tcPr>
          <w:p w14:paraId="589D86E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color w:val="auto"/>
                <w:sz w:val="24"/>
              </w:rPr>
            </w:pPr>
            <w:r>
              <w:rPr>
                <w:rFonts w:hint="eastAsia"/>
                <w:color w:val="auto"/>
                <w:sz w:val="24"/>
              </w:rPr>
              <w:t>涟水县人民政府于2021年8月2日同意设立涟水新港电子产业科技园，《关于原则同意设立涟水新港电子产业科技园的批复》（涟政复〔2021〕30号）</w:t>
            </w:r>
          </w:p>
        </w:tc>
      </w:tr>
      <w:tr w14:paraId="5C89E8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1866" w:type="dxa"/>
            <w:vAlign w:val="center"/>
          </w:tcPr>
          <w:p w14:paraId="1C3E0742">
            <w:pPr>
              <w:adjustRightInd w:val="0"/>
              <w:snapToGrid w:val="0"/>
              <w:jc w:val="center"/>
              <w:rPr>
                <w:color w:val="auto"/>
                <w:sz w:val="24"/>
              </w:rPr>
            </w:pPr>
            <w:r>
              <w:rPr>
                <w:color w:val="auto"/>
                <w:sz w:val="24"/>
              </w:rPr>
              <w:t>规划环境影响评价情况</w:t>
            </w:r>
          </w:p>
        </w:tc>
        <w:tc>
          <w:tcPr>
            <w:tcW w:w="6958" w:type="dxa"/>
            <w:gridSpan w:val="3"/>
            <w:shd w:val="clear" w:color="auto" w:fill="auto"/>
            <w:vAlign w:val="center"/>
          </w:tcPr>
          <w:p w14:paraId="09CC1240">
            <w:pPr>
              <w:autoSpaceDE w:val="0"/>
              <w:autoSpaceDN w:val="0"/>
              <w:adjustRightInd w:val="0"/>
              <w:snapToGrid w:val="0"/>
              <w:spacing w:line="360" w:lineRule="auto"/>
              <w:jc w:val="left"/>
              <w:rPr>
                <w:color w:val="auto"/>
                <w:sz w:val="24"/>
              </w:rPr>
            </w:pPr>
            <w:r>
              <w:rPr>
                <w:rFonts w:hint="eastAsia"/>
                <w:color w:val="auto"/>
                <w:sz w:val="24"/>
              </w:rPr>
              <w:t>规划环评文件名称：《新港电子产业科技园开发建设规划环境影响报告书》</w:t>
            </w:r>
          </w:p>
          <w:p w14:paraId="4786E1F0">
            <w:pPr>
              <w:autoSpaceDE w:val="0"/>
              <w:autoSpaceDN w:val="0"/>
              <w:adjustRightInd w:val="0"/>
              <w:snapToGrid w:val="0"/>
              <w:spacing w:line="360" w:lineRule="auto"/>
              <w:jc w:val="left"/>
              <w:rPr>
                <w:color w:val="auto"/>
                <w:sz w:val="24"/>
              </w:rPr>
            </w:pPr>
            <w:r>
              <w:rPr>
                <w:rFonts w:hint="eastAsia"/>
                <w:color w:val="auto"/>
                <w:sz w:val="24"/>
              </w:rPr>
              <w:t>审查机关：淮安市涟水生态环境局</w:t>
            </w:r>
          </w:p>
          <w:p w14:paraId="0EB2A01D">
            <w:pPr>
              <w:autoSpaceDE w:val="0"/>
              <w:autoSpaceDN w:val="0"/>
              <w:adjustRightInd w:val="0"/>
              <w:snapToGrid w:val="0"/>
              <w:spacing w:line="360" w:lineRule="auto"/>
              <w:jc w:val="left"/>
              <w:rPr>
                <w:color w:val="auto"/>
                <w:sz w:val="24"/>
                <w:lang w:val="zh-CN"/>
              </w:rPr>
            </w:pPr>
            <w:r>
              <w:rPr>
                <w:rFonts w:hint="eastAsia"/>
                <w:color w:val="auto"/>
                <w:sz w:val="24"/>
              </w:rPr>
              <w:t>审查文件名称及文号：关于转送《涟水新港电子产业科技园开发建设规划环境影响报告书》审查意见的函，涟环函〔2022〕56号。</w:t>
            </w:r>
          </w:p>
        </w:tc>
      </w:tr>
    </w:tbl>
    <w:p w14:paraId="2F10D47F">
      <w:pPr>
        <w:autoSpaceDE w:val="0"/>
        <w:autoSpaceDN w:val="0"/>
        <w:adjustRightInd w:val="0"/>
        <w:snapToGrid w:val="0"/>
        <w:jc w:val="center"/>
        <w:rPr>
          <w:color w:val="auto"/>
          <w:kern w:val="0"/>
          <w:sz w:val="24"/>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pgNumType w:start="1"/>
          <w:cols w:space="720" w:num="1"/>
          <w:docGrid w:linePitch="312" w:charSpace="0"/>
        </w:sectPr>
      </w:pPr>
    </w:p>
    <w:tbl>
      <w:tblPr>
        <w:tblStyle w:val="88"/>
        <w:tblpPr w:leftFromText="180" w:rightFromText="180" w:vertAnchor="text" w:tblpXSpec="center" w:tblpY="1"/>
        <w:tblOverlap w:val="never"/>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6"/>
        <w:gridCol w:w="8048"/>
      </w:tblGrid>
      <w:tr w14:paraId="0221FA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753" w:hRule="atLeast"/>
        </w:trPr>
        <w:tc>
          <w:tcPr>
            <w:tcW w:w="776" w:type="dxa"/>
            <w:vAlign w:val="center"/>
          </w:tcPr>
          <w:p w14:paraId="45F4F714">
            <w:pPr>
              <w:autoSpaceDE w:val="0"/>
              <w:autoSpaceDN w:val="0"/>
              <w:adjustRightInd w:val="0"/>
              <w:snapToGrid w:val="0"/>
              <w:jc w:val="center"/>
              <w:rPr>
                <w:color w:val="auto"/>
                <w:kern w:val="0"/>
                <w:sz w:val="24"/>
              </w:rPr>
            </w:pPr>
            <w:r>
              <w:rPr>
                <w:color w:val="auto"/>
                <w:kern w:val="0"/>
                <w:sz w:val="24"/>
              </w:rPr>
              <w:t>规划及规划环境影响评价符合性分析</w:t>
            </w:r>
          </w:p>
        </w:tc>
        <w:tc>
          <w:tcPr>
            <w:tcW w:w="8048" w:type="dxa"/>
            <w:vAlign w:val="center"/>
          </w:tcPr>
          <w:p w14:paraId="51A01319">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b/>
                <w:color w:val="auto"/>
                <w:sz w:val="24"/>
              </w:rPr>
            </w:pPr>
            <w:r>
              <w:rPr>
                <w:b/>
                <w:color w:val="auto"/>
                <w:sz w:val="24"/>
              </w:rPr>
              <w:t>1.1与规划及规划环评相符性分析</w:t>
            </w:r>
          </w:p>
          <w:p w14:paraId="561AEBA3">
            <w:pPr>
              <w:adjustRightInd w:val="0"/>
              <w:snapToGrid w:val="0"/>
              <w:jc w:val="center"/>
              <w:rPr>
                <w:bCs/>
                <w:color w:val="auto"/>
                <w:sz w:val="24"/>
              </w:rPr>
            </w:pPr>
            <w:r>
              <w:rPr>
                <w:rFonts w:hint="eastAsia"/>
                <w:bCs/>
                <w:color w:val="auto"/>
                <w:sz w:val="24"/>
              </w:rPr>
              <w:t>本项目与</w:t>
            </w:r>
            <w:r>
              <w:rPr>
                <w:rFonts w:hint="eastAsia"/>
                <w:color w:val="auto"/>
                <w:sz w:val="24"/>
              </w:rPr>
              <w:t>涟水新港电子产业科技园</w:t>
            </w:r>
            <w:r>
              <w:rPr>
                <w:rFonts w:hint="eastAsia"/>
                <w:bCs/>
                <w:color w:val="auto"/>
                <w:sz w:val="24"/>
              </w:rPr>
              <w:t>规划的相符性分析详见表1-1。</w:t>
            </w:r>
          </w:p>
          <w:p w14:paraId="1F8407E8">
            <w:pPr>
              <w:adjustRightInd w:val="0"/>
              <w:snapToGrid w:val="0"/>
              <w:ind w:firstLine="482"/>
              <w:jc w:val="center"/>
              <w:rPr>
                <w:b/>
                <w:color w:val="auto"/>
                <w:sz w:val="24"/>
              </w:rPr>
            </w:pPr>
            <w:r>
              <w:rPr>
                <w:b/>
                <w:color w:val="auto"/>
                <w:sz w:val="24"/>
              </w:rPr>
              <w:t>表1</w:t>
            </w:r>
            <w:r>
              <w:rPr>
                <w:rFonts w:hint="eastAsia"/>
                <w:b/>
                <w:color w:val="auto"/>
                <w:sz w:val="24"/>
              </w:rPr>
              <w:t>-1本项目与园区规划相符性分析</w:t>
            </w:r>
          </w:p>
          <w:tbl>
            <w:tblPr>
              <w:tblStyle w:val="8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3468"/>
              <w:gridCol w:w="2204"/>
              <w:gridCol w:w="940"/>
            </w:tblGrid>
            <w:tr w14:paraId="199B33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4" w:type="dxa"/>
                  <w:gridSpan w:val="2"/>
                  <w:tcBorders>
                    <w:tl2br w:val="nil"/>
                    <w:tr2bl w:val="nil"/>
                  </w:tcBorders>
                  <w:vAlign w:val="center"/>
                </w:tcPr>
                <w:p w14:paraId="5311D066">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sz w:val="21"/>
                      <w:szCs w:val="21"/>
                    </w:rPr>
                  </w:pPr>
                  <w:r>
                    <w:rPr>
                      <w:b/>
                      <w:bCs/>
                      <w:color w:val="auto"/>
                      <w:sz w:val="21"/>
                      <w:szCs w:val="21"/>
                    </w:rPr>
                    <w:t>规划内容</w:t>
                  </w:r>
                </w:p>
              </w:tc>
              <w:tc>
                <w:tcPr>
                  <w:tcW w:w="2019" w:type="dxa"/>
                  <w:tcBorders>
                    <w:tl2br w:val="nil"/>
                    <w:tr2bl w:val="nil"/>
                  </w:tcBorders>
                  <w:vAlign w:val="center"/>
                </w:tcPr>
                <w:p w14:paraId="3975684C">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sz w:val="21"/>
                      <w:szCs w:val="21"/>
                    </w:rPr>
                  </w:pPr>
                  <w:r>
                    <w:rPr>
                      <w:b/>
                      <w:bCs/>
                      <w:color w:val="auto"/>
                      <w:sz w:val="21"/>
                      <w:szCs w:val="21"/>
                    </w:rPr>
                    <w:t>本项目情况</w:t>
                  </w:r>
                </w:p>
              </w:tc>
              <w:tc>
                <w:tcPr>
                  <w:tcW w:w="861" w:type="dxa"/>
                  <w:tcBorders>
                    <w:tl2br w:val="nil"/>
                    <w:tr2bl w:val="nil"/>
                  </w:tcBorders>
                  <w:vAlign w:val="center"/>
                </w:tcPr>
                <w:p w14:paraId="4DD1627C">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sz w:val="21"/>
                      <w:szCs w:val="21"/>
                    </w:rPr>
                  </w:pPr>
                  <w:r>
                    <w:rPr>
                      <w:b/>
                      <w:bCs/>
                      <w:color w:val="auto"/>
                      <w:sz w:val="21"/>
                      <w:szCs w:val="21"/>
                    </w:rPr>
                    <w:t>符合性分析</w:t>
                  </w:r>
                </w:p>
              </w:tc>
            </w:tr>
            <w:tr w14:paraId="279869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vMerge w:val="restart"/>
                  <w:tcBorders>
                    <w:tl2br w:val="nil"/>
                    <w:tr2bl w:val="nil"/>
                  </w:tcBorders>
                  <w:vAlign w:val="center"/>
                </w:tcPr>
                <w:p w14:paraId="21054B3A">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color w:val="auto"/>
                      <w:sz w:val="21"/>
                      <w:szCs w:val="21"/>
                    </w:rPr>
                    <w:t>《涟水新港电子产业科技园开发建设规划环境影响评价报告书》</w:t>
                  </w:r>
                </w:p>
              </w:tc>
              <w:tc>
                <w:tcPr>
                  <w:tcW w:w="3177" w:type="dxa"/>
                  <w:tcBorders>
                    <w:tl2br w:val="nil"/>
                    <w:tr2bl w:val="nil"/>
                  </w:tcBorders>
                  <w:vAlign w:val="center"/>
                </w:tcPr>
                <w:p w14:paraId="3C81C2A9">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color w:val="auto"/>
                      <w:sz w:val="21"/>
                      <w:szCs w:val="21"/>
                    </w:rPr>
                    <w:t>规划范围四至边界：北临北环路（省道235），西至港口路，南达兴隆路，东跨淮浦路至兴隆路围合，总用地面积177.81公顷</w:t>
                  </w:r>
                </w:p>
              </w:tc>
              <w:tc>
                <w:tcPr>
                  <w:tcW w:w="2019" w:type="dxa"/>
                  <w:tcBorders>
                    <w:tl2br w:val="nil"/>
                    <w:tr2bl w:val="nil"/>
                  </w:tcBorders>
                  <w:vAlign w:val="center"/>
                </w:tcPr>
                <w:p w14:paraId="2135814C">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rFonts w:hint="eastAsia"/>
                      <w:color w:val="auto"/>
                      <w:sz w:val="21"/>
                      <w:szCs w:val="21"/>
                    </w:rPr>
                    <w:t>建设项目位于江苏涟水经济开发区涟古路北侧，兴隆路西侧</w:t>
                  </w:r>
                </w:p>
              </w:tc>
              <w:tc>
                <w:tcPr>
                  <w:tcW w:w="861" w:type="dxa"/>
                  <w:tcBorders>
                    <w:tl2br w:val="nil"/>
                    <w:tr2bl w:val="nil"/>
                  </w:tcBorders>
                  <w:vAlign w:val="center"/>
                </w:tcPr>
                <w:p w14:paraId="288131EA">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color w:val="auto"/>
                      <w:sz w:val="21"/>
                      <w:szCs w:val="21"/>
                    </w:rPr>
                    <w:t>符合</w:t>
                  </w:r>
                </w:p>
              </w:tc>
            </w:tr>
            <w:tr w14:paraId="5B5B90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vMerge w:val="continue"/>
                  <w:tcBorders>
                    <w:tl2br w:val="nil"/>
                    <w:tr2bl w:val="nil"/>
                  </w:tcBorders>
                  <w:vAlign w:val="center"/>
                </w:tcPr>
                <w:p w14:paraId="38CC1776">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p>
              </w:tc>
              <w:tc>
                <w:tcPr>
                  <w:tcW w:w="3177" w:type="dxa"/>
                  <w:tcBorders>
                    <w:tl2br w:val="nil"/>
                    <w:tr2bl w:val="nil"/>
                  </w:tcBorders>
                  <w:vAlign w:val="center"/>
                </w:tcPr>
                <w:p w14:paraId="65CF854E">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color w:val="auto"/>
                      <w:sz w:val="21"/>
                      <w:szCs w:val="21"/>
                    </w:rPr>
                    <w:t>产业定位：大中型电子信息制造企业集中、科技含量高、污染受控、环境优美、公用设施配套齐全的制造产业基地。规划确定园区的主导产业为电子信息产业及电子信息相关产业。</w:t>
                  </w:r>
                </w:p>
              </w:tc>
              <w:tc>
                <w:tcPr>
                  <w:tcW w:w="2019" w:type="dxa"/>
                  <w:tcBorders>
                    <w:tl2br w:val="nil"/>
                    <w:tr2bl w:val="nil"/>
                  </w:tcBorders>
                  <w:vAlign w:val="center"/>
                </w:tcPr>
                <w:p w14:paraId="74D7D245">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rFonts w:hint="eastAsia"/>
                      <w:color w:val="auto"/>
                      <w:sz w:val="21"/>
                      <w:szCs w:val="21"/>
                    </w:rPr>
                    <w:t>本项目为电机、变频器生产</w:t>
                  </w:r>
                  <w:r>
                    <w:rPr>
                      <w:rFonts w:hint="eastAsia"/>
                      <w:color w:val="auto"/>
                      <w:sz w:val="21"/>
                      <w:szCs w:val="21"/>
                      <w:lang w:eastAsia="zh-CN"/>
                    </w:rPr>
                    <w:t>项目</w:t>
                  </w:r>
                  <w:r>
                    <w:rPr>
                      <w:rFonts w:hint="eastAsia"/>
                      <w:color w:val="auto"/>
                      <w:sz w:val="21"/>
                      <w:szCs w:val="21"/>
                    </w:rPr>
                    <w:t>，不属于园区禁止产业，属于允许类，符合园区产业定位。</w:t>
                  </w:r>
                </w:p>
              </w:tc>
              <w:tc>
                <w:tcPr>
                  <w:tcW w:w="861" w:type="dxa"/>
                  <w:tcBorders>
                    <w:tl2br w:val="nil"/>
                    <w:tr2bl w:val="nil"/>
                  </w:tcBorders>
                  <w:vAlign w:val="center"/>
                </w:tcPr>
                <w:p w14:paraId="22963EC2">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color w:val="auto"/>
                      <w:sz w:val="21"/>
                      <w:szCs w:val="21"/>
                    </w:rPr>
                    <w:t>符合</w:t>
                  </w:r>
                </w:p>
              </w:tc>
            </w:tr>
          </w:tbl>
          <w:p w14:paraId="5C8E8AF0">
            <w:pPr>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0"/>
              <w:textAlignment w:val="auto"/>
              <w:rPr>
                <w:b/>
                <w:color w:val="auto"/>
                <w:sz w:val="24"/>
              </w:rPr>
            </w:pPr>
            <w:r>
              <w:rPr>
                <w:rFonts w:hint="eastAsia"/>
                <w:b/>
                <w:color w:val="auto"/>
                <w:sz w:val="24"/>
              </w:rPr>
              <w:t>1.2项目与园区规划环评审查意见的相符性分析</w:t>
            </w:r>
          </w:p>
          <w:p w14:paraId="71379B10">
            <w:pPr>
              <w:adjustRightInd w:val="0"/>
              <w:snapToGrid w:val="0"/>
              <w:ind w:firstLine="482"/>
              <w:jc w:val="center"/>
              <w:rPr>
                <w:b/>
                <w:color w:val="auto"/>
                <w:sz w:val="24"/>
              </w:rPr>
            </w:pPr>
            <w:r>
              <w:rPr>
                <w:rFonts w:hint="eastAsia"/>
                <w:b/>
                <w:color w:val="auto"/>
                <w:sz w:val="24"/>
              </w:rPr>
              <w:t>表1-2与涟环函〔2022〕56号相符性分析</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8"/>
              <w:gridCol w:w="3672"/>
              <w:gridCol w:w="2669"/>
              <w:gridCol w:w="803"/>
            </w:tblGrid>
            <w:tr w14:paraId="63C0C7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dxa"/>
                  <w:tcBorders>
                    <w:tl2br w:val="nil"/>
                    <w:tr2bl w:val="nil"/>
                  </w:tcBorders>
                  <w:vAlign w:val="center"/>
                </w:tcPr>
                <w:p w14:paraId="7868B7E6">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sz w:val="21"/>
                      <w:szCs w:val="21"/>
                    </w:rPr>
                  </w:pPr>
                  <w:r>
                    <w:rPr>
                      <w:b/>
                      <w:bCs/>
                      <w:color w:val="auto"/>
                      <w:sz w:val="21"/>
                      <w:szCs w:val="21"/>
                    </w:rPr>
                    <w:t>序号</w:t>
                  </w:r>
                </w:p>
              </w:tc>
              <w:tc>
                <w:tcPr>
                  <w:tcW w:w="3364" w:type="dxa"/>
                  <w:tcBorders>
                    <w:tl2br w:val="nil"/>
                    <w:tr2bl w:val="nil"/>
                  </w:tcBorders>
                  <w:vAlign w:val="center"/>
                </w:tcPr>
                <w:p w14:paraId="37D72588">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sz w:val="21"/>
                      <w:szCs w:val="21"/>
                    </w:rPr>
                  </w:pPr>
                  <w:r>
                    <w:rPr>
                      <w:b/>
                      <w:bCs/>
                      <w:color w:val="auto"/>
                      <w:sz w:val="21"/>
                      <w:szCs w:val="21"/>
                    </w:rPr>
                    <w:t>审查意见</w:t>
                  </w:r>
                </w:p>
              </w:tc>
              <w:tc>
                <w:tcPr>
                  <w:tcW w:w="2445" w:type="dxa"/>
                  <w:tcBorders>
                    <w:tl2br w:val="nil"/>
                    <w:tr2bl w:val="nil"/>
                  </w:tcBorders>
                  <w:vAlign w:val="center"/>
                </w:tcPr>
                <w:p w14:paraId="583D22E0">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sz w:val="21"/>
                      <w:szCs w:val="21"/>
                    </w:rPr>
                  </w:pPr>
                  <w:r>
                    <w:rPr>
                      <w:b/>
                      <w:bCs/>
                      <w:color w:val="auto"/>
                      <w:sz w:val="21"/>
                      <w:szCs w:val="21"/>
                    </w:rPr>
                    <w:t>本项目</w:t>
                  </w:r>
                </w:p>
              </w:tc>
              <w:tc>
                <w:tcPr>
                  <w:tcW w:w="736" w:type="dxa"/>
                  <w:tcBorders>
                    <w:tl2br w:val="nil"/>
                    <w:tr2bl w:val="nil"/>
                  </w:tcBorders>
                  <w:vAlign w:val="center"/>
                </w:tcPr>
                <w:p w14:paraId="7A0927A0">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sz w:val="21"/>
                      <w:szCs w:val="21"/>
                    </w:rPr>
                  </w:pPr>
                  <w:r>
                    <w:rPr>
                      <w:b/>
                      <w:bCs/>
                      <w:color w:val="auto"/>
                      <w:sz w:val="21"/>
                      <w:szCs w:val="21"/>
                    </w:rPr>
                    <w:t>是否符合</w:t>
                  </w:r>
                </w:p>
              </w:tc>
            </w:tr>
            <w:tr w14:paraId="42D6A6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dxa"/>
                  <w:tcBorders>
                    <w:tl2br w:val="nil"/>
                    <w:tr2bl w:val="nil"/>
                  </w:tcBorders>
                  <w:vAlign w:val="center"/>
                </w:tcPr>
                <w:p w14:paraId="21D3E1BB">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color w:val="auto"/>
                      <w:sz w:val="21"/>
                      <w:szCs w:val="21"/>
                    </w:rPr>
                    <w:t>1</w:t>
                  </w:r>
                </w:p>
              </w:tc>
              <w:tc>
                <w:tcPr>
                  <w:tcW w:w="3364" w:type="dxa"/>
                  <w:tcBorders>
                    <w:tl2br w:val="nil"/>
                    <w:tr2bl w:val="nil"/>
                  </w:tcBorders>
                  <w:vAlign w:val="center"/>
                </w:tcPr>
                <w:p w14:paraId="545240B2">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color w:val="auto"/>
                      <w:sz w:val="21"/>
                      <w:szCs w:val="21"/>
                    </w:rPr>
                    <w:t>（一）坚持绿色发展、协调发展，加强规划引导。严格执行国家、省市对高耗能高排放项目的环境管理相关要求。以生态环境质量改善为核心，进一步优化《规划》用地布局、发展规模、产业结构等，做好与各级国土空间总体规划和</w:t>
                  </w:r>
                  <w:r>
                    <w:rPr>
                      <w:rFonts w:hint="eastAsia" w:ascii="宋体" w:hAnsi="宋体" w:cs="宋体"/>
                      <w:color w:val="auto"/>
                      <w:sz w:val="21"/>
                      <w:szCs w:val="21"/>
                    </w:rPr>
                    <w:t>“三线一单”</w:t>
                  </w:r>
                  <w:r>
                    <w:rPr>
                      <w:color w:val="auto"/>
                      <w:sz w:val="21"/>
                      <w:szCs w:val="21"/>
                    </w:rPr>
                    <w:t>生态环境分区管控方案的协调衔接。</w:t>
                  </w:r>
                </w:p>
              </w:tc>
              <w:tc>
                <w:tcPr>
                  <w:tcW w:w="2445" w:type="dxa"/>
                  <w:tcBorders>
                    <w:tl2br w:val="nil"/>
                    <w:tr2bl w:val="nil"/>
                  </w:tcBorders>
                  <w:vAlign w:val="center"/>
                </w:tcPr>
                <w:p w14:paraId="104B1ED6">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color w:val="auto"/>
                      <w:sz w:val="21"/>
                      <w:szCs w:val="21"/>
                    </w:rPr>
                    <w:t>对照《工业重点领域能效标杆水平和基准水平》（2023年版），本项目不属于高耗水、高耗能项目；</w:t>
                  </w:r>
                  <w:r>
                    <w:rPr>
                      <w:rFonts w:hint="eastAsia"/>
                      <w:color w:val="auto"/>
                      <w:sz w:val="21"/>
                      <w:szCs w:val="21"/>
                    </w:rPr>
                    <w:t>本项目为电机、变频器生产</w:t>
                  </w:r>
                  <w:r>
                    <w:rPr>
                      <w:rFonts w:hint="eastAsia"/>
                      <w:color w:val="auto"/>
                      <w:sz w:val="21"/>
                      <w:szCs w:val="21"/>
                      <w:lang w:eastAsia="zh-CN"/>
                    </w:rPr>
                    <w:t>项目</w:t>
                  </w:r>
                  <w:r>
                    <w:rPr>
                      <w:rFonts w:hint="eastAsia"/>
                      <w:color w:val="auto"/>
                      <w:sz w:val="21"/>
                      <w:szCs w:val="21"/>
                    </w:rPr>
                    <w:t>，不属于园区禁止项目</w:t>
                  </w:r>
                  <w:r>
                    <w:rPr>
                      <w:color w:val="auto"/>
                      <w:sz w:val="21"/>
                      <w:szCs w:val="21"/>
                    </w:rPr>
                    <w:t>，符合园区产业定位。根据后文分析，本项目符合</w:t>
                  </w:r>
                  <w:r>
                    <w:rPr>
                      <w:rFonts w:hint="eastAsia" w:ascii="宋体" w:hAnsi="宋体" w:cs="宋体"/>
                      <w:color w:val="auto"/>
                      <w:sz w:val="21"/>
                      <w:szCs w:val="21"/>
                    </w:rPr>
                    <w:t>“三线一单”</w:t>
                  </w:r>
                  <w:r>
                    <w:rPr>
                      <w:color w:val="auto"/>
                      <w:sz w:val="21"/>
                      <w:szCs w:val="21"/>
                    </w:rPr>
                    <w:t>要求。</w:t>
                  </w:r>
                </w:p>
              </w:tc>
              <w:tc>
                <w:tcPr>
                  <w:tcW w:w="736" w:type="dxa"/>
                  <w:tcBorders>
                    <w:tl2br w:val="nil"/>
                    <w:tr2bl w:val="nil"/>
                  </w:tcBorders>
                  <w:vAlign w:val="center"/>
                </w:tcPr>
                <w:p w14:paraId="16370A02">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color w:val="auto"/>
                      <w:sz w:val="21"/>
                      <w:szCs w:val="21"/>
                    </w:rPr>
                    <w:t>是</w:t>
                  </w:r>
                </w:p>
              </w:tc>
            </w:tr>
            <w:tr w14:paraId="684067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dxa"/>
                  <w:tcBorders>
                    <w:tl2br w:val="nil"/>
                    <w:tr2bl w:val="nil"/>
                  </w:tcBorders>
                  <w:vAlign w:val="center"/>
                </w:tcPr>
                <w:p w14:paraId="1754027B">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color w:val="auto"/>
                      <w:sz w:val="21"/>
                      <w:szCs w:val="21"/>
                    </w:rPr>
                    <w:t>2</w:t>
                  </w:r>
                </w:p>
              </w:tc>
              <w:tc>
                <w:tcPr>
                  <w:tcW w:w="3364" w:type="dxa"/>
                  <w:tcBorders>
                    <w:tl2br w:val="nil"/>
                    <w:tr2bl w:val="nil"/>
                  </w:tcBorders>
                  <w:vAlign w:val="center"/>
                </w:tcPr>
                <w:p w14:paraId="22FAD720">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color w:val="auto"/>
                      <w:sz w:val="21"/>
                      <w:szCs w:val="21"/>
                    </w:rPr>
                    <w:t>（二）严格空间管控，优化空间布局。落实《报告书》提出的临近敏感目标的工业用地引进项目及设置环境防护距离、加强防护绿地建设等控制要求，加强对工业区与居住区生活空间的防护，避免对环境敏感目标产生不良环境影响，确保园区产业布局与生态环境保护、人居环境安全相协调。</w:t>
                  </w:r>
                </w:p>
              </w:tc>
              <w:tc>
                <w:tcPr>
                  <w:tcW w:w="2445" w:type="dxa"/>
                  <w:tcBorders>
                    <w:tl2br w:val="nil"/>
                    <w:tr2bl w:val="nil"/>
                  </w:tcBorders>
                  <w:vAlign w:val="center"/>
                </w:tcPr>
                <w:p w14:paraId="0A3847D2">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color w:val="auto"/>
                      <w:sz w:val="21"/>
                      <w:szCs w:val="21"/>
                    </w:rPr>
                    <w:t>本项目</w:t>
                  </w:r>
                  <w:r>
                    <w:rPr>
                      <w:rFonts w:hint="eastAsia"/>
                      <w:color w:val="auto"/>
                      <w:sz w:val="21"/>
                      <w:szCs w:val="21"/>
                    </w:rPr>
                    <w:t>以</w:t>
                  </w:r>
                  <w:r>
                    <w:rPr>
                      <w:rFonts w:hint="eastAsia"/>
                      <w:color w:val="auto"/>
                      <w:sz w:val="21"/>
                      <w:szCs w:val="21"/>
                      <w:lang w:val="en-US" w:eastAsia="zh-CN"/>
                    </w:rPr>
                    <w:t>厂界为起点</w:t>
                  </w:r>
                  <w:r>
                    <w:rPr>
                      <w:rFonts w:hint="eastAsia"/>
                      <w:color w:val="auto"/>
                      <w:sz w:val="21"/>
                      <w:szCs w:val="21"/>
                    </w:rPr>
                    <w:t>设置</w:t>
                  </w:r>
                  <w:r>
                    <w:rPr>
                      <w:rFonts w:hint="eastAsia"/>
                      <w:color w:val="auto"/>
                      <w:sz w:val="21"/>
                      <w:szCs w:val="21"/>
                      <w:lang w:val="en-US"/>
                    </w:rPr>
                    <w:t>50</w:t>
                  </w:r>
                  <w:r>
                    <w:rPr>
                      <w:rFonts w:hint="eastAsia"/>
                      <w:color w:val="auto"/>
                      <w:sz w:val="21"/>
                      <w:szCs w:val="21"/>
                    </w:rPr>
                    <w:t>米卫生防护距离</w:t>
                  </w:r>
                  <w:r>
                    <w:rPr>
                      <w:color w:val="auto"/>
                      <w:sz w:val="21"/>
                      <w:szCs w:val="21"/>
                    </w:rPr>
                    <w:t>，卫生防护距离范围内没有居民等环境敏感点。</w:t>
                  </w:r>
                </w:p>
              </w:tc>
              <w:tc>
                <w:tcPr>
                  <w:tcW w:w="736" w:type="dxa"/>
                  <w:tcBorders>
                    <w:tl2br w:val="nil"/>
                    <w:tr2bl w:val="nil"/>
                  </w:tcBorders>
                  <w:vAlign w:val="center"/>
                </w:tcPr>
                <w:p w14:paraId="065C6765">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color w:val="auto"/>
                      <w:sz w:val="21"/>
                      <w:szCs w:val="21"/>
                    </w:rPr>
                    <w:t>是</w:t>
                  </w:r>
                </w:p>
              </w:tc>
            </w:tr>
            <w:tr w14:paraId="6EAE88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dxa"/>
                  <w:tcBorders>
                    <w:tl2br w:val="nil"/>
                    <w:tr2bl w:val="nil"/>
                  </w:tcBorders>
                  <w:vAlign w:val="center"/>
                </w:tcPr>
                <w:p w14:paraId="28D5F883">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color w:val="auto"/>
                      <w:sz w:val="21"/>
                      <w:szCs w:val="21"/>
                    </w:rPr>
                    <w:t>3</w:t>
                  </w:r>
                </w:p>
              </w:tc>
              <w:tc>
                <w:tcPr>
                  <w:tcW w:w="3364" w:type="dxa"/>
                  <w:tcBorders>
                    <w:tl2br w:val="nil"/>
                    <w:tr2bl w:val="nil"/>
                  </w:tcBorders>
                  <w:vAlign w:val="center"/>
                </w:tcPr>
                <w:p w14:paraId="0967FEAC">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color w:val="auto"/>
                      <w:sz w:val="21"/>
                      <w:szCs w:val="21"/>
                    </w:rPr>
                    <w:t>（三）严守环境质量底线，确保生态环境质量提升。严格执行国家政策、规划产业定位、环保准入条件，落实《报告书》管控要求，控制区域污染物排放总量。采取有效措施控制园区烟粉尘、VOC</w:t>
                  </w:r>
                  <w:r>
                    <w:rPr>
                      <w:color w:val="auto"/>
                      <w:sz w:val="21"/>
                      <w:szCs w:val="21"/>
                      <w:vertAlign w:val="subscript"/>
                    </w:rPr>
                    <w:t>S</w:t>
                  </w:r>
                  <w:r>
                    <w:rPr>
                      <w:color w:val="auto"/>
                      <w:sz w:val="21"/>
                      <w:szCs w:val="21"/>
                    </w:rPr>
                    <w:t>、酸性废气污染物、重金属等排放总量；提高环境准入要求，引进项目的工艺、设备、能耗、污染物排放、资源利用、清洁生产水平等均需达到同行业国内先进水平。</w:t>
                  </w:r>
                </w:p>
              </w:tc>
              <w:tc>
                <w:tcPr>
                  <w:tcW w:w="2445" w:type="dxa"/>
                  <w:tcBorders>
                    <w:tl2br w:val="nil"/>
                    <w:tr2bl w:val="nil"/>
                  </w:tcBorders>
                  <w:vAlign w:val="center"/>
                </w:tcPr>
                <w:p w14:paraId="43009B8E">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rFonts w:hint="eastAsia"/>
                      <w:color w:val="auto"/>
                      <w:sz w:val="21"/>
                      <w:szCs w:val="21"/>
                    </w:rPr>
                    <w:t>本项目为电机、变频器生产</w:t>
                  </w:r>
                  <w:r>
                    <w:rPr>
                      <w:rFonts w:hint="eastAsia"/>
                      <w:color w:val="auto"/>
                      <w:sz w:val="21"/>
                      <w:szCs w:val="21"/>
                      <w:lang w:eastAsia="zh-CN"/>
                    </w:rPr>
                    <w:t>项目</w:t>
                  </w:r>
                  <w:r>
                    <w:rPr>
                      <w:rFonts w:hint="eastAsia"/>
                      <w:color w:val="auto"/>
                      <w:sz w:val="21"/>
                      <w:szCs w:val="21"/>
                    </w:rPr>
                    <w:t>，不属于园区禁止项目，</w:t>
                  </w:r>
                  <w:r>
                    <w:rPr>
                      <w:color w:val="auto"/>
                      <w:sz w:val="21"/>
                      <w:szCs w:val="21"/>
                    </w:rPr>
                    <w:t>符合园区产业定位。根据后文分析，本项目符合</w:t>
                  </w:r>
                  <w:r>
                    <w:rPr>
                      <w:rFonts w:hint="eastAsia" w:ascii="宋体" w:hAnsi="宋体" w:cs="宋体"/>
                      <w:color w:val="auto"/>
                      <w:sz w:val="21"/>
                      <w:szCs w:val="21"/>
                    </w:rPr>
                    <w:t>“三线一单”</w:t>
                  </w:r>
                  <w:r>
                    <w:rPr>
                      <w:color w:val="auto"/>
                      <w:sz w:val="21"/>
                      <w:szCs w:val="21"/>
                    </w:rPr>
                    <w:t>要求。经分析，本项目建成后采用先进生产工艺、设备，并配套建设技术可靠、经济合理的污染防治措施。项目新增的废气污染物</w:t>
                  </w:r>
                  <w:r>
                    <w:rPr>
                      <w:rFonts w:hint="eastAsia"/>
                      <w:color w:val="auto"/>
                      <w:sz w:val="21"/>
                      <w:szCs w:val="21"/>
                    </w:rPr>
                    <w:t>颗粒物、</w:t>
                  </w:r>
                  <w:r>
                    <w:rPr>
                      <w:rFonts w:hint="eastAsia"/>
                      <w:color w:val="auto"/>
                      <w:sz w:val="21"/>
                      <w:szCs w:val="21"/>
                      <w:lang w:val="en-US"/>
                    </w:rPr>
                    <w:t>NMHC</w:t>
                  </w:r>
                  <w:r>
                    <w:rPr>
                      <w:color w:val="auto"/>
                      <w:sz w:val="21"/>
                      <w:szCs w:val="21"/>
                    </w:rPr>
                    <w:t>及废水污染物COD、</w:t>
                  </w:r>
                  <w:r>
                    <w:rPr>
                      <w:rFonts w:hint="eastAsia"/>
                      <w:color w:val="auto"/>
                      <w:sz w:val="21"/>
                      <w:szCs w:val="21"/>
                    </w:rPr>
                    <w:t>SS、</w:t>
                  </w:r>
                  <w:r>
                    <w:rPr>
                      <w:rFonts w:hint="eastAsia"/>
                      <w:color w:val="auto"/>
                      <w:sz w:val="21"/>
                      <w:szCs w:val="21"/>
                      <w:lang w:val="en-US" w:eastAsia="zh-CN"/>
                    </w:rPr>
                    <w:t>NH</w:t>
                  </w:r>
                  <w:r>
                    <w:rPr>
                      <w:rFonts w:hint="eastAsia"/>
                      <w:color w:val="auto"/>
                      <w:sz w:val="21"/>
                      <w:szCs w:val="21"/>
                      <w:vertAlign w:val="subscript"/>
                      <w:lang w:val="en-US" w:eastAsia="zh-CN"/>
                    </w:rPr>
                    <w:t>3</w:t>
                  </w:r>
                  <w:r>
                    <w:rPr>
                      <w:rFonts w:hint="eastAsia"/>
                      <w:color w:val="auto"/>
                      <w:sz w:val="21"/>
                      <w:szCs w:val="21"/>
                      <w:lang w:val="en-US" w:eastAsia="zh-CN"/>
                    </w:rPr>
                    <w:t>-N</w:t>
                  </w:r>
                  <w:r>
                    <w:rPr>
                      <w:color w:val="auto"/>
                      <w:sz w:val="21"/>
                      <w:szCs w:val="21"/>
                    </w:rPr>
                    <w:t>、</w:t>
                  </w:r>
                  <w:r>
                    <w:rPr>
                      <w:rFonts w:hint="eastAsia"/>
                      <w:color w:val="auto"/>
                      <w:sz w:val="21"/>
                      <w:szCs w:val="21"/>
                      <w:lang w:val="en-US" w:eastAsia="zh-CN"/>
                    </w:rPr>
                    <w:t>TP</w:t>
                  </w:r>
                  <w:r>
                    <w:rPr>
                      <w:rFonts w:hint="eastAsia"/>
                      <w:color w:val="auto"/>
                      <w:sz w:val="21"/>
                      <w:szCs w:val="21"/>
                    </w:rPr>
                    <w:t>、</w:t>
                  </w:r>
                  <w:r>
                    <w:rPr>
                      <w:rFonts w:hint="eastAsia"/>
                      <w:color w:val="auto"/>
                      <w:sz w:val="21"/>
                      <w:szCs w:val="21"/>
                      <w:lang w:val="en-US" w:eastAsia="zh-CN"/>
                    </w:rPr>
                    <w:t>TN</w:t>
                  </w:r>
                  <w:r>
                    <w:rPr>
                      <w:rFonts w:hint="eastAsia"/>
                      <w:color w:val="auto"/>
                      <w:sz w:val="21"/>
                      <w:szCs w:val="21"/>
                    </w:rPr>
                    <w:t>、石油类</w:t>
                  </w:r>
                  <w:r>
                    <w:rPr>
                      <w:color w:val="auto"/>
                      <w:sz w:val="21"/>
                      <w:szCs w:val="21"/>
                    </w:rPr>
                    <w:t>由淮安市涟水生态环境局从境内企业削减总量中替代平衡。</w:t>
                  </w:r>
                </w:p>
              </w:tc>
              <w:tc>
                <w:tcPr>
                  <w:tcW w:w="736" w:type="dxa"/>
                  <w:tcBorders>
                    <w:tl2br w:val="nil"/>
                    <w:tr2bl w:val="nil"/>
                  </w:tcBorders>
                  <w:vAlign w:val="center"/>
                </w:tcPr>
                <w:p w14:paraId="034D3F85">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color w:val="auto"/>
                      <w:sz w:val="21"/>
                      <w:szCs w:val="21"/>
                    </w:rPr>
                    <w:t>是</w:t>
                  </w:r>
                </w:p>
              </w:tc>
            </w:tr>
            <w:tr w14:paraId="59CC55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dxa"/>
                  <w:tcBorders>
                    <w:tl2br w:val="nil"/>
                    <w:tr2bl w:val="nil"/>
                  </w:tcBorders>
                  <w:vAlign w:val="center"/>
                </w:tcPr>
                <w:p w14:paraId="22CE13B6">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color w:val="auto"/>
                      <w:sz w:val="21"/>
                      <w:szCs w:val="21"/>
                    </w:rPr>
                    <w:t>4</w:t>
                  </w:r>
                </w:p>
              </w:tc>
              <w:tc>
                <w:tcPr>
                  <w:tcW w:w="3364" w:type="dxa"/>
                  <w:tcBorders>
                    <w:tl2br w:val="nil"/>
                    <w:tr2bl w:val="nil"/>
                  </w:tcBorders>
                  <w:vAlign w:val="center"/>
                </w:tcPr>
                <w:p w14:paraId="6CAC799C">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color w:val="auto"/>
                      <w:sz w:val="21"/>
                      <w:szCs w:val="21"/>
                    </w:rPr>
                    <w:t>（四）完善环境基础设施建设，提高基础设施运行效能。加快推进配套污水管网建设，确保区内所有工业废水、生活污水全部接管处理。加快推进天然气管网设施的建设。一般固体废物、危险废物应依法依规收集、暂存、处理处置，做</w:t>
                  </w:r>
                  <w:r>
                    <w:rPr>
                      <w:rFonts w:hint="eastAsia" w:ascii="宋体" w:hAnsi="宋体" w:cs="宋体"/>
                      <w:color w:val="auto"/>
                      <w:sz w:val="21"/>
                      <w:szCs w:val="21"/>
                    </w:rPr>
                    <w:t>到“就地分类收集、及时转移处置”</w:t>
                  </w:r>
                  <w:r>
                    <w:rPr>
                      <w:color w:val="auto"/>
                      <w:sz w:val="21"/>
                      <w:szCs w:val="21"/>
                    </w:rPr>
                    <w:t>。</w:t>
                  </w:r>
                </w:p>
              </w:tc>
              <w:tc>
                <w:tcPr>
                  <w:tcW w:w="2445" w:type="dxa"/>
                  <w:tcBorders>
                    <w:tl2br w:val="nil"/>
                    <w:tr2bl w:val="nil"/>
                  </w:tcBorders>
                  <w:vAlign w:val="center"/>
                </w:tcPr>
                <w:p w14:paraId="4C9C9A21">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color w:val="auto"/>
                      <w:sz w:val="21"/>
                      <w:szCs w:val="21"/>
                    </w:rPr>
                    <w:t>本项目建成后</w:t>
                  </w:r>
                  <w:r>
                    <w:rPr>
                      <w:rFonts w:hint="eastAsia"/>
                      <w:color w:val="auto"/>
                      <w:sz w:val="21"/>
                      <w:szCs w:val="21"/>
                    </w:rPr>
                    <w:t>食堂废水经隔油池预处理与生活污水一并经化粪池处理后，</w:t>
                  </w:r>
                  <w:r>
                    <w:rPr>
                      <w:color w:val="auto"/>
                      <w:sz w:val="21"/>
                      <w:szCs w:val="21"/>
                    </w:rPr>
                    <w:t>接管至涟水经济开发区西区污水处理厂深度处理，尾水达标后排入公兴河。本项目建成后一般工业固废收集后外售综合利用，危险废物收集后委托有资质单位处置，生活垃圾由环卫部门定期清运。</w:t>
                  </w:r>
                </w:p>
              </w:tc>
              <w:tc>
                <w:tcPr>
                  <w:tcW w:w="736" w:type="dxa"/>
                  <w:tcBorders>
                    <w:tl2br w:val="nil"/>
                    <w:tr2bl w:val="nil"/>
                  </w:tcBorders>
                  <w:vAlign w:val="center"/>
                </w:tcPr>
                <w:p w14:paraId="769A5B90">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color w:val="auto"/>
                      <w:sz w:val="21"/>
                      <w:szCs w:val="21"/>
                    </w:rPr>
                    <w:t>是</w:t>
                  </w:r>
                </w:p>
              </w:tc>
            </w:tr>
            <w:tr w14:paraId="3B536C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dxa"/>
                  <w:tcBorders>
                    <w:tl2br w:val="nil"/>
                    <w:tr2bl w:val="nil"/>
                  </w:tcBorders>
                  <w:vAlign w:val="center"/>
                </w:tcPr>
                <w:p w14:paraId="7A6EFF39">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color w:val="auto"/>
                      <w:sz w:val="21"/>
                      <w:szCs w:val="21"/>
                    </w:rPr>
                    <w:t>5</w:t>
                  </w:r>
                </w:p>
              </w:tc>
              <w:tc>
                <w:tcPr>
                  <w:tcW w:w="3364" w:type="dxa"/>
                  <w:tcBorders>
                    <w:tl2br w:val="nil"/>
                    <w:tr2bl w:val="nil"/>
                  </w:tcBorders>
                  <w:vAlign w:val="center"/>
                </w:tcPr>
                <w:p w14:paraId="2AD508E0">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color w:val="auto"/>
                      <w:sz w:val="21"/>
                      <w:szCs w:val="21"/>
                    </w:rPr>
                    <w:t>（五）健全园区环境风险防控体系，提升环境应急能力。健全环境风险评估和应急预案制度，按规定编制园区突发环境事件风险评估报告和突发环境事件应急预案，及时备案修编，定期开展演练。强化突发环境事件风险防控基础设施建设，完善园区环境防控体系建设。建立突发环境事件隐患排查长效机制，定期排查突发环境事件隐患，保障区域环境安全。提升环境信息公开化水平，及时响应群众环境保护诉求。</w:t>
                  </w:r>
                </w:p>
              </w:tc>
              <w:tc>
                <w:tcPr>
                  <w:tcW w:w="2445" w:type="dxa"/>
                  <w:tcBorders>
                    <w:tl2br w:val="nil"/>
                    <w:tr2bl w:val="nil"/>
                  </w:tcBorders>
                  <w:vAlign w:val="center"/>
                </w:tcPr>
                <w:p w14:paraId="1E6B2E74">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color w:val="auto"/>
                      <w:sz w:val="21"/>
                      <w:szCs w:val="21"/>
                    </w:rPr>
                    <w:t>项目配备应急消防设施，定期开展应急演练，熟练应急物资的使用。</w:t>
                  </w:r>
                </w:p>
              </w:tc>
              <w:tc>
                <w:tcPr>
                  <w:tcW w:w="736" w:type="dxa"/>
                  <w:tcBorders>
                    <w:tl2br w:val="nil"/>
                    <w:tr2bl w:val="nil"/>
                  </w:tcBorders>
                  <w:vAlign w:val="center"/>
                </w:tcPr>
                <w:p w14:paraId="4CEE8B4B">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color w:val="auto"/>
                      <w:sz w:val="21"/>
                      <w:szCs w:val="21"/>
                    </w:rPr>
                    <w:t>是</w:t>
                  </w:r>
                </w:p>
              </w:tc>
            </w:tr>
            <w:tr w14:paraId="14E12D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dxa"/>
                  <w:tcBorders>
                    <w:tl2br w:val="nil"/>
                    <w:tr2bl w:val="nil"/>
                  </w:tcBorders>
                  <w:vAlign w:val="center"/>
                </w:tcPr>
                <w:p w14:paraId="681EA5E4">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color w:val="auto"/>
                      <w:sz w:val="21"/>
                      <w:szCs w:val="21"/>
                    </w:rPr>
                    <w:t>6</w:t>
                  </w:r>
                </w:p>
              </w:tc>
              <w:tc>
                <w:tcPr>
                  <w:tcW w:w="3364" w:type="dxa"/>
                  <w:tcBorders>
                    <w:tl2br w:val="nil"/>
                    <w:tr2bl w:val="nil"/>
                  </w:tcBorders>
                  <w:vAlign w:val="center"/>
                </w:tcPr>
                <w:p w14:paraId="0119CED0">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color w:val="auto"/>
                      <w:sz w:val="21"/>
                      <w:szCs w:val="21"/>
                    </w:rPr>
                    <w:t>（六）完善园区监测监控体系建设。指导区内企业按国家和省市要求、监测规范，建设企业自行监测体系。建立健全园区环境要素监测监控体系，每年开展环境质量跟踪监测，明确责任主体和实施时限，重点关注大气环境质量及水质变化。</w:t>
                  </w:r>
                </w:p>
              </w:tc>
              <w:tc>
                <w:tcPr>
                  <w:tcW w:w="2445" w:type="dxa"/>
                  <w:tcBorders>
                    <w:tl2br w:val="nil"/>
                    <w:tr2bl w:val="nil"/>
                  </w:tcBorders>
                  <w:vAlign w:val="center"/>
                </w:tcPr>
                <w:p w14:paraId="69314044">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color w:val="auto"/>
                      <w:sz w:val="21"/>
                      <w:szCs w:val="21"/>
                    </w:rPr>
                    <w:t>本次评价要求企业按照</w:t>
                  </w:r>
                  <w:r>
                    <w:rPr>
                      <w:rFonts w:hint="eastAsia"/>
                      <w:color w:val="auto"/>
                      <w:sz w:val="21"/>
                      <w:szCs w:val="21"/>
                    </w:rPr>
                    <w:t>《排污单位自行监测技术指南 电子工业》（HJ</w:t>
                  </w:r>
                  <w:r>
                    <w:rPr>
                      <w:rFonts w:hint="eastAsia"/>
                      <w:color w:val="auto"/>
                      <w:sz w:val="21"/>
                      <w:szCs w:val="21"/>
                      <w:lang w:val="en-US"/>
                    </w:rPr>
                    <w:t>1253-2002</w:t>
                  </w:r>
                  <w:r>
                    <w:rPr>
                      <w:rFonts w:hint="eastAsia"/>
                      <w:color w:val="auto"/>
                      <w:sz w:val="21"/>
                      <w:szCs w:val="21"/>
                    </w:rPr>
                    <w:t>）</w:t>
                  </w:r>
                  <w:r>
                    <w:rPr>
                      <w:color w:val="auto"/>
                      <w:sz w:val="21"/>
                      <w:szCs w:val="21"/>
                    </w:rPr>
                    <w:t>要求提出的污染源监测计划，并按照规范保存原始监测记录，公布监测结果。</w:t>
                  </w:r>
                </w:p>
              </w:tc>
              <w:tc>
                <w:tcPr>
                  <w:tcW w:w="736" w:type="dxa"/>
                  <w:tcBorders>
                    <w:tl2br w:val="nil"/>
                    <w:tr2bl w:val="nil"/>
                  </w:tcBorders>
                  <w:vAlign w:val="center"/>
                </w:tcPr>
                <w:p w14:paraId="679C28FB">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color w:val="auto"/>
                      <w:sz w:val="21"/>
                      <w:szCs w:val="21"/>
                    </w:rPr>
                    <w:t>是</w:t>
                  </w:r>
                </w:p>
              </w:tc>
            </w:tr>
          </w:tbl>
          <w:p w14:paraId="0B8F7A5E">
            <w:pPr>
              <w:adjustRightInd w:val="0"/>
              <w:snapToGrid w:val="0"/>
              <w:spacing w:before="120" w:beforeLines="50" w:line="360" w:lineRule="auto"/>
              <w:ind w:firstLine="480"/>
              <w:rPr>
                <w:color w:val="auto"/>
              </w:rPr>
            </w:pPr>
            <w:r>
              <w:rPr>
                <w:rFonts w:hint="eastAsia"/>
                <w:color w:val="auto"/>
                <w:sz w:val="24"/>
              </w:rPr>
              <w:t>根据上述分析可知，本项目与</w:t>
            </w:r>
            <w:r>
              <w:rPr>
                <w:rFonts w:hint="eastAsia"/>
                <w:color w:val="auto"/>
                <w:sz w:val="24"/>
                <w:lang w:eastAsia="zh-CN"/>
              </w:rPr>
              <w:t>涟水</w:t>
            </w:r>
            <w:r>
              <w:rPr>
                <w:rFonts w:hint="eastAsia"/>
                <w:color w:val="auto"/>
                <w:sz w:val="24"/>
              </w:rPr>
              <w:t>新港电子产业科技园的规划是相符的。</w:t>
            </w:r>
          </w:p>
        </w:tc>
      </w:tr>
      <w:tr w14:paraId="0FCBE3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86" w:hRule="atLeast"/>
        </w:trPr>
        <w:tc>
          <w:tcPr>
            <w:tcW w:w="776" w:type="dxa"/>
            <w:vAlign w:val="center"/>
          </w:tcPr>
          <w:p w14:paraId="2EC9049A">
            <w:pPr>
              <w:autoSpaceDE w:val="0"/>
              <w:autoSpaceDN w:val="0"/>
              <w:adjustRightInd w:val="0"/>
              <w:snapToGrid w:val="0"/>
              <w:jc w:val="center"/>
              <w:rPr>
                <w:color w:val="auto"/>
                <w:kern w:val="0"/>
                <w:sz w:val="24"/>
              </w:rPr>
            </w:pPr>
            <w:r>
              <w:rPr>
                <w:color w:val="auto"/>
                <w:kern w:val="0"/>
                <w:sz w:val="24"/>
              </w:rPr>
              <w:t>其他符合性分析</w:t>
            </w:r>
          </w:p>
        </w:tc>
        <w:tc>
          <w:tcPr>
            <w:tcW w:w="8048" w:type="dxa"/>
            <w:vAlign w:val="center"/>
          </w:tcPr>
          <w:p w14:paraId="33CBEDAB">
            <w:pPr>
              <w:adjustRightInd w:val="0"/>
              <w:snapToGrid w:val="0"/>
              <w:spacing w:line="360" w:lineRule="auto"/>
              <w:ind w:firstLine="482" w:firstLineChars="200"/>
              <w:rPr>
                <w:b/>
                <w:bCs/>
                <w:color w:val="auto"/>
                <w:sz w:val="24"/>
              </w:rPr>
            </w:pPr>
            <w:r>
              <w:rPr>
                <w:b/>
                <w:color w:val="auto"/>
                <w:sz w:val="24"/>
              </w:rPr>
              <w:t>1.</w:t>
            </w:r>
            <w:r>
              <w:rPr>
                <w:rFonts w:hint="eastAsia"/>
                <w:b/>
                <w:bCs/>
                <w:color w:val="auto"/>
                <w:sz w:val="24"/>
              </w:rPr>
              <w:t>“</w:t>
            </w:r>
            <w:r>
              <w:rPr>
                <w:b/>
                <w:bCs/>
                <w:color w:val="auto"/>
                <w:sz w:val="24"/>
              </w:rPr>
              <w:t>三线一单</w:t>
            </w:r>
            <w:r>
              <w:rPr>
                <w:rFonts w:hint="eastAsia"/>
                <w:b/>
                <w:bCs/>
                <w:color w:val="auto"/>
                <w:sz w:val="24"/>
              </w:rPr>
              <w:t>”</w:t>
            </w:r>
            <w:r>
              <w:rPr>
                <w:b/>
                <w:bCs/>
                <w:color w:val="auto"/>
                <w:sz w:val="24"/>
              </w:rPr>
              <w:t>相符性分析</w:t>
            </w:r>
          </w:p>
          <w:p w14:paraId="3707EE13">
            <w:pPr>
              <w:adjustRightInd w:val="0"/>
              <w:snapToGrid w:val="0"/>
              <w:spacing w:line="360" w:lineRule="auto"/>
              <w:ind w:firstLine="480" w:firstLineChars="200"/>
              <w:rPr>
                <w:bCs/>
                <w:color w:val="auto"/>
                <w:sz w:val="24"/>
              </w:rPr>
            </w:pPr>
            <w:r>
              <w:rPr>
                <w:bCs/>
                <w:color w:val="auto"/>
                <w:sz w:val="24"/>
              </w:rPr>
              <w:t>（1）生态红线</w:t>
            </w:r>
          </w:p>
          <w:p w14:paraId="42BF3729">
            <w:pPr>
              <w:adjustRightInd w:val="0"/>
              <w:snapToGrid w:val="0"/>
              <w:spacing w:line="360" w:lineRule="auto"/>
              <w:ind w:firstLine="480" w:firstLineChars="200"/>
              <w:rPr>
                <w:color w:val="auto"/>
                <w:sz w:val="24"/>
              </w:rPr>
            </w:pPr>
            <w:r>
              <w:rPr>
                <w:rFonts w:hint="eastAsia" w:ascii="宋体" w:hAnsi="宋体" w:cs="宋体"/>
                <w:color w:val="auto"/>
                <w:sz w:val="24"/>
              </w:rPr>
              <w:t>①</w:t>
            </w:r>
            <w:r>
              <w:rPr>
                <w:color w:val="auto"/>
                <w:sz w:val="24"/>
              </w:rPr>
              <w:t>与《省政府关于印发江苏省国家级生态保护红线规划的通知》（苏政发</w:t>
            </w:r>
            <w:r>
              <w:rPr>
                <w:rFonts w:hint="eastAsia"/>
                <w:color w:val="auto"/>
                <w:sz w:val="24"/>
                <w:lang w:eastAsia="zh-CN"/>
              </w:rPr>
              <w:t>〔2018〕74号</w:t>
            </w:r>
            <w:r>
              <w:rPr>
                <w:color w:val="auto"/>
                <w:sz w:val="24"/>
              </w:rPr>
              <w:t>）相符性分析</w:t>
            </w:r>
          </w:p>
          <w:p w14:paraId="2D9ED829">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auto"/>
                <w:sz w:val="24"/>
              </w:rPr>
            </w:pPr>
            <w:r>
              <w:rPr>
                <w:b/>
                <w:color w:val="auto"/>
                <w:sz w:val="24"/>
              </w:rPr>
              <w:t>表1-</w:t>
            </w:r>
            <w:r>
              <w:rPr>
                <w:rFonts w:hint="eastAsia"/>
                <w:b/>
                <w:color w:val="auto"/>
                <w:sz w:val="24"/>
              </w:rPr>
              <w:t xml:space="preserve">3 </w:t>
            </w:r>
            <w:r>
              <w:rPr>
                <w:b/>
                <w:color w:val="auto"/>
                <w:sz w:val="24"/>
              </w:rPr>
              <w:t>建设项目与《江苏省国家级生态保护红线规划》（苏政发〔2018〕74号）相符性分析</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9"/>
              <w:gridCol w:w="504"/>
              <w:gridCol w:w="1001"/>
              <w:gridCol w:w="899"/>
              <w:gridCol w:w="2941"/>
              <w:gridCol w:w="968"/>
              <w:gridCol w:w="1090"/>
            </w:tblGrid>
            <w:tr w14:paraId="6C85E9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3" w:type="dxa"/>
                  <w:gridSpan w:val="2"/>
                  <w:tcBorders>
                    <w:top w:val="single" w:color="auto" w:sz="12" w:space="0"/>
                  </w:tcBorders>
                  <w:vAlign w:val="center"/>
                </w:tcPr>
                <w:p w14:paraId="13E0D847">
                  <w:pPr>
                    <w:keepNext w:val="0"/>
                    <w:keepLines w:val="0"/>
                    <w:pageBreakBefore w:val="0"/>
                    <w:widowControl w:val="0"/>
                    <w:kinsoku/>
                    <w:wordWrap/>
                    <w:overflowPunct/>
                    <w:topLinePunct w:val="0"/>
                    <w:autoSpaceDE/>
                    <w:autoSpaceDN/>
                    <w:bidi w:val="0"/>
                    <w:adjustRightInd w:val="0"/>
                    <w:snapToGrid w:val="0"/>
                    <w:ind w:firstLine="0"/>
                    <w:jc w:val="center"/>
                    <w:textAlignment w:val="auto"/>
                    <w:rPr>
                      <w:b/>
                      <w:snapToGrid w:val="0"/>
                      <w:color w:val="auto"/>
                      <w:sz w:val="21"/>
                      <w:szCs w:val="21"/>
                    </w:rPr>
                  </w:pPr>
                  <w:r>
                    <w:rPr>
                      <w:b/>
                      <w:snapToGrid w:val="0"/>
                      <w:color w:val="auto"/>
                      <w:sz w:val="21"/>
                      <w:szCs w:val="21"/>
                    </w:rPr>
                    <w:t>所在行政区域</w:t>
                  </w:r>
                </w:p>
              </w:tc>
              <w:tc>
                <w:tcPr>
                  <w:tcW w:w="1001" w:type="dxa"/>
                  <w:vMerge w:val="restart"/>
                  <w:tcBorders>
                    <w:top w:val="single" w:color="auto" w:sz="12" w:space="0"/>
                  </w:tcBorders>
                  <w:vAlign w:val="center"/>
                </w:tcPr>
                <w:p w14:paraId="51D15729">
                  <w:pPr>
                    <w:keepNext w:val="0"/>
                    <w:keepLines w:val="0"/>
                    <w:pageBreakBefore w:val="0"/>
                    <w:widowControl w:val="0"/>
                    <w:kinsoku/>
                    <w:wordWrap/>
                    <w:overflowPunct/>
                    <w:topLinePunct w:val="0"/>
                    <w:autoSpaceDE/>
                    <w:autoSpaceDN/>
                    <w:bidi w:val="0"/>
                    <w:adjustRightInd w:val="0"/>
                    <w:snapToGrid w:val="0"/>
                    <w:ind w:firstLine="0"/>
                    <w:jc w:val="center"/>
                    <w:textAlignment w:val="auto"/>
                    <w:rPr>
                      <w:b/>
                      <w:snapToGrid w:val="0"/>
                      <w:color w:val="auto"/>
                      <w:sz w:val="21"/>
                      <w:szCs w:val="21"/>
                    </w:rPr>
                  </w:pPr>
                  <w:r>
                    <w:rPr>
                      <w:b/>
                      <w:snapToGrid w:val="0"/>
                      <w:color w:val="auto"/>
                      <w:sz w:val="21"/>
                      <w:szCs w:val="21"/>
                    </w:rPr>
                    <w:t>生态保护红线</w:t>
                  </w:r>
                </w:p>
                <w:p w14:paraId="584C9E8E">
                  <w:pPr>
                    <w:keepNext w:val="0"/>
                    <w:keepLines w:val="0"/>
                    <w:pageBreakBefore w:val="0"/>
                    <w:widowControl w:val="0"/>
                    <w:kinsoku/>
                    <w:wordWrap/>
                    <w:overflowPunct/>
                    <w:topLinePunct w:val="0"/>
                    <w:autoSpaceDE/>
                    <w:autoSpaceDN/>
                    <w:bidi w:val="0"/>
                    <w:adjustRightInd w:val="0"/>
                    <w:snapToGrid w:val="0"/>
                    <w:ind w:firstLine="0"/>
                    <w:jc w:val="center"/>
                    <w:textAlignment w:val="auto"/>
                    <w:rPr>
                      <w:b/>
                      <w:snapToGrid w:val="0"/>
                      <w:color w:val="auto"/>
                      <w:sz w:val="21"/>
                      <w:szCs w:val="21"/>
                    </w:rPr>
                  </w:pPr>
                  <w:r>
                    <w:rPr>
                      <w:b/>
                      <w:snapToGrid w:val="0"/>
                      <w:color w:val="auto"/>
                      <w:sz w:val="21"/>
                      <w:szCs w:val="21"/>
                    </w:rPr>
                    <w:t>名称</w:t>
                  </w:r>
                </w:p>
              </w:tc>
              <w:tc>
                <w:tcPr>
                  <w:tcW w:w="899" w:type="dxa"/>
                  <w:vMerge w:val="restart"/>
                  <w:tcBorders>
                    <w:top w:val="single" w:color="auto" w:sz="12" w:space="0"/>
                  </w:tcBorders>
                  <w:vAlign w:val="center"/>
                </w:tcPr>
                <w:p w14:paraId="0455212F">
                  <w:pPr>
                    <w:keepNext w:val="0"/>
                    <w:keepLines w:val="0"/>
                    <w:pageBreakBefore w:val="0"/>
                    <w:widowControl w:val="0"/>
                    <w:kinsoku/>
                    <w:wordWrap/>
                    <w:overflowPunct/>
                    <w:topLinePunct w:val="0"/>
                    <w:autoSpaceDE/>
                    <w:autoSpaceDN/>
                    <w:bidi w:val="0"/>
                    <w:adjustRightInd w:val="0"/>
                    <w:snapToGrid w:val="0"/>
                    <w:ind w:firstLine="0"/>
                    <w:jc w:val="center"/>
                    <w:textAlignment w:val="auto"/>
                    <w:rPr>
                      <w:b/>
                      <w:snapToGrid w:val="0"/>
                      <w:color w:val="auto"/>
                      <w:sz w:val="21"/>
                      <w:szCs w:val="21"/>
                    </w:rPr>
                  </w:pPr>
                  <w:r>
                    <w:rPr>
                      <w:b/>
                      <w:snapToGrid w:val="0"/>
                      <w:color w:val="auto"/>
                      <w:sz w:val="21"/>
                      <w:szCs w:val="21"/>
                    </w:rPr>
                    <w:t>类型</w:t>
                  </w:r>
                </w:p>
              </w:tc>
              <w:tc>
                <w:tcPr>
                  <w:tcW w:w="2941" w:type="dxa"/>
                  <w:vMerge w:val="restart"/>
                  <w:tcBorders>
                    <w:top w:val="single" w:color="auto" w:sz="12" w:space="0"/>
                  </w:tcBorders>
                  <w:vAlign w:val="center"/>
                </w:tcPr>
                <w:p w14:paraId="0DEB28A7">
                  <w:pPr>
                    <w:keepNext w:val="0"/>
                    <w:keepLines w:val="0"/>
                    <w:pageBreakBefore w:val="0"/>
                    <w:widowControl w:val="0"/>
                    <w:kinsoku/>
                    <w:wordWrap/>
                    <w:overflowPunct/>
                    <w:topLinePunct w:val="0"/>
                    <w:autoSpaceDE/>
                    <w:autoSpaceDN/>
                    <w:bidi w:val="0"/>
                    <w:adjustRightInd w:val="0"/>
                    <w:snapToGrid w:val="0"/>
                    <w:ind w:firstLine="0"/>
                    <w:jc w:val="center"/>
                    <w:textAlignment w:val="auto"/>
                    <w:rPr>
                      <w:b/>
                      <w:snapToGrid w:val="0"/>
                      <w:color w:val="auto"/>
                      <w:sz w:val="21"/>
                      <w:szCs w:val="21"/>
                    </w:rPr>
                  </w:pPr>
                  <w:r>
                    <w:rPr>
                      <w:b/>
                      <w:snapToGrid w:val="0"/>
                      <w:color w:val="auto"/>
                      <w:sz w:val="21"/>
                      <w:szCs w:val="21"/>
                    </w:rPr>
                    <w:t>地理位置</w:t>
                  </w:r>
                </w:p>
              </w:tc>
              <w:tc>
                <w:tcPr>
                  <w:tcW w:w="968" w:type="dxa"/>
                  <w:vMerge w:val="restart"/>
                  <w:tcBorders>
                    <w:top w:val="single" w:color="auto" w:sz="12" w:space="0"/>
                  </w:tcBorders>
                  <w:vAlign w:val="center"/>
                </w:tcPr>
                <w:p w14:paraId="497999C2">
                  <w:pPr>
                    <w:keepNext w:val="0"/>
                    <w:keepLines w:val="0"/>
                    <w:pageBreakBefore w:val="0"/>
                    <w:widowControl w:val="0"/>
                    <w:kinsoku/>
                    <w:wordWrap/>
                    <w:overflowPunct/>
                    <w:topLinePunct w:val="0"/>
                    <w:autoSpaceDE/>
                    <w:autoSpaceDN/>
                    <w:bidi w:val="0"/>
                    <w:adjustRightInd w:val="0"/>
                    <w:snapToGrid w:val="0"/>
                    <w:ind w:firstLine="0"/>
                    <w:jc w:val="center"/>
                    <w:textAlignment w:val="auto"/>
                    <w:rPr>
                      <w:b/>
                      <w:snapToGrid w:val="0"/>
                      <w:color w:val="auto"/>
                      <w:sz w:val="21"/>
                      <w:szCs w:val="21"/>
                    </w:rPr>
                  </w:pPr>
                  <w:r>
                    <w:rPr>
                      <w:b/>
                      <w:snapToGrid w:val="0"/>
                      <w:color w:val="auto"/>
                      <w:sz w:val="21"/>
                      <w:szCs w:val="21"/>
                    </w:rPr>
                    <w:t>区域面积（平方公里）</w:t>
                  </w:r>
                </w:p>
              </w:tc>
              <w:tc>
                <w:tcPr>
                  <w:tcW w:w="1090" w:type="dxa"/>
                  <w:vMerge w:val="restart"/>
                  <w:tcBorders>
                    <w:top w:val="single" w:color="auto" w:sz="12" w:space="0"/>
                  </w:tcBorders>
                  <w:vAlign w:val="center"/>
                </w:tcPr>
                <w:p w14:paraId="02238F5D">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auto"/>
                      <w:sz w:val="21"/>
                      <w:szCs w:val="21"/>
                    </w:rPr>
                  </w:pPr>
                  <w:r>
                    <w:rPr>
                      <w:b/>
                      <w:color w:val="auto"/>
                      <w:sz w:val="21"/>
                      <w:szCs w:val="21"/>
                    </w:rPr>
                    <w:t>建设项目相符性分析</w:t>
                  </w:r>
                </w:p>
              </w:tc>
            </w:tr>
            <w:tr w14:paraId="37F164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9" w:type="dxa"/>
                  <w:vAlign w:val="center"/>
                </w:tcPr>
                <w:p w14:paraId="25D306D3">
                  <w:pPr>
                    <w:keepNext w:val="0"/>
                    <w:keepLines w:val="0"/>
                    <w:pageBreakBefore w:val="0"/>
                    <w:widowControl w:val="0"/>
                    <w:kinsoku/>
                    <w:wordWrap/>
                    <w:overflowPunct/>
                    <w:topLinePunct w:val="0"/>
                    <w:autoSpaceDE/>
                    <w:autoSpaceDN/>
                    <w:bidi w:val="0"/>
                    <w:adjustRightInd w:val="0"/>
                    <w:snapToGrid w:val="0"/>
                    <w:ind w:firstLine="0"/>
                    <w:jc w:val="center"/>
                    <w:textAlignment w:val="auto"/>
                    <w:rPr>
                      <w:b/>
                      <w:snapToGrid w:val="0"/>
                      <w:color w:val="auto"/>
                      <w:sz w:val="21"/>
                      <w:szCs w:val="21"/>
                    </w:rPr>
                  </w:pPr>
                  <w:r>
                    <w:rPr>
                      <w:b/>
                      <w:snapToGrid w:val="0"/>
                      <w:color w:val="auto"/>
                      <w:sz w:val="21"/>
                      <w:szCs w:val="21"/>
                    </w:rPr>
                    <w:t>市级</w:t>
                  </w:r>
                </w:p>
              </w:tc>
              <w:tc>
                <w:tcPr>
                  <w:tcW w:w="504" w:type="dxa"/>
                  <w:vAlign w:val="center"/>
                </w:tcPr>
                <w:p w14:paraId="6E12FD12">
                  <w:pPr>
                    <w:keepNext w:val="0"/>
                    <w:keepLines w:val="0"/>
                    <w:pageBreakBefore w:val="0"/>
                    <w:widowControl w:val="0"/>
                    <w:kinsoku/>
                    <w:wordWrap/>
                    <w:overflowPunct/>
                    <w:topLinePunct w:val="0"/>
                    <w:autoSpaceDE/>
                    <w:autoSpaceDN/>
                    <w:bidi w:val="0"/>
                    <w:adjustRightInd w:val="0"/>
                    <w:snapToGrid w:val="0"/>
                    <w:ind w:firstLine="0"/>
                    <w:jc w:val="center"/>
                    <w:textAlignment w:val="auto"/>
                    <w:rPr>
                      <w:b/>
                      <w:snapToGrid w:val="0"/>
                      <w:color w:val="auto"/>
                      <w:sz w:val="21"/>
                      <w:szCs w:val="21"/>
                    </w:rPr>
                  </w:pPr>
                  <w:r>
                    <w:rPr>
                      <w:b/>
                      <w:snapToGrid w:val="0"/>
                      <w:color w:val="auto"/>
                      <w:sz w:val="21"/>
                      <w:szCs w:val="21"/>
                    </w:rPr>
                    <w:t>县级</w:t>
                  </w:r>
                </w:p>
              </w:tc>
              <w:tc>
                <w:tcPr>
                  <w:tcW w:w="1001" w:type="dxa"/>
                  <w:vMerge w:val="continue"/>
                  <w:vAlign w:val="center"/>
                </w:tcPr>
                <w:p w14:paraId="5A248EAB">
                  <w:pPr>
                    <w:keepNext w:val="0"/>
                    <w:keepLines w:val="0"/>
                    <w:pageBreakBefore w:val="0"/>
                    <w:widowControl w:val="0"/>
                    <w:kinsoku/>
                    <w:wordWrap/>
                    <w:overflowPunct/>
                    <w:topLinePunct w:val="0"/>
                    <w:autoSpaceDE/>
                    <w:autoSpaceDN/>
                    <w:bidi w:val="0"/>
                    <w:adjustRightInd w:val="0"/>
                    <w:snapToGrid w:val="0"/>
                    <w:ind w:firstLine="0"/>
                    <w:jc w:val="center"/>
                    <w:textAlignment w:val="auto"/>
                    <w:rPr>
                      <w:snapToGrid w:val="0"/>
                      <w:color w:val="auto"/>
                      <w:sz w:val="21"/>
                      <w:szCs w:val="21"/>
                    </w:rPr>
                  </w:pPr>
                </w:p>
              </w:tc>
              <w:tc>
                <w:tcPr>
                  <w:tcW w:w="899" w:type="dxa"/>
                  <w:vMerge w:val="continue"/>
                  <w:vAlign w:val="center"/>
                </w:tcPr>
                <w:p w14:paraId="5BD89B1A">
                  <w:pPr>
                    <w:keepNext w:val="0"/>
                    <w:keepLines w:val="0"/>
                    <w:pageBreakBefore w:val="0"/>
                    <w:widowControl w:val="0"/>
                    <w:kinsoku/>
                    <w:wordWrap/>
                    <w:overflowPunct/>
                    <w:topLinePunct w:val="0"/>
                    <w:autoSpaceDE/>
                    <w:autoSpaceDN/>
                    <w:bidi w:val="0"/>
                    <w:adjustRightInd w:val="0"/>
                    <w:snapToGrid w:val="0"/>
                    <w:ind w:firstLine="0"/>
                    <w:jc w:val="center"/>
                    <w:textAlignment w:val="auto"/>
                    <w:rPr>
                      <w:snapToGrid w:val="0"/>
                      <w:color w:val="auto"/>
                      <w:sz w:val="21"/>
                      <w:szCs w:val="21"/>
                    </w:rPr>
                  </w:pPr>
                </w:p>
              </w:tc>
              <w:tc>
                <w:tcPr>
                  <w:tcW w:w="2941" w:type="dxa"/>
                  <w:vMerge w:val="continue"/>
                  <w:vAlign w:val="center"/>
                </w:tcPr>
                <w:p w14:paraId="7FCA9639">
                  <w:pPr>
                    <w:keepNext w:val="0"/>
                    <w:keepLines w:val="0"/>
                    <w:pageBreakBefore w:val="0"/>
                    <w:widowControl w:val="0"/>
                    <w:kinsoku/>
                    <w:wordWrap/>
                    <w:overflowPunct/>
                    <w:topLinePunct w:val="0"/>
                    <w:autoSpaceDE/>
                    <w:autoSpaceDN/>
                    <w:bidi w:val="0"/>
                    <w:adjustRightInd w:val="0"/>
                    <w:snapToGrid w:val="0"/>
                    <w:ind w:firstLine="0"/>
                    <w:jc w:val="center"/>
                    <w:textAlignment w:val="auto"/>
                    <w:rPr>
                      <w:b/>
                      <w:snapToGrid w:val="0"/>
                      <w:color w:val="auto"/>
                      <w:sz w:val="21"/>
                      <w:szCs w:val="21"/>
                    </w:rPr>
                  </w:pPr>
                </w:p>
              </w:tc>
              <w:tc>
                <w:tcPr>
                  <w:tcW w:w="968" w:type="dxa"/>
                  <w:vMerge w:val="continue"/>
                  <w:vAlign w:val="center"/>
                </w:tcPr>
                <w:p w14:paraId="3A89B467">
                  <w:pPr>
                    <w:keepNext w:val="0"/>
                    <w:keepLines w:val="0"/>
                    <w:pageBreakBefore w:val="0"/>
                    <w:widowControl w:val="0"/>
                    <w:kinsoku/>
                    <w:wordWrap/>
                    <w:overflowPunct/>
                    <w:topLinePunct w:val="0"/>
                    <w:autoSpaceDE/>
                    <w:autoSpaceDN/>
                    <w:bidi w:val="0"/>
                    <w:adjustRightInd w:val="0"/>
                    <w:snapToGrid w:val="0"/>
                    <w:ind w:firstLine="0"/>
                    <w:jc w:val="center"/>
                    <w:textAlignment w:val="auto"/>
                    <w:rPr>
                      <w:b/>
                      <w:snapToGrid w:val="0"/>
                      <w:color w:val="auto"/>
                      <w:sz w:val="21"/>
                      <w:szCs w:val="21"/>
                    </w:rPr>
                  </w:pPr>
                </w:p>
              </w:tc>
              <w:tc>
                <w:tcPr>
                  <w:tcW w:w="1090" w:type="dxa"/>
                  <w:vMerge w:val="continue"/>
                  <w:vAlign w:val="center"/>
                </w:tcPr>
                <w:p w14:paraId="738F9800">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p>
              </w:tc>
            </w:tr>
            <w:tr w14:paraId="6EB2E0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9" w:type="dxa"/>
                  <w:vAlign w:val="center"/>
                </w:tcPr>
                <w:p w14:paraId="0A312DD7">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auto"/>
                      <w:sz w:val="21"/>
                      <w:szCs w:val="21"/>
                    </w:rPr>
                  </w:pPr>
                  <w:r>
                    <w:rPr>
                      <w:color w:val="auto"/>
                      <w:sz w:val="21"/>
                      <w:szCs w:val="21"/>
                    </w:rPr>
                    <w:t>淮安市</w:t>
                  </w:r>
                </w:p>
              </w:tc>
              <w:tc>
                <w:tcPr>
                  <w:tcW w:w="504" w:type="dxa"/>
                  <w:vAlign w:val="center"/>
                </w:tcPr>
                <w:p w14:paraId="14E50143">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auto"/>
                      <w:sz w:val="21"/>
                      <w:szCs w:val="21"/>
                    </w:rPr>
                  </w:pPr>
                  <w:r>
                    <w:rPr>
                      <w:color w:val="auto"/>
                      <w:sz w:val="21"/>
                      <w:szCs w:val="21"/>
                    </w:rPr>
                    <w:t>涟水县</w:t>
                  </w:r>
                </w:p>
              </w:tc>
              <w:tc>
                <w:tcPr>
                  <w:tcW w:w="1001" w:type="dxa"/>
                  <w:vAlign w:val="center"/>
                </w:tcPr>
                <w:p w14:paraId="7B0888E8">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auto"/>
                      <w:sz w:val="21"/>
                      <w:szCs w:val="21"/>
                    </w:rPr>
                  </w:pPr>
                  <w:r>
                    <w:rPr>
                      <w:color w:val="auto"/>
                      <w:sz w:val="21"/>
                      <w:szCs w:val="21"/>
                    </w:rPr>
                    <w:t>江苏涟水涟漪湖黄嘴白鹭省级自然保护区</w:t>
                  </w:r>
                </w:p>
              </w:tc>
              <w:tc>
                <w:tcPr>
                  <w:tcW w:w="899" w:type="dxa"/>
                  <w:vAlign w:val="center"/>
                </w:tcPr>
                <w:p w14:paraId="4BA27877">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auto"/>
                      <w:sz w:val="21"/>
                      <w:szCs w:val="21"/>
                    </w:rPr>
                  </w:pPr>
                  <w:r>
                    <w:rPr>
                      <w:color w:val="auto"/>
                      <w:sz w:val="21"/>
                      <w:szCs w:val="21"/>
                    </w:rPr>
                    <w:t>生物多样性保护</w:t>
                  </w:r>
                </w:p>
              </w:tc>
              <w:tc>
                <w:tcPr>
                  <w:tcW w:w="2941" w:type="dxa"/>
                  <w:vAlign w:val="center"/>
                </w:tcPr>
                <w:p w14:paraId="19F32634">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auto"/>
                      <w:sz w:val="21"/>
                      <w:szCs w:val="21"/>
                    </w:rPr>
                  </w:pPr>
                  <w:r>
                    <w:rPr>
                      <w:color w:val="auto"/>
                      <w:sz w:val="21"/>
                      <w:szCs w:val="21"/>
                    </w:rPr>
                    <w:t>包括自然保护区核心区、缓冲区和实验区。自然保护区五岛公园以及相连水域为核心区和缓冲区。实验区范围包括涟水县涟城镇的五岛公园以及相连水域，城郊废黄河沿线的林区和水域、湿地生态系统。坐标为：118°59′E至119°35′E，33°45′N至34°65′N之间</w:t>
                  </w:r>
                </w:p>
              </w:tc>
              <w:tc>
                <w:tcPr>
                  <w:tcW w:w="968" w:type="dxa"/>
                  <w:vAlign w:val="center"/>
                </w:tcPr>
                <w:p w14:paraId="3C8B9D24">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auto"/>
                      <w:sz w:val="21"/>
                      <w:szCs w:val="21"/>
                      <w:lang w:val="en-US"/>
                    </w:rPr>
                  </w:pPr>
                  <w:r>
                    <w:rPr>
                      <w:color w:val="auto"/>
                      <w:sz w:val="21"/>
                      <w:szCs w:val="21"/>
                    </w:rPr>
                    <w:t>34.33</w:t>
                  </w:r>
                </w:p>
              </w:tc>
              <w:tc>
                <w:tcPr>
                  <w:tcW w:w="1090" w:type="dxa"/>
                  <w:vAlign w:val="center"/>
                </w:tcPr>
                <w:p w14:paraId="0906BE30">
                  <w:pPr>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auto"/>
                      <w:sz w:val="21"/>
                      <w:szCs w:val="21"/>
                    </w:rPr>
                  </w:pPr>
                  <w:r>
                    <w:rPr>
                      <w:rFonts w:hint="eastAsia"/>
                      <w:bCs/>
                      <w:color w:val="auto"/>
                      <w:sz w:val="21"/>
                      <w:szCs w:val="21"/>
                    </w:rPr>
                    <w:t>建设项目在生态红线北侧</w:t>
                  </w:r>
                  <w:r>
                    <w:rPr>
                      <w:rFonts w:hint="eastAsia"/>
                      <w:bCs/>
                      <w:color w:val="auto"/>
                      <w:sz w:val="21"/>
                      <w:szCs w:val="21"/>
                      <w:lang w:val="en-US" w:eastAsia="zh-CN"/>
                    </w:rPr>
                    <w:t>5.2</w:t>
                  </w:r>
                  <w:r>
                    <w:rPr>
                      <w:rFonts w:hint="eastAsia"/>
                      <w:bCs/>
                      <w:color w:val="auto"/>
                      <w:sz w:val="21"/>
                      <w:szCs w:val="21"/>
                    </w:rPr>
                    <w:t>km左右，不在管控范围内</w:t>
                  </w:r>
                </w:p>
              </w:tc>
            </w:tr>
            <w:tr w14:paraId="5BF4EC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9" w:type="dxa"/>
                  <w:vAlign w:val="center"/>
                </w:tcPr>
                <w:p w14:paraId="2D3E2611">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 w:val="21"/>
                      <w:szCs w:val="21"/>
                      <w:lang w:eastAsia="zh-CN"/>
                    </w:rPr>
                  </w:pPr>
                  <w:r>
                    <w:rPr>
                      <w:rFonts w:hint="eastAsia"/>
                      <w:color w:val="auto"/>
                      <w:sz w:val="21"/>
                      <w:szCs w:val="21"/>
                      <w:lang w:eastAsia="zh-CN"/>
                    </w:rPr>
                    <w:t>淮安市</w:t>
                  </w:r>
                </w:p>
              </w:tc>
              <w:tc>
                <w:tcPr>
                  <w:tcW w:w="504" w:type="dxa"/>
                  <w:vAlign w:val="center"/>
                </w:tcPr>
                <w:p w14:paraId="7DDABD8C">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 w:val="21"/>
                      <w:szCs w:val="21"/>
                      <w:lang w:eastAsia="zh-CN"/>
                    </w:rPr>
                  </w:pPr>
                  <w:r>
                    <w:rPr>
                      <w:rFonts w:hint="eastAsia"/>
                      <w:color w:val="auto"/>
                      <w:sz w:val="21"/>
                      <w:szCs w:val="21"/>
                      <w:lang w:eastAsia="zh-CN"/>
                    </w:rPr>
                    <w:t>淮安市区</w:t>
                  </w:r>
                </w:p>
              </w:tc>
              <w:tc>
                <w:tcPr>
                  <w:tcW w:w="1001" w:type="dxa"/>
                  <w:vAlign w:val="center"/>
                </w:tcPr>
                <w:p w14:paraId="397E0934">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rFonts w:hint="eastAsia"/>
                      <w:bCs/>
                      <w:color w:val="auto"/>
                      <w:kern w:val="0"/>
                      <w:sz w:val="21"/>
                      <w:szCs w:val="21"/>
                      <w:lang w:eastAsia="zh-CN"/>
                    </w:rPr>
                    <w:t>江苏淮安古淮河国家湿地公园（试点）</w:t>
                  </w:r>
                </w:p>
              </w:tc>
              <w:tc>
                <w:tcPr>
                  <w:tcW w:w="899" w:type="dxa"/>
                  <w:vAlign w:val="center"/>
                </w:tcPr>
                <w:p w14:paraId="784DF6BF">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 w:val="21"/>
                      <w:szCs w:val="21"/>
                      <w:lang w:eastAsia="zh-CN"/>
                    </w:rPr>
                  </w:pPr>
                  <w:r>
                    <w:rPr>
                      <w:rFonts w:hint="eastAsia"/>
                      <w:color w:val="auto"/>
                      <w:sz w:val="21"/>
                      <w:szCs w:val="21"/>
                      <w:lang w:eastAsia="zh-CN"/>
                    </w:rPr>
                    <w:t>湿地公园的湿地保育区和恢复重建区</w:t>
                  </w:r>
                </w:p>
              </w:tc>
              <w:tc>
                <w:tcPr>
                  <w:tcW w:w="2941" w:type="dxa"/>
                  <w:vAlign w:val="center"/>
                </w:tcPr>
                <w:p w14:paraId="43166535">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1"/>
                      <w:szCs w:val="21"/>
                    </w:rPr>
                  </w:pPr>
                  <w:r>
                    <w:rPr>
                      <w:rFonts w:hint="eastAsia"/>
                      <w:color w:val="auto"/>
                      <w:sz w:val="21"/>
                      <w:szCs w:val="21"/>
                      <w:lang w:eastAsia="zh-CN"/>
                    </w:rPr>
                    <w:t>江苏淮安古淮河国家湿地公园（试点）总体规划中的湿地保育区和恢复重建区范围</w:t>
                  </w:r>
                </w:p>
              </w:tc>
              <w:tc>
                <w:tcPr>
                  <w:tcW w:w="968" w:type="dxa"/>
                  <w:vAlign w:val="center"/>
                </w:tcPr>
                <w:p w14:paraId="3CC965E8">
                  <w:pPr>
                    <w:pStyle w:val="55"/>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eastAsia="宋体"/>
                      <w:color w:val="auto"/>
                      <w:sz w:val="21"/>
                      <w:szCs w:val="21"/>
                      <w:lang w:val="en-US" w:eastAsia="zh-CN"/>
                    </w:rPr>
                  </w:pPr>
                  <w:r>
                    <w:rPr>
                      <w:rFonts w:hint="eastAsia"/>
                      <w:color w:val="auto"/>
                      <w:sz w:val="21"/>
                      <w:szCs w:val="21"/>
                      <w:lang w:val="en-US" w:eastAsia="zh-CN"/>
                    </w:rPr>
                    <w:t>1.98</w:t>
                  </w:r>
                </w:p>
              </w:tc>
              <w:tc>
                <w:tcPr>
                  <w:tcW w:w="1090" w:type="dxa"/>
                  <w:vAlign w:val="center"/>
                </w:tcPr>
                <w:p w14:paraId="78A7909A">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bCs/>
                      <w:color w:val="auto"/>
                      <w:sz w:val="21"/>
                      <w:szCs w:val="21"/>
                    </w:rPr>
                  </w:pPr>
                  <w:r>
                    <w:rPr>
                      <w:rFonts w:hint="eastAsia"/>
                      <w:color w:val="auto"/>
                      <w:sz w:val="21"/>
                      <w:szCs w:val="21"/>
                      <w:lang w:eastAsia="zh-CN"/>
                    </w:rPr>
                    <w:t>建设项目在生态红线北侧</w:t>
                  </w:r>
                  <w:r>
                    <w:rPr>
                      <w:rFonts w:hint="eastAsia"/>
                      <w:color w:val="auto"/>
                      <w:sz w:val="21"/>
                      <w:szCs w:val="21"/>
                      <w:lang w:val="en-US" w:eastAsia="zh-CN"/>
                    </w:rPr>
                    <w:t>6.45km左右，不在管控范围内</w:t>
                  </w:r>
                </w:p>
              </w:tc>
            </w:tr>
          </w:tbl>
          <w:p w14:paraId="375E39A0">
            <w:pPr>
              <w:pStyle w:val="107"/>
              <w:snapToGrid w:val="0"/>
              <w:spacing w:before="120" w:beforeLines="50" w:line="360" w:lineRule="auto"/>
              <w:ind w:firstLine="480" w:firstLineChars="200"/>
              <w:rPr>
                <w:rFonts w:ascii="Times New Roman" w:hAnsi="Times New Roman" w:cs="Times New Roman"/>
                <w:bCs/>
                <w:color w:val="auto"/>
              </w:rPr>
            </w:pPr>
            <w:r>
              <w:rPr>
                <w:rFonts w:ascii="Times New Roman" w:hAnsi="Times New Roman" w:cs="Times New Roman"/>
                <w:bCs/>
                <w:color w:val="auto"/>
              </w:rPr>
              <w:t>由表1-3可知，建设项目距离最近的生态红线保护区为南侧的江苏涟水涟漪湖黄嘴白鹭省级自然保护区，距离生态红线区边界约</w:t>
            </w:r>
            <w:r>
              <w:rPr>
                <w:rFonts w:hint="eastAsia" w:ascii="Times New Roman" w:hAnsi="Times New Roman" w:cs="Times New Roman"/>
                <w:bCs/>
                <w:color w:val="auto"/>
                <w:lang w:val="en-US" w:eastAsia="zh-CN"/>
              </w:rPr>
              <w:t>5.2</w:t>
            </w:r>
            <w:r>
              <w:rPr>
                <w:rFonts w:ascii="Times New Roman" w:hAnsi="Times New Roman" w:cs="Times New Roman"/>
                <w:bCs/>
                <w:color w:val="auto"/>
              </w:rPr>
              <w:t>km，因此建设项目不在确定的江苏省生态红线区域范围之内，建设项目与江苏省国家级生态保护红线相符。建设项目与生态红线位置关系详见附图3。</w:t>
            </w:r>
          </w:p>
          <w:p w14:paraId="493F4542">
            <w:pPr>
              <w:pStyle w:val="107"/>
              <w:spacing w:line="360" w:lineRule="auto"/>
              <w:ind w:firstLine="480" w:firstLineChars="200"/>
              <w:rPr>
                <w:rFonts w:ascii="Times New Roman" w:hAnsi="Times New Roman" w:cs="Times New Roman"/>
                <w:bCs/>
                <w:color w:val="auto"/>
              </w:rPr>
            </w:pPr>
            <w:r>
              <w:rPr>
                <w:rFonts w:hint="eastAsia"/>
                <w:bCs/>
                <w:color w:val="auto"/>
              </w:rPr>
              <w:t>②</w:t>
            </w:r>
            <w:r>
              <w:rPr>
                <w:rFonts w:ascii="Times New Roman" w:hAnsi="Times New Roman" w:cs="Times New Roman"/>
                <w:bCs/>
                <w:color w:val="auto"/>
              </w:rPr>
              <w:t>与《江苏省生态空间管控区域规划》（苏政发〔2020〕1号）相符性分析</w:t>
            </w:r>
          </w:p>
          <w:p w14:paraId="32A58CDD">
            <w:pPr>
              <w:pStyle w:val="107"/>
              <w:spacing w:line="360" w:lineRule="auto"/>
              <w:ind w:firstLine="480" w:firstLineChars="200"/>
              <w:rPr>
                <w:rFonts w:ascii="Times New Roman" w:hAnsi="Times New Roman" w:cs="Times New Roman"/>
                <w:bCs/>
                <w:color w:val="auto"/>
              </w:rPr>
            </w:pPr>
            <w:r>
              <w:rPr>
                <w:rFonts w:ascii="Times New Roman" w:hAnsi="Times New Roman" w:cs="Times New Roman"/>
                <w:bCs/>
                <w:color w:val="auto"/>
              </w:rPr>
              <w:t>建设项目与《江苏省生态空间管控区域规划》（苏政发〔2020〕1号）相符性分析见表1-4。</w:t>
            </w:r>
          </w:p>
          <w:p w14:paraId="6967C476">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auto"/>
                <w:sz w:val="24"/>
              </w:rPr>
            </w:pPr>
            <w:r>
              <w:rPr>
                <w:b/>
                <w:color w:val="auto"/>
                <w:sz w:val="24"/>
              </w:rPr>
              <w:t>表1-4《江苏省生态空间管控区域规划》（苏政发〔2020〕1号）相符性分析</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759"/>
              <w:gridCol w:w="2695"/>
              <w:gridCol w:w="2010"/>
              <w:gridCol w:w="1254"/>
            </w:tblGrid>
            <w:tr w14:paraId="3405B3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1" w:type="dxa"/>
                  <w:vMerge w:val="restart"/>
                  <w:tcBorders>
                    <w:top w:val="single" w:color="auto" w:sz="12" w:space="0"/>
                  </w:tcBorders>
                  <w:vAlign w:val="center"/>
                </w:tcPr>
                <w:p w14:paraId="0B42F72A">
                  <w:pPr>
                    <w:keepNext w:val="0"/>
                    <w:keepLines w:val="0"/>
                    <w:pageBreakBefore w:val="0"/>
                    <w:widowControl w:val="0"/>
                    <w:kinsoku/>
                    <w:wordWrap/>
                    <w:overflowPunct/>
                    <w:topLinePunct w:val="0"/>
                    <w:bidi w:val="0"/>
                    <w:adjustRightInd w:val="0"/>
                    <w:snapToGrid w:val="0"/>
                    <w:ind w:firstLine="0"/>
                    <w:jc w:val="center"/>
                    <w:textAlignment w:val="auto"/>
                    <w:rPr>
                      <w:b/>
                      <w:snapToGrid w:val="0"/>
                      <w:color w:val="auto"/>
                      <w:szCs w:val="21"/>
                    </w:rPr>
                  </w:pPr>
                  <w:r>
                    <w:rPr>
                      <w:b/>
                      <w:snapToGrid w:val="0"/>
                      <w:color w:val="auto"/>
                      <w:szCs w:val="21"/>
                    </w:rPr>
                    <w:t>地区</w:t>
                  </w:r>
                </w:p>
                <w:p w14:paraId="2492D37D">
                  <w:pPr>
                    <w:keepNext w:val="0"/>
                    <w:keepLines w:val="0"/>
                    <w:pageBreakBefore w:val="0"/>
                    <w:widowControl w:val="0"/>
                    <w:kinsoku/>
                    <w:wordWrap/>
                    <w:overflowPunct/>
                    <w:topLinePunct w:val="0"/>
                    <w:bidi w:val="0"/>
                    <w:adjustRightInd w:val="0"/>
                    <w:snapToGrid w:val="0"/>
                    <w:ind w:firstLine="0"/>
                    <w:jc w:val="center"/>
                    <w:textAlignment w:val="auto"/>
                    <w:rPr>
                      <w:b/>
                      <w:snapToGrid w:val="0"/>
                      <w:color w:val="auto"/>
                      <w:szCs w:val="21"/>
                    </w:rPr>
                  </w:pPr>
                  <w:r>
                    <w:rPr>
                      <w:b/>
                      <w:snapToGrid w:val="0"/>
                      <w:color w:val="auto"/>
                      <w:szCs w:val="21"/>
                    </w:rPr>
                    <w:t>名称</w:t>
                  </w:r>
                </w:p>
              </w:tc>
              <w:tc>
                <w:tcPr>
                  <w:tcW w:w="695" w:type="dxa"/>
                  <w:vMerge w:val="restart"/>
                  <w:tcBorders>
                    <w:top w:val="single" w:color="auto" w:sz="12" w:space="0"/>
                  </w:tcBorders>
                  <w:vAlign w:val="center"/>
                </w:tcPr>
                <w:p w14:paraId="181F2F60">
                  <w:pPr>
                    <w:keepNext w:val="0"/>
                    <w:keepLines w:val="0"/>
                    <w:pageBreakBefore w:val="0"/>
                    <w:widowControl w:val="0"/>
                    <w:kinsoku/>
                    <w:wordWrap/>
                    <w:overflowPunct/>
                    <w:topLinePunct w:val="0"/>
                    <w:bidi w:val="0"/>
                    <w:adjustRightInd w:val="0"/>
                    <w:snapToGrid w:val="0"/>
                    <w:ind w:firstLine="0"/>
                    <w:jc w:val="center"/>
                    <w:textAlignment w:val="auto"/>
                    <w:rPr>
                      <w:b/>
                      <w:snapToGrid w:val="0"/>
                      <w:color w:val="auto"/>
                      <w:szCs w:val="21"/>
                    </w:rPr>
                  </w:pPr>
                  <w:r>
                    <w:rPr>
                      <w:b/>
                      <w:snapToGrid w:val="0"/>
                      <w:color w:val="auto"/>
                      <w:szCs w:val="21"/>
                    </w:rPr>
                    <w:t>红线区域</w:t>
                  </w:r>
                </w:p>
                <w:p w14:paraId="68FA29D5">
                  <w:pPr>
                    <w:keepNext w:val="0"/>
                    <w:keepLines w:val="0"/>
                    <w:pageBreakBefore w:val="0"/>
                    <w:widowControl w:val="0"/>
                    <w:kinsoku/>
                    <w:wordWrap/>
                    <w:overflowPunct/>
                    <w:topLinePunct w:val="0"/>
                    <w:bidi w:val="0"/>
                    <w:adjustRightInd w:val="0"/>
                    <w:snapToGrid w:val="0"/>
                    <w:ind w:firstLine="0"/>
                    <w:jc w:val="center"/>
                    <w:textAlignment w:val="auto"/>
                    <w:rPr>
                      <w:b/>
                      <w:snapToGrid w:val="0"/>
                      <w:color w:val="auto"/>
                      <w:szCs w:val="21"/>
                    </w:rPr>
                  </w:pPr>
                  <w:r>
                    <w:rPr>
                      <w:b/>
                      <w:snapToGrid w:val="0"/>
                      <w:color w:val="auto"/>
                      <w:szCs w:val="21"/>
                    </w:rPr>
                    <w:t>名称</w:t>
                  </w:r>
                </w:p>
              </w:tc>
              <w:tc>
                <w:tcPr>
                  <w:tcW w:w="4310" w:type="dxa"/>
                  <w:gridSpan w:val="2"/>
                  <w:tcBorders>
                    <w:top w:val="single" w:color="auto" w:sz="12" w:space="0"/>
                  </w:tcBorders>
                  <w:vAlign w:val="center"/>
                </w:tcPr>
                <w:p w14:paraId="0C5AD2FA">
                  <w:pPr>
                    <w:keepNext w:val="0"/>
                    <w:keepLines w:val="0"/>
                    <w:pageBreakBefore w:val="0"/>
                    <w:widowControl w:val="0"/>
                    <w:kinsoku/>
                    <w:wordWrap/>
                    <w:overflowPunct/>
                    <w:topLinePunct w:val="0"/>
                    <w:bidi w:val="0"/>
                    <w:adjustRightInd w:val="0"/>
                    <w:snapToGrid w:val="0"/>
                    <w:ind w:firstLine="0"/>
                    <w:jc w:val="center"/>
                    <w:textAlignment w:val="auto"/>
                    <w:rPr>
                      <w:b/>
                      <w:snapToGrid w:val="0"/>
                      <w:color w:val="auto"/>
                      <w:szCs w:val="21"/>
                    </w:rPr>
                  </w:pPr>
                  <w:r>
                    <w:rPr>
                      <w:b/>
                      <w:snapToGrid w:val="0"/>
                      <w:color w:val="auto"/>
                      <w:szCs w:val="21"/>
                    </w:rPr>
                    <w:t>红线区域范围</w:t>
                  </w:r>
                </w:p>
              </w:tc>
              <w:tc>
                <w:tcPr>
                  <w:tcW w:w="1149" w:type="dxa"/>
                  <w:vMerge w:val="restart"/>
                  <w:tcBorders>
                    <w:top w:val="single" w:color="auto" w:sz="12" w:space="0"/>
                  </w:tcBorders>
                  <w:vAlign w:val="center"/>
                </w:tcPr>
                <w:p w14:paraId="1F2746C3">
                  <w:pPr>
                    <w:keepNext w:val="0"/>
                    <w:keepLines w:val="0"/>
                    <w:pageBreakBefore w:val="0"/>
                    <w:widowControl w:val="0"/>
                    <w:kinsoku/>
                    <w:wordWrap/>
                    <w:overflowPunct/>
                    <w:topLinePunct w:val="0"/>
                    <w:bidi w:val="0"/>
                    <w:adjustRightInd w:val="0"/>
                    <w:snapToGrid w:val="0"/>
                    <w:ind w:firstLine="0"/>
                    <w:jc w:val="center"/>
                    <w:textAlignment w:val="auto"/>
                    <w:rPr>
                      <w:b/>
                      <w:color w:val="auto"/>
                      <w:szCs w:val="21"/>
                    </w:rPr>
                  </w:pPr>
                  <w:r>
                    <w:rPr>
                      <w:b/>
                      <w:color w:val="auto"/>
                      <w:szCs w:val="21"/>
                    </w:rPr>
                    <w:t>拟建项目相符性分析</w:t>
                  </w:r>
                </w:p>
              </w:tc>
            </w:tr>
            <w:tr w14:paraId="28B206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1" w:type="dxa"/>
                  <w:vMerge w:val="continue"/>
                  <w:vAlign w:val="center"/>
                </w:tcPr>
                <w:p w14:paraId="624CB4ED">
                  <w:pPr>
                    <w:keepNext w:val="0"/>
                    <w:keepLines w:val="0"/>
                    <w:pageBreakBefore w:val="0"/>
                    <w:widowControl w:val="0"/>
                    <w:kinsoku/>
                    <w:wordWrap/>
                    <w:overflowPunct/>
                    <w:topLinePunct w:val="0"/>
                    <w:bidi w:val="0"/>
                    <w:adjustRightInd w:val="0"/>
                    <w:snapToGrid w:val="0"/>
                    <w:ind w:firstLine="0"/>
                    <w:jc w:val="center"/>
                    <w:textAlignment w:val="auto"/>
                    <w:rPr>
                      <w:snapToGrid w:val="0"/>
                      <w:color w:val="auto"/>
                      <w:szCs w:val="21"/>
                    </w:rPr>
                  </w:pPr>
                </w:p>
              </w:tc>
              <w:tc>
                <w:tcPr>
                  <w:tcW w:w="695" w:type="dxa"/>
                  <w:vMerge w:val="continue"/>
                  <w:vAlign w:val="center"/>
                </w:tcPr>
                <w:p w14:paraId="4C171906">
                  <w:pPr>
                    <w:keepNext w:val="0"/>
                    <w:keepLines w:val="0"/>
                    <w:pageBreakBefore w:val="0"/>
                    <w:widowControl w:val="0"/>
                    <w:kinsoku/>
                    <w:wordWrap/>
                    <w:overflowPunct/>
                    <w:topLinePunct w:val="0"/>
                    <w:bidi w:val="0"/>
                    <w:adjustRightInd w:val="0"/>
                    <w:snapToGrid w:val="0"/>
                    <w:ind w:firstLine="0"/>
                    <w:jc w:val="center"/>
                    <w:textAlignment w:val="auto"/>
                    <w:rPr>
                      <w:snapToGrid w:val="0"/>
                      <w:color w:val="auto"/>
                      <w:szCs w:val="21"/>
                    </w:rPr>
                  </w:pPr>
                </w:p>
              </w:tc>
              <w:tc>
                <w:tcPr>
                  <w:tcW w:w="2469" w:type="dxa"/>
                  <w:vAlign w:val="center"/>
                </w:tcPr>
                <w:p w14:paraId="53FB0D92">
                  <w:pPr>
                    <w:keepNext w:val="0"/>
                    <w:keepLines w:val="0"/>
                    <w:pageBreakBefore w:val="0"/>
                    <w:widowControl w:val="0"/>
                    <w:kinsoku/>
                    <w:wordWrap/>
                    <w:overflowPunct/>
                    <w:topLinePunct w:val="0"/>
                    <w:bidi w:val="0"/>
                    <w:adjustRightInd w:val="0"/>
                    <w:snapToGrid w:val="0"/>
                    <w:ind w:firstLine="0"/>
                    <w:jc w:val="center"/>
                    <w:textAlignment w:val="auto"/>
                    <w:rPr>
                      <w:b/>
                      <w:snapToGrid w:val="0"/>
                      <w:color w:val="auto"/>
                      <w:szCs w:val="21"/>
                    </w:rPr>
                  </w:pPr>
                  <w:r>
                    <w:rPr>
                      <w:b/>
                      <w:snapToGrid w:val="0"/>
                      <w:color w:val="auto"/>
                      <w:szCs w:val="21"/>
                    </w:rPr>
                    <w:t>国家级生态红线保护范围</w:t>
                  </w:r>
                </w:p>
              </w:tc>
              <w:tc>
                <w:tcPr>
                  <w:tcW w:w="1841" w:type="dxa"/>
                  <w:vAlign w:val="center"/>
                </w:tcPr>
                <w:p w14:paraId="46D1245E">
                  <w:pPr>
                    <w:keepNext w:val="0"/>
                    <w:keepLines w:val="0"/>
                    <w:pageBreakBefore w:val="0"/>
                    <w:widowControl w:val="0"/>
                    <w:kinsoku/>
                    <w:wordWrap/>
                    <w:overflowPunct/>
                    <w:topLinePunct w:val="0"/>
                    <w:bidi w:val="0"/>
                    <w:adjustRightInd w:val="0"/>
                    <w:snapToGrid w:val="0"/>
                    <w:ind w:firstLine="0"/>
                    <w:jc w:val="center"/>
                    <w:textAlignment w:val="auto"/>
                    <w:rPr>
                      <w:b/>
                      <w:snapToGrid w:val="0"/>
                      <w:color w:val="auto"/>
                      <w:szCs w:val="21"/>
                    </w:rPr>
                  </w:pPr>
                  <w:r>
                    <w:rPr>
                      <w:b/>
                      <w:snapToGrid w:val="0"/>
                      <w:color w:val="auto"/>
                      <w:szCs w:val="21"/>
                    </w:rPr>
                    <w:t>生态空间管控区域范围</w:t>
                  </w:r>
                </w:p>
              </w:tc>
              <w:tc>
                <w:tcPr>
                  <w:tcW w:w="1149" w:type="dxa"/>
                  <w:vMerge w:val="continue"/>
                  <w:vAlign w:val="center"/>
                </w:tcPr>
                <w:p w14:paraId="4C025977">
                  <w:pPr>
                    <w:keepNext w:val="0"/>
                    <w:keepLines w:val="0"/>
                    <w:pageBreakBefore w:val="0"/>
                    <w:widowControl w:val="0"/>
                    <w:kinsoku/>
                    <w:wordWrap/>
                    <w:overflowPunct/>
                    <w:topLinePunct w:val="0"/>
                    <w:bidi w:val="0"/>
                    <w:adjustRightInd w:val="0"/>
                    <w:snapToGrid w:val="0"/>
                    <w:ind w:firstLine="0"/>
                    <w:jc w:val="center"/>
                    <w:textAlignment w:val="auto"/>
                    <w:rPr>
                      <w:color w:val="auto"/>
                      <w:szCs w:val="21"/>
                    </w:rPr>
                  </w:pPr>
                </w:p>
              </w:tc>
            </w:tr>
            <w:tr w14:paraId="5243FB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1" w:type="dxa"/>
                  <w:shd w:val="clear" w:color="auto" w:fill="auto"/>
                  <w:vAlign w:val="center"/>
                </w:tcPr>
                <w:p w14:paraId="37B99E8F">
                  <w:pPr>
                    <w:pStyle w:val="55"/>
                    <w:keepNext w:val="0"/>
                    <w:keepLines w:val="0"/>
                    <w:pageBreakBefore w:val="0"/>
                    <w:widowControl w:val="0"/>
                    <w:kinsoku/>
                    <w:wordWrap/>
                    <w:overflowPunct/>
                    <w:topLinePunct w:val="0"/>
                    <w:bidi w:val="0"/>
                    <w:adjustRightInd w:val="0"/>
                    <w:snapToGrid w:val="0"/>
                    <w:ind w:firstLine="0"/>
                    <w:jc w:val="center"/>
                    <w:textAlignment w:val="auto"/>
                    <w:rPr>
                      <w:color w:val="auto"/>
                      <w:sz w:val="21"/>
                      <w:szCs w:val="21"/>
                    </w:rPr>
                  </w:pPr>
                  <w:r>
                    <w:rPr>
                      <w:color w:val="auto"/>
                      <w:sz w:val="21"/>
                      <w:szCs w:val="21"/>
                    </w:rPr>
                    <w:t>江苏涟水涟漪湖黄嘴白鹭省级自然保护区</w:t>
                  </w:r>
                </w:p>
              </w:tc>
              <w:tc>
                <w:tcPr>
                  <w:tcW w:w="695" w:type="dxa"/>
                  <w:shd w:val="clear" w:color="auto" w:fill="auto"/>
                  <w:vAlign w:val="center"/>
                </w:tcPr>
                <w:p w14:paraId="2CFB05C7">
                  <w:pPr>
                    <w:pStyle w:val="55"/>
                    <w:keepNext w:val="0"/>
                    <w:keepLines w:val="0"/>
                    <w:pageBreakBefore w:val="0"/>
                    <w:widowControl w:val="0"/>
                    <w:kinsoku/>
                    <w:wordWrap/>
                    <w:overflowPunct/>
                    <w:topLinePunct w:val="0"/>
                    <w:bidi w:val="0"/>
                    <w:adjustRightInd w:val="0"/>
                    <w:snapToGrid w:val="0"/>
                    <w:ind w:firstLine="0"/>
                    <w:jc w:val="center"/>
                    <w:textAlignment w:val="auto"/>
                    <w:rPr>
                      <w:color w:val="auto"/>
                      <w:sz w:val="21"/>
                      <w:szCs w:val="21"/>
                    </w:rPr>
                  </w:pPr>
                  <w:r>
                    <w:rPr>
                      <w:color w:val="auto"/>
                      <w:sz w:val="21"/>
                      <w:szCs w:val="21"/>
                    </w:rPr>
                    <w:t>生物多样性保护</w:t>
                  </w:r>
                </w:p>
              </w:tc>
              <w:tc>
                <w:tcPr>
                  <w:tcW w:w="2469" w:type="dxa"/>
                  <w:shd w:val="clear" w:color="auto" w:fill="auto"/>
                  <w:vAlign w:val="center"/>
                </w:tcPr>
                <w:p w14:paraId="50A834A6">
                  <w:pPr>
                    <w:pStyle w:val="55"/>
                    <w:keepNext w:val="0"/>
                    <w:keepLines w:val="0"/>
                    <w:pageBreakBefore w:val="0"/>
                    <w:widowControl w:val="0"/>
                    <w:kinsoku/>
                    <w:wordWrap/>
                    <w:overflowPunct/>
                    <w:topLinePunct w:val="0"/>
                    <w:bidi w:val="0"/>
                    <w:adjustRightInd w:val="0"/>
                    <w:snapToGrid w:val="0"/>
                    <w:ind w:firstLine="0"/>
                    <w:jc w:val="center"/>
                    <w:textAlignment w:val="auto"/>
                    <w:rPr>
                      <w:color w:val="auto"/>
                      <w:sz w:val="21"/>
                      <w:szCs w:val="21"/>
                    </w:rPr>
                  </w:pPr>
                  <w:r>
                    <w:rPr>
                      <w:color w:val="auto"/>
                      <w:sz w:val="21"/>
                      <w:szCs w:val="21"/>
                    </w:rPr>
                    <w:t>包括自然保护区核心区、缓冲区和实验区。自然保护区五岛公园以及相连水域为核心区和缓冲区。实验区范围包括涟水县涟城镇的五岛公园以及相连水域，城郊废黄河沿线的林区和水域、湿地生态系统。坐标为：118°59′E至119°35′E，33°45′N至34°65′N之间</w:t>
                  </w:r>
                </w:p>
              </w:tc>
              <w:tc>
                <w:tcPr>
                  <w:tcW w:w="1841" w:type="dxa"/>
                  <w:shd w:val="clear" w:color="auto" w:fill="auto"/>
                  <w:vAlign w:val="center"/>
                </w:tcPr>
                <w:p w14:paraId="08CCF220">
                  <w:pPr>
                    <w:pStyle w:val="55"/>
                    <w:keepNext w:val="0"/>
                    <w:keepLines w:val="0"/>
                    <w:pageBreakBefore w:val="0"/>
                    <w:widowControl w:val="0"/>
                    <w:kinsoku/>
                    <w:wordWrap/>
                    <w:overflowPunct/>
                    <w:topLinePunct w:val="0"/>
                    <w:bidi w:val="0"/>
                    <w:adjustRightInd w:val="0"/>
                    <w:snapToGrid w:val="0"/>
                    <w:ind w:firstLine="0"/>
                    <w:jc w:val="center"/>
                    <w:textAlignment w:val="auto"/>
                    <w:rPr>
                      <w:color w:val="auto"/>
                      <w:sz w:val="21"/>
                      <w:szCs w:val="21"/>
                    </w:rPr>
                  </w:pPr>
                  <w:r>
                    <w:rPr>
                      <w:color w:val="auto"/>
                      <w:sz w:val="21"/>
                      <w:szCs w:val="21"/>
                    </w:rPr>
                    <w:t>-</w:t>
                  </w:r>
                </w:p>
              </w:tc>
              <w:tc>
                <w:tcPr>
                  <w:tcW w:w="1149" w:type="dxa"/>
                  <w:vAlign w:val="center"/>
                </w:tcPr>
                <w:p w14:paraId="514EF616">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bCs/>
                      <w:color w:val="auto"/>
                      <w:kern w:val="0"/>
                      <w:szCs w:val="21"/>
                    </w:rPr>
                  </w:pPr>
                  <w:r>
                    <w:rPr>
                      <w:bCs/>
                      <w:color w:val="auto"/>
                      <w:szCs w:val="21"/>
                    </w:rPr>
                    <w:t>建设项目在生态红线北侧</w:t>
                  </w:r>
                  <w:r>
                    <w:rPr>
                      <w:rFonts w:hint="eastAsia"/>
                      <w:bCs/>
                      <w:color w:val="auto"/>
                      <w:szCs w:val="21"/>
                      <w:lang w:val="en-US" w:eastAsia="zh-CN"/>
                    </w:rPr>
                    <w:t>5.2</w:t>
                  </w:r>
                  <w:r>
                    <w:rPr>
                      <w:bCs/>
                      <w:color w:val="auto"/>
                      <w:szCs w:val="21"/>
                    </w:rPr>
                    <w:t>km左右，不在管控范围内</w:t>
                  </w:r>
                </w:p>
              </w:tc>
            </w:tr>
            <w:tr w14:paraId="115988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1" w:type="dxa"/>
                  <w:vAlign w:val="center"/>
                </w:tcPr>
                <w:p w14:paraId="35B5BB04">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bCs/>
                      <w:color w:val="auto"/>
                      <w:kern w:val="0"/>
                      <w:szCs w:val="21"/>
                    </w:rPr>
                  </w:pPr>
                  <w:r>
                    <w:rPr>
                      <w:bCs/>
                      <w:color w:val="auto"/>
                      <w:kern w:val="0"/>
                      <w:szCs w:val="21"/>
                    </w:rPr>
                    <w:t>废黄河（涟水县）重要湿地</w:t>
                  </w:r>
                </w:p>
              </w:tc>
              <w:tc>
                <w:tcPr>
                  <w:tcW w:w="695" w:type="dxa"/>
                  <w:shd w:val="clear" w:color="auto" w:fill="auto"/>
                  <w:vAlign w:val="center"/>
                </w:tcPr>
                <w:p w14:paraId="19B1DBA4">
                  <w:pPr>
                    <w:pStyle w:val="55"/>
                    <w:keepNext w:val="0"/>
                    <w:keepLines w:val="0"/>
                    <w:pageBreakBefore w:val="0"/>
                    <w:widowControl w:val="0"/>
                    <w:kinsoku/>
                    <w:wordWrap/>
                    <w:overflowPunct/>
                    <w:topLinePunct w:val="0"/>
                    <w:bidi w:val="0"/>
                    <w:adjustRightInd w:val="0"/>
                    <w:snapToGrid w:val="0"/>
                    <w:ind w:firstLine="0"/>
                    <w:jc w:val="center"/>
                    <w:textAlignment w:val="auto"/>
                    <w:rPr>
                      <w:color w:val="auto"/>
                      <w:sz w:val="21"/>
                      <w:szCs w:val="21"/>
                    </w:rPr>
                  </w:pPr>
                  <w:r>
                    <w:rPr>
                      <w:color w:val="auto"/>
                      <w:sz w:val="21"/>
                      <w:szCs w:val="21"/>
                    </w:rPr>
                    <w:t>湿地生态系统保护</w:t>
                  </w:r>
                </w:p>
              </w:tc>
              <w:tc>
                <w:tcPr>
                  <w:tcW w:w="2469" w:type="dxa"/>
                  <w:shd w:val="clear" w:color="auto" w:fill="auto"/>
                  <w:vAlign w:val="center"/>
                </w:tcPr>
                <w:p w14:paraId="08336B3B">
                  <w:pPr>
                    <w:pStyle w:val="55"/>
                    <w:keepNext w:val="0"/>
                    <w:keepLines w:val="0"/>
                    <w:pageBreakBefore w:val="0"/>
                    <w:widowControl w:val="0"/>
                    <w:kinsoku/>
                    <w:wordWrap/>
                    <w:overflowPunct/>
                    <w:topLinePunct w:val="0"/>
                    <w:bidi w:val="0"/>
                    <w:adjustRightInd w:val="0"/>
                    <w:snapToGrid w:val="0"/>
                    <w:ind w:firstLine="0"/>
                    <w:jc w:val="center"/>
                    <w:textAlignment w:val="auto"/>
                    <w:rPr>
                      <w:color w:val="auto"/>
                      <w:sz w:val="21"/>
                      <w:szCs w:val="21"/>
                    </w:rPr>
                  </w:pPr>
                  <w:r>
                    <w:rPr>
                      <w:color w:val="auto"/>
                      <w:sz w:val="21"/>
                      <w:szCs w:val="21"/>
                    </w:rPr>
                    <w:t>-</w:t>
                  </w:r>
                </w:p>
              </w:tc>
              <w:tc>
                <w:tcPr>
                  <w:tcW w:w="1841" w:type="dxa"/>
                  <w:shd w:val="clear" w:color="auto" w:fill="auto"/>
                  <w:vAlign w:val="center"/>
                </w:tcPr>
                <w:p w14:paraId="4D3667A1">
                  <w:pPr>
                    <w:pStyle w:val="55"/>
                    <w:keepNext w:val="0"/>
                    <w:keepLines w:val="0"/>
                    <w:pageBreakBefore w:val="0"/>
                    <w:widowControl w:val="0"/>
                    <w:kinsoku/>
                    <w:wordWrap/>
                    <w:overflowPunct/>
                    <w:topLinePunct w:val="0"/>
                    <w:bidi w:val="0"/>
                    <w:adjustRightInd w:val="0"/>
                    <w:snapToGrid w:val="0"/>
                    <w:ind w:firstLine="0"/>
                    <w:jc w:val="center"/>
                    <w:textAlignment w:val="auto"/>
                    <w:rPr>
                      <w:color w:val="auto"/>
                      <w:sz w:val="21"/>
                      <w:szCs w:val="21"/>
                    </w:rPr>
                  </w:pPr>
                  <w:r>
                    <w:rPr>
                      <w:color w:val="auto"/>
                      <w:sz w:val="21"/>
                      <w:szCs w:val="21"/>
                    </w:rPr>
                    <w:t>涟水县境内全长78公里，入口保滩镇殷家渡，出口石湖镇张滩，废黄河北岸保滩镇周庄村至石湖镇张滩村</w:t>
                  </w:r>
                </w:p>
              </w:tc>
              <w:tc>
                <w:tcPr>
                  <w:tcW w:w="1149" w:type="dxa"/>
                  <w:vAlign w:val="center"/>
                </w:tcPr>
                <w:p w14:paraId="7393302D">
                  <w:pPr>
                    <w:pStyle w:val="55"/>
                    <w:keepNext w:val="0"/>
                    <w:keepLines w:val="0"/>
                    <w:pageBreakBefore w:val="0"/>
                    <w:widowControl w:val="0"/>
                    <w:kinsoku/>
                    <w:wordWrap/>
                    <w:overflowPunct/>
                    <w:topLinePunct w:val="0"/>
                    <w:bidi w:val="0"/>
                    <w:adjustRightInd w:val="0"/>
                    <w:snapToGrid w:val="0"/>
                    <w:ind w:firstLine="0"/>
                    <w:jc w:val="center"/>
                    <w:textAlignment w:val="auto"/>
                    <w:rPr>
                      <w:color w:val="auto"/>
                      <w:sz w:val="21"/>
                      <w:szCs w:val="21"/>
                    </w:rPr>
                  </w:pPr>
                  <w:r>
                    <w:rPr>
                      <w:color w:val="auto"/>
                      <w:sz w:val="21"/>
                      <w:szCs w:val="21"/>
                    </w:rPr>
                    <w:t>建设项目在生态红线北侧</w:t>
                  </w:r>
                  <w:r>
                    <w:rPr>
                      <w:rFonts w:hint="eastAsia"/>
                      <w:color w:val="auto"/>
                      <w:sz w:val="21"/>
                      <w:szCs w:val="21"/>
                      <w:lang w:val="en-US" w:eastAsia="zh-CN"/>
                    </w:rPr>
                    <w:t>6.4</w:t>
                  </w:r>
                  <w:r>
                    <w:rPr>
                      <w:color w:val="auto"/>
                      <w:sz w:val="21"/>
                      <w:szCs w:val="21"/>
                    </w:rPr>
                    <w:t>km左右，不在管控范围内</w:t>
                  </w:r>
                </w:p>
              </w:tc>
            </w:tr>
            <w:tr w14:paraId="1173E9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1" w:type="dxa"/>
                  <w:vAlign w:val="center"/>
                </w:tcPr>
                <w:p w14:paraId="7C237291">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eastAsia" w:eastAsia="宋体"/>
                      <w:bCs/>
                      <w:color w:val="auto"/>
                      <w:kern w:val="0"/>
                      <w:szCs w:val="21"/>
                      <w:lang w:eastAsia="zh-CN"/>
                    </w:rPr>
                  </w:pPr>
                  <w:r>
                    <w:rPr>
                      <w:rFonts w:hint="eastAsia"/>
                      <w:bCs/>
                      <w:color w:val="auto"/>
                      <w:kern w:val="0"/>
                      <w:szCs w:val="21"/>
                      <w:lang w:eastAsia="zh-CN"/>
                    </w:rPr>
                    <w:t>废黄河（淮安区）重要湿地</w:t>
                  </w:r>
                </w:p>
              </w:tc>
              <w:tc>
                <w:tcPr>
                  <w:tcW w:w="695" w:type="dxa"/>
                  <w:shd w:val="clear" w:color="auto" w:fill="auto"/>
                  <w:vAlign w:val="center"/>
                </w:tcPr>
                <w:p w14:paraId="0ECADB0D">
                  <w:pPr>
                    <w:pStyle w:val="55"/>
                    <w:keepNext w:val="0"/>
                    <w:keepLines w:val="0"/>
                    <w:pageBreakBefore w:val="0"/>
                    <w:widowControl w:val="0"/>
                    <w:kinsoku/>
                    <w:wordWrap/>
                    <w:overflowPunct/>
                    <w:topLinePunct w:val="0"/>
                    <w:bidi w:val="0"/>
                    <w:adjustRightInd w:val="0"/>
                    <w:snapToGrid w:val="0"/>
                    <w:ind w:firstLine="0"/>
                    <w:jc w:val="center"/>
                    <w:textAlignment w:val="auto"/>
                    <w:rPr>
                      <w:rFonts w:hint="eastAsia" w:eastAsia="宋体"/>
                      <w:color w:val="auto"/>
                      <w:sz w:val="21"/>
                      <w:szCs w:val="21"/>
                      <w:lang w:eastAsia="zh-CN"/>
                    </w:rPr>
                  </w:pPr>
                  <w:r>
                    <w:rPr>
                      <w:rFonts w:hint="eastAsia"/>
                      <w:color w:val="auto"/>
                      <w:sz w:val="21"/>
                      <w:szCs w:val="21"/>
                      <w:lang w:eastAsia="zh-CN"/>
                    </w:rPr>
                    <w:t>湿地生态系统保护</w:t>
                  </w:r>
                </w:p>
              </w:tc>
              <w:tc>
                <w:tcPr>
                  <w:tcW w:w="2469" w:type="dxa"/>
                  <w:shd w:val="clear" w:color="auto" w:fill="auto"/>
                  <w:vAlign w:val="center"/>
                </w:tcPr>
                <w:p w14:paraId="6F0C2814">
                  <w:pPr>
                    <w:pStyle w:val="55"/>
                    <w:keepNext w:val="0"/>
                    <w:keepLines w:val="0"/>
                    <w:pageBreakBefore w:val="0"/>
                    <w:widowControl w:val="0"/>
                    <w:kinsoku/>
                    <w:wordWrap/>
                    <w:overflowPunct/>
                    <w:topLinePunct w:val="0"/>
                    <w:bidi w:val="0"/>
                    <w:adjustRightInd w:val="0"/>
                    <w:snapToGrid w:val="0"/>
                    <w:ind w:firstLine="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1841" w:type="dxa"/>
                  <w:shd w:val="clear" w:color="auto" w:fill="auto"/>
                  <w:vAlign w:val="center"/>
                </w:tcPr>
                <w:p w14:paraId="74B35097">
                  <w:pPr>
                    <w:keepNext w:val="0"/>
                    <w:keepLines w:val="0"/>
                    <w:widowControl/>
                    <w:suppressLineNumbers w:val="0"/>
                    <w:jc w:val="left"/>
                    <w:rPr>
                      <w:color w:val="auto"/>
                      <w:sz w:val="21"/>
                      <w:szCs w:val="21"/>
                    </w:rPr>
                  </w:pPr>
                  <w:r>
                    <w:rPr>
                      <w:rFonts w:hint="eastAsia" w:ascii="宋体" w:hAnsi="宋体" w:eastAsia="宋体" w:cs="宋体"/>
                      <w:color w:val="auto"/>
                      <w:kern w:val="0"/>
                      <w:sz w:val="21"/>
                      <w:szCs w:val="21"/>
                      <w:lang w:val="en-US" w:eastAsia="zh-CN" w:bidi="ar"/>
                    </w:rPr>
                    <w:t>废黄河位于淮安区北边缘，属分界河流，北邻涟水县。西起徐杨乡老坝村，东止苏嘴镇吴码村。范围为废黄河水域及南岸</w:t>
                  </w:r>
                  <w:r>
                    <w:rPr>
                      <w:rFonts w:hint="default" w:ascii="Times New Roman" w:hAnsi="Times New Roman" w:eastAsia="宋体" w:cs="Times New Roman"/>
                      <w:color w:val="auto"/>
                      <w:kern w:val="0"/>
                      <w:sz w:val="21"/>
                      <w:szCs w:val="21"/>
                      <w:lang w:val="en-US" w:eastAsia="zh-CN" w:bidi="ar"/>
                    </w:rPr>
                    <w:t>100</w:t>
                  </w:r>
                  <w:r>
                    <w:rPr>
                      <w:rFonts w:hint="eastAsia" w:ascii="宋体" w:hAnsi="宋体" w:eastAsia="宋体" w:cs="宋体"/>
                      <w:color w:val="auto"/>
                      <w:kern w:val="0"/>
                      <w:sz w:val="21"/>
                      <w:szCs w:val="21"/>
                      <w:lang w:val="en-US" w:eastAsia="zh-CN" w:bidi="ar"/>
                    </w:rPr>
                    <w:t>米陆域范围内（其中</w:t>
                  </w:r>
                  <w:r>
                    <w:rPr>
                      <w:rFonts w:hint="default" w:ascii="Times New Roman" w:hAnsi="Times New Roman" w:eastAsia="宋体" w:cs="Times New Roman"/>
                      <w:color w:val="auto"/>
                      <w:kern w:val="0"/>
                      <w:sz w:val="21"/>
                      <w:szCs w:val="21"/>
                      <w:lang w:val="en-US" w:eastAsia="zh-CN" w:bidi="ar"/>
                    </w:rPr>
                    <w:t>S237</w:t>
                  </w:r>
                  <w:r>
                    <w:rPr>
                      <w:rFonts w:hint="eastAsia" w:ascii="宋体" w:hAnsi="宋体" w:eastAsia="宋体" w:cs="宋体"/>
                      <w:color w:val="auto"/>
                      <w:kern w:val="0"/>
                      <w:sz w:val="21"/>
                      <w:szCs w:val="21"/>
                      <w:lang w:val="en-US" w:eastAsia="zh-CN" w:bidi="ar"/>
                    </w:rPr>
                    <w:t>至南马厂大道段为废黄河水域及南岸</w:t>
                  </w:r>
                  <w:r>
                    <w:rPr>
                      <w:rFonts w:hint="default" w:ascii="Times New Roman" w:hAnsi="Times New Roman" w:eastAsia="宋体" w:cs="Times New Roman"/>
                      <w:color w:val="auto"/>
                      <w:kern w:val="0"/>
                      <w:sz w:val="21"/>
                      <w:szCs w:val="21"/>
                      <w:lang w:val="en-US" w:eastAsia="zh-CN" w:bidi="ar"/>
                    </w:rPr>
                    <w:t>30</w:t>
                  </w:r>
                  <w:r>
                    <w:rPr>
                      <w:rFonts w:hint="eastAsia" w:ascii="宋体" w:hAnsi="宋体" w:eastAsia="宋体" w:cs="宋体"/>
                      <w:color w:val="auto"/>
                      <w:kern w:val="0"/>
                      <w:sz w:val="21"/>
                      <w:szCs w:val="21"/>
                      <w:lang w:val="en-US" w:eastAsia="zh-CN" w:bidi="ar"/>
                    </w:rPr>
                    <w:t>米陆域范围内）、废黄河湿地（淮安经济技术开发区水厂段）</w:t>
                  </w:r>
                </w:p>
              </w:tc>
              <w:tc>
                <w:tcPr>
                  <w:tcW w:w="1149" w:type="dxa"/>
                  <w:vAlign w:val="center"/>
                </w:tcPr>
                <w:p w14:paraId="0679A964">
                  <w:pPr>
                    <w:pStyle w:val="55"/>
                    <w:keepNext w:val="0"/>
                    <w:keepLines w:val="0"/>
                    <w:pageBreakBefore w:val="0"/>
                    <w:widowControl w:val="0"/>
                    <w:kinsoku/>
                    <w:wordWrap/>
                    <w:overflowPunct/>
                    <w:topLinePunct w:val="0"/>
                    <w:bidi w:val="0"/>
                    <w:adjustRightInd w:val="0"/>
                    <w:snapToGrid w:val="0"/>
                    <w:ind w:firstLine="0"/>
                    <w:jc w:val="center"/>
                    <w:textAlignment w:val="auto"/>
                    <w:rPr>
                      <w:color w:val="auto"/>
                      <w:sz w:val="21"/>
                      <w:szCs w:val="21"/>
                    </w:rPr>
                  </w:pPr>
                  <w:r>
                    <w:rPr>
                      <w:color w:val="auto"/>
                      <w:sz w:val="21"/>
                      <w:szCs w:val="21"/>
                    </w:rPr>
                    <w:t>建设项目在生态红线北侧</w:t>
                  </w:r>
                  <w:r>
                    <w:rPr>
                      <w:rFonts w:hint="eastAsia"/>
                      <w:color w:val="auto"/>
                      <w:sz w:val="21"/>
                      <w:szCs w:val="21"/>
                      <w:lang w:val="en-US" w:eastAsia="zh-CN"/>
                    </w:rPr>
                    <w:t>6.55</w:t>
                  </w:r>
                  <w:r>
                    <w:rPr>
                      <w:color w:val="auto"/>
                      <w:sz w:val="21"/>
                      <w:szCs w:val="21"/>
                    </w:rPr>
                    <w:t>km左右，不在管控范围内</w:t>
                  </w:r>
                </w:p>
              </w:tc>
            </w:tr>
            <w:tr w14:paraId="7DFB41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1" w:type="dxa"/>
                  <w:vAlign w:val="center"/>
                </w:tcPr>
                <w:p w14:paraId="410DC3BF">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eastAsia" w:eastAsia="宋体"/>
                      <w:bCs/>
                      <w:color w:val="auto"/>
                      <w:kern w:val="0"/>
                      <w:szCs w:val="21"/>
                      <w:lang w:eastAsia="zh-CN"/>
                    </w:rPr>
                  </w:pPr>
                  <w:r>
                    <w:rPr>
                      <w:rFonts w:hint="eastAsia"/>
                      <w:bCs/>
                      <w:color w:val="auto"/>
                      <w:kern w:val="0"/>
                      <w:szCs w:val="21"/>
                      <w:lang w:eastAsia="zh-CN"/>
                    </w:rPr>
                    <w:t>江苏淮安古淮河国家湿地公园（试点）</w:t>
                  </w:r>
                </w:p>
              </w:tc>
              <w:tc>
                <w:tcPr>
                  <w:tcW w:w="695" w:type="dxa"/>
                  <w:shd w:val="clear" w:color="auto" w:fill="auto"/>
                  <w:vAlign w:val="center"/>
                </w:tcPr>
                <w:p w14:paraId="379074A4">
                  <w:pPr>
                    <w:pStyle w:val="55"/>
                    <w:keepNext w:val="0"/>
                    <w:keepLines w:val="0"/>
                    <w:pageBreakBefore w:val="0"/>
                    <w:widowControl w:val="0"/>
                    <w:kinsoku/>
                    <w:wordWrap/>
                    <w:overflowPunct/>
                    <w:topLinePunct w:val="0"/>
                    <w:bidi w:val="0"/>
                    <w:adjustRightInd w:val="0"/>
                    <w:snapToGrid w:val="0"/>
                    <w:ind w:firstLine="0"/>
                    <w:jc w:val="center"/>
                    <w:textAlignment w:val="auto"/>
                    <w:rPr>
                      <w:rFonts w:hint="eastAsia" w:eastAsia="宋体"/>
                      <w:color w:val="auto"/>
                      <w:sz w:val="21"/>
                      <w:szCs w:val="21"/>
                      <w:lang w:eastAsia="zh-CN"/>
                    </w:rPr>
                  </w:pPr>
                  <w:r>
                    <w:rPr>
                      <w:rFonts w:hint="eastAsia"/>
                      <w:color w:val="auto"/>
                      <w:sz w:val="21"/>
                      <w:szCs w:val="21"/>
                      <w:lang w:eastAsia="zh-CN"/>
                    </w:rPr>
                    <w:t>湿地生态系统保护</w:t>
                  </w:r>
                </w:p>
              </w:tc>
              <w:tc>
                <w:tcPr>
                  <w:tcW w:w="2469" w:type="dxa"/>
                  <w:shd w:val="clear" w:color="auto" w:fill="auto"/>
                  <w:vAlign w:val="center"/>
                </w:tcPr>
                <w:p w14:paraId="27948B6A">
                  <w:pPr>
                    <w:pStyle w:val="55"/>
                    <w:keepNext w:val="0"/>
                    <w:keepLines w:val="0"/>
                    <w:pageBreakBefore w:val="0"/>
                    <w:widowControl w:val="0"/>
                    <w:kinsoku/>
                    <w:wordWrap/>
                    <w:overflowPunct/>
                    <w:topLinePunct w:val="0"/>
                    <w:bidi w:val="0"/>
                    <w:adjustRightInd w:val="0"/>
                    <w:snapToGrid w:val="0"/>
                    <w:ind w:firstLine="0"/>
                    <w:jc w:val="center"/>
                    <w:textAlignment w:val="auto"/>
                    <w:rPr>
                      <w:rFonts w:hint="eastAsia" w:eastAsia="宋体"/>
                      <w:color w:val="auto"/>
                      <w:sz w:val="21"/>
                      <w:szCs w:val="21"/>
                      <w:lang w:eastAsia="zh-CN"/>
                    </w:rPr>
                  </w:pPr>
                  <w:r>
                    <w:rPr>
                      <w:rFonts w:hint="eastAsia"/>
                      <w:color w:val="auto"/>
                      <w:sz w:val="21"/>
                      <w:szCs w:val="21"/>
                      <w:lang w:eastAsia="zh-CN"/>
                    </w:rPr>
                    <w:t>江苏淮安古淮河国家湿地公园（试点）总体规划中确定的范围（包括湿地保育区和恢复重建区等）</w:t>
                  </w:r>
                </w:p>
              </w:tc>
              <w:tc>
                <w:tcPr>
                  <w:tcW w:w="1841" w:type="dxa"/>
                  <w:shd w:val="clear" w:color="auto" w:fill="auto"/>
                  <w:vAlign w:val="center"/>
                </w:tcPr>
                <w:p w14:paraId="1C935A09">
                  <w:pPr>
                    <w:pStyle w:val="55"/>
                    <w:keepNext w:val="0"/>
                    <w:keepLines w:val="0"/>
                    <w:pageBreakBefore w:val="0"/>
                    <w:widowControl w:val="0"/>
                    <w:kinsoku/>
                    <w:wordWrap/>
                    <w:overflowPunct/>
                    <w:topLinePunct w:val="0"/>
                    <w:bidi w:val="0"/>
                    <w:adjustRightInd w:val="0"/>
                    <w:snapToGrid w:val="0"/>
                    <w:ind w:firstLine="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1149" w:type="dxa"/>
                  <w:vAlign w:val="center"/>
                </w:tcPr>
                <w:p w14:paraId="260E95C5">
                  <w:pPr>
                    <w:pStyle w:val="55"/>
                    <w:keepNext w:val="0"/>
                    <w:keepLines w:val="0"/>
                    <w:pageBreakBefore w:val="0"/>
                    <w:widowControl w:val="0"/>
                    <w:kinsoku/>
                    <w:wordWrap/>
                    <w:overflowPunct/>
                    <w:topLinePunct w:val="0"/>
                    <w:bidi w:val="0"/>
                    <w:adjustRightInd w:val="0"/>
                    <w:snapToGrid w:val="0"/>
                    <w:ind w:firstLine="0"/>
                    <w:jc w:val="center"/>
                    <w:textAlignment w:val="auto"/>
                    <w:rPr>
                      <w:rFonts w:hint="default" w:eastAsia="宋体"/>
                      <w:color w:val="auto"/>
                      <w:sz w:val="21"/>
                      <w:szCs w:val="21"/>
                      <w:lang w:val="en-US" w:eastAsia="zh-CN"/>
                    </w:rPr>
                  </w:pPr>
                  <w:r>
                    <w:rPr>
                      <w:rFonts w:hint="eastAsia"/>
                      <w:color w:val="auto"/>
                      <w:sz w:val="21"/>
                      <w:szCs w:val="21"/>
                      <w:lang w:eastAsia="zh-CN"/>
                    </w:rPr>
                    <w:t>建设项目在生态红线北侧</w:t>
                  </w:r>
                  <w:r>
                    <w:rPr>
                      <w:rFonts w:hint="eastAsia"/>
                      <w:color w:val="auto"/>
                      <w:sz w:val="21"/>
                      <w:szCs w:val="21"/>
                      <w:lang w:val="en-US" w:eastAsia="zh-CN"/>
                    </w:rPr>
                    <w:t>6.45km左右，不在管控范围内</w:t>
                  </w:r>
                </w:p>
              </w:tc>
            </w:tr>
          </w:tbl>
          <w:p w14:paraId="1876772C">
            <w:pPr>
              <w:adjustRightInd w:val="0"/>
              <w:snapToGrid w:val="0"/>
              <w:spacing w:before="120" w:beforeLines="50" w:line="360" w:lineRule="auto"/>
              <w:ind w:firstLine="432" w:firstLineChars="180"/>
              <w:rPr>
                <w:color w:val="auto"/>
                <w:sz w:val="24"/>
              </w:rPr>
            </w:pPr>
            <w:r>
              <w:rPr>
                <w:color w:val="auto"/>
                <w:sz w:val="24"/>
              </w:rPr>
              <w:t>由表1-</w:t>
            </w:r>
            <w:r>
              <w:rPr>
                <w:rFonts w:hint="eastAsia"/>
                <w:color w:val="auto"/>
                <w:sz w:val="24"/>
              </w:rPr>
              <w:t>4</w:t>
            </w:r>
            <w:r>
              <w:rPr>
                <w:color w:val="auto"/>
                <w:sz w:val="24"/>
              </w:rPr>
              <w:t>可知，建设项目距离最近的生态红线保护区为</w:t>
            </w:r>
            <w:r>
              <w:rPr>
                <w:rFonts w:hint="eastAsia"/>
                <w:color w:val="auto"/>
                <w:sz w:val="24"/>
              </w:rPr>
              <w:t>南侧的江苏涟水涟漪湖黄嘴白鹭省级自然保护区</w:t>
            </w:r>
            <w:r>
              <w:rPr>
                <w:color w:val="auto"/>
                <w:sz w:val="24"/>
              </w:rPr>
              <w:t>，距离生态红线区边界</w:t>
            </w:r>
            <w:r>
              <w:rPr>
                <w:rFonts w:hint="eastAsia"/>
                <w:color w:val="auto"/>
                <w:sz w:val="24"/>
              </w:rPr>
              <w:t>约</w:t>
            </w:r>
            <w:r>
              <w:rPr>
                <w:rFonts w:hint="eastAsia"/>
                <w:color w:val="auto"/>
                <w:sz w:val="24"/>
                <w:lang w:val="en-US" w:eastAsia="zh-CN"/>
              </w:rPr>
              <w:t>5.2</w:t>
            </w:r>
            <w:r>
              <w:rPr>
                <w:color w:val="auto"/>
                <w:sz w:val="24"/>
              </w:rPr>
              <w:t>km</w:t>
            </w:r>
            <w:r>
              <w:rPr>
                <w:rFonts w:hint="eastAsia"/>
                <w:color w:val="auto"/>
                <w:sz w:val="24"/>
              </w:rPr>
              <w:t>，</w:t>
            </w:r>
            <w:r>
              <w:rPr>
                <w:color w:val="auto"/>
                <w:sz w:val="24"/>
              </w:rPr>
              <w:t>因此建设项目不在确定的生态空间管控区域范围之内，建设项目</w:t>
            </w:r>
            <w:r>
              <w:rPr>
                <w:rFonts w:hint="eastAsia"/>
                <w:color w:val="auto"/>
                <w:sz w:val="24"/>
              </w:rPr>
              <w:t>产生的食堂废水经隔油池处理后，与生活污水一并经化粪池处理后，接管至涟水经济开发区西区污水处理厂</w:t>
            </w:r>
            <w:r>
              <w:rPr>
                <w:color w:val="auto"/>
                <w:sz w:val="24"/>
              </w:rPr>
              <w:t>，与江苏省生态空间管控区域无直接的水力交换。因此</w:t>
            </w:r>
            <w:r>
              <w:rPr>
                <w:rFonts w:hint="eastAsia"/>
                <w:color w:val="auto"/>
                <w:sz w:val="24"/>
                <w:lang w:eastAsia="zh-CN"/>
              </w:rPr>
              <w:t>，</w:t>
            </w:r>
            <w:r>
              <w:rPr>
                <w:color w:val="auto"/>
                <w:sz w:val="24"/>
              </w:rPr>
              <w:t>建设项目与江苏省生态空间管控区域规划相符。建设项目与</w:t>
            </w:r>
            <w:r>
              <w:rPr>
                <w:rFonts w:hint="eastAsia"/>
                <w:color w:val="auto"/>
                <w:sz w:val="24"/>
              </w:rPr>
              <w:t>江苏省生态空间保护区域相对位置关系图详见附图4</w:t>
            </w:r>
            <w:r>
              <w:rPr>
                <w:color w:val="auto"/>
                <w:sz w:val="24"/>
              </w:rPr>
              <w:t>。</w:t>
            </w:r>
          </w:p>
          <w:p w14:paraId="61029A76">
            <w:pPr>
              <w:numPr>
                <w:ilvl w:val="0"/>
                <w:numId w:val="2"/>
              </w:numPr>
              <w:adjustRightInd w:val="0"/>
              <w:snapToGrid w:val="0"/>
              <w:spacing w:line="360" w:lineRule="auto"/>
              <w:ind w:firstLine="432" w:firstLineChars="180"/>
              <w:rPr>
                <w:color w:val="auto"/>
                <w:sz w:val="24"/>
              </w:rPr>
            </w:pPr>
            <w:r>
              <w:rPr>
                <w:rFonts w:hint="eastAsia"/>
                <w:color w:val="auto"/>
                <w:sz w:val="24"/>
              </w:rPr>
              <w:t>本</w:t>
            </w:r>
            <w:r>
              <w:rPr>
                <w:color w:val="auto"/>
                <w:sz w:val="24"/>
              </w:rPr>
              <w:t>项目与江苏省《关于印发江苏省</w:t>
            </w:r>
            <w:r>
              <w:rPr>
                <w:rFonts w:hint="eastAsia"/>
                <w:color w:val="auto"/>
                <w:sz w:val="24"/>
              </w:rPr>
              <w:t>“</w:t>
            </w:r>
            <w:r>
              <w:rPr>
                <w:color w:val="auto"/>
                <w:sz w:val="24"/>
              </w:rPr>
              <w:t>三线一单</w:t>
            </w:r>
            <w:r>
              <w:rPr>
                <w:rFonts w:hint="eastAsia"/>
                <w:color w:val="auto"/>
                <w:sz w:val="24"/>
              </w:rPr>
              <w:t>”</w:t>
            </w:r>
            <w:r>
              <w:rPr>
                <w:color w:val="auto"/>
                <w:sz w:val="24"/>
              </w:rPr>
              <w:t>生态环境分区管控方案的通知》（苏政发〔2020〕49号）相符性分析见表1-</w:t>
            </w:r>
            <w:r>
              <w:rPr>
                <w:rFonts w:hint="eastAsia"/>
                <w:color w:val="auto"/>
                <w:sz w:val="24"/>
                <w:lang w:val="en-US" w:eastAsia="zh-CN"/>
              </w:rPr>
              <w:t>5</w:t>
            </w:r>
            <w:r>
              <w:rPr>
                <w:color w:val="auto"/>
                <w:sz w:val="24"/>
              </w:rPr>
              <w:t>。</w:t>
            </w:r>
          </w:p>
          <w:p w14:paraId="38B95DE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b/>
                <w:bCs/>
                <w:color w:val="auto"/>
                <w:sz w:val="24"/>
              </w:rPr>
            </w:pPr>
            <w:r>
              <w:rPr>
                <w:b/>
                <w:bCs/>
                <w:color w:val="auto"/>
                <w:sz w:val="24"/>
              </w:rPr>
              <w:t>表1-</w:t>
            </w:r>
            <w:r>
              <w:rPr>
                <w:rFonts w:hint="eastAsia"/>
                <w:b/>
                <w:bCs/>
                <w:color w:val="auto"/>
                <w:sz w:val="24"/>
                <w:lang w:val="en-US" w:eastAsia="zh-CN"/>
              </w:rPr>
              <w:t>5</w:t>
            </w:r>
            <w:r>
              <w:rPr>
                <w:b/>
                <w:bCs/>
                <w:color w:val="auto"/>
                <w:sz w:val="24"/>
              </w:rPr>
              <w:t>与江苏省《关于印发江苏省</w:t>
            </w:r>
            <w:r>
              <w:rPr>
                <w:rFonts w:hint="eastAsia"/>
                <w:b/>
                <w:bCs/>
                <w:color w:val="auto"/>
                <w:sz w:val="24"/>
              </w:rPr>
              <w:t>“</w:t>
            </w:r>
            <w:r>
              <w:rPr>
                <w:b/>
                <w:bCs/>
                <w:color w:val="auto"/>
                <w:sz w:val="24"/>
              </w:rPr>
              <w:t>三线一单</w:t>
            </w:r>
            <w:r>
              <w:rPr>
                <w:rFonts w:hint="eastAsia"/>
                <w:b/>
                <w:bCs/>
                <w:color w:val="auto"/>
                <w:sz w:val="24"/>
              </w:rPr>
              <w:t>”</w:t>
            </w:r>
            <w:r>
              <w:rPr>
                <w:b/>
                <w:bCs/>
                <w:color w:val="auto"/>
                <w:sz w:val="24"/>
              </w:rPr>
              <w:t>生态环境分区管控方案的通知》（苏政发〔2020〕49号）相符性分析</w:t>
            </w:r>
          </w:p>
          <w:tbl>
            <w:tblPr>
              <w:tblStyle w:val="88"/>
              <w:tblpPr w:leftFromText="180" w:rightFromText="180" w:vertAnchor="text" w:horzAnchor="page" w:tblpX="15" w:tblpY="298"/>
              <w:tblOverlap w:val="never"/>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719"/>
              <w:gridCol w:w="4077"/>
              <w:gridCol w:w="2373"/>
              <w:gridCol w:w="663"/>
            </w:tblGrid>
            <w:tr w14:paraId="0663CF7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59" w:type="pct"/>
                  <w:vAlign w:val="center"/>
                </w:tcPr>
                <w:p w14:paraId="12385875">
                  <w:pPr>
                    <w:keepNext w:val="0"/>
                    <w:keepLines w:val="0"/>
                    <w:pageBreakBefore w:val="0"/>
                    <w:widowControl/>
                    <w:kinsoku/>
                    <w:wordWrap/>
                    <w:overflowPunct/>
                    <w:topLinePunct w:val="0"/>
                    <w:autoSpaceDE/>
                    <w:autoSpaceDN/>
                    <w:bidi w:val="0"/>
                    <w:adjustRightInd w:val="0"/>
                    <w:snapToGrid w:val="0"/>
                    <w:ind w:firstLine="0"/>
                    <w:jc w:val="center"/>
                    <w:textAlignment w:val="auto"/>
                    <w:rPr>
                      <w:b/>
                      <w:color w:val="auto"/>
                      <w:kern w:val="0"/>
                      <w:szCs w:val="21"/>
                    </w:rPr>
                  </w:pPr>
                  <w:r>
                    <w:rPr>
                      <w:b/>
                      <w:color w:val="auto"/>
                      <w:kern w:val="0"/>
                      <w:szCs w:val="21"/>
                    </w:rPr>
                    <w:t>管控类别</w:t>
                  </w:r>
                </w:p>
              </w:tc>
              <w:tc>
                <w:tcPr>
                  <w:tcW w:w="2602" w:type="pct"/>
                  <w:vAlign w:val="center"/>
                </w:tcPr>
                <w:p w14:paraId="32C753C9">
                  <w:pPr>
                    <w:keepNext w:val="0"/>
                    <w:keepLines w:val="0"/>
                    <w:pageBreakBefore w:val="0"/>
                    <w:widowControl/>
                    <w:kinsoku/>
                    <w:wordWrap/>
                    <w:overflowPunct/>
                    <w:topLinePunct w:val="0"/>
                    <w:autoSpaceDE/>
                    <w:autoSpaceDN/>
                    <w:bidi w:val="0"/>
                    <w:adjustRightInd w:val="0"/>
                    <w:snapToGrid w:val="0"/>
                    <w:ind w:firstLine="0"/>
                    <w:jc w:val="center"/>
                    <w:textAlignment w:val="auto"/>
                    <w:rPr>
                      <w:b/>
                      <w:color w:val="auto"/>
                      <w:kern w:val="0"/>
                      <w:szCs w:val="21"/>
                    </w:rPr>
                  </w:pPr>
                  <w:r>
                    <w:rPr>
                      <w:b/>
                      <w:color w:val="auto"/>
                      <w:kern w:val="0"/>
                      <w:szCs w:val="21"/>
                    </w:rPr>
                    <w:t>重点管控要求</w:t>
                  </w:r>
                </w:p>
              </w:tc>
              <w:tc>
                <w:tcPr>
                  <w:tcW w:w="1514" w:type="pct"/>
                  <w:vAlign w:val="center"/>
                </w:tcPr>
                <w:p w14:paraId="21DE6529">
                  <w:pPr>
                    <w:keepNext w:val="0"/>
                    <w:keepLines w:val="0"/>
                    <w:pageBreakBefore w:val="0"/>
                    <w:widowControl/>
                    <w:kinsoku/>
                    <w:wordWrap/>
                    <w:overflowPunct/>
                    <w:topLinePunct w:val="0"/>
                    <w:autoSpaceDE/>
                    <w:autoSpaceDN/>
                    <w:bidi w:val="0"/>
                    <w:adjustRightInd w:val="0"/>
                    <w:snapToGrid w:val="0"/>
                    <w:ind w:firstLine="0"/>
                    <w:jc w:val="center"/>
                    <w:textAlignment w:val="auto"/>
                    <w:rPr>
                      <w:b/>
                      <w:color w:val="auto"/>
                      <w:kern w:val="0"/>
                      <w:szCs w:val="21"/>
                    </w:rPr>
                  </w:pPr>
                  <w:r>
                    <w:rPr>
                      <w:b/>
                      <w:color w:val="auto"/>
                      <w:kern w:val="0"/>
                      <w:szCs w:val="21"/>
                    </w:rPr>
                    <w:t>相符性分析</w:t>
                  </w:r>
                </w:p>
              </w:tc>
              <w:tc>
                <w:tcPr>
                  <w:tcW w:w="423" w:type="pct"/>
                  <w:vAlign w:val="center"/>
                </w:tcPr>
                <w:p w14:paraId="602FABE7">
                  <w:pPr>
                    <w:keepNext w:val="0"/>
                    <w:keepLines w:val="0"/>
                    <w:pageBreakBefore w:val="0"/>
                    <w:widowControl/>
                    <w:kinsoku/>
                    <w:wordWrap/>
                    <w:overflowPunct/>
                    <w:topLinePunct w:val="0"/>
                    <w:autoSpaceDE/>
                    <w:autoSpaceDN/>
                    <w:bidi w:val="0"/>
                    <w:adjustRightInd w:val="0"/>
                    <w:snapToGrid w:val="0"/>
                    <w:ind w:firstLine="0"/>
                    <w:jc w:val="center"/>
                    <w:textAlignment w:val="auto"/>
                    <w:rPr>
                      <w:b/>
                      <w:color w:val="auto"/>
                      <w:kern w:val="0"/>
                      <w:szCs w:val="21"/>
                    </w:rPr>
                  </w:pPr>
                  <w:r>
                    <w:rPr>
                      <w:b/>
                      <w:color w:val="auto"/>
                      <w:kern w:val="0"/>
                      <w:szCs w:val="21"/>
                    </w:rPr>
                    <w:t>判定结果</w:t>
                  </w:r>
                </w:p>
              </w:tc>
            </w:tr>
            <w:tr w14:paraId="3C6E44E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59" w:type="pct"/>
                  <w:vMerge w:val="restart"/>
                  <w:vAlign w:val="center"/>
                </w:tcPr>
                <w:p w14:paraId="23AAB05C">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空间布局约束</w:t>
                  </w:r>
                </w:p>
              </w:tc>
              <w:tc>
                <w:tcPr>
                  <w:tcW w:w="2602" w:type="pct"/>
                  <w:vAlign w:val="center"/>
                </w:tcPr>
                <w:p w14:paraId="0B7547E0">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禁止在淮河流域新建化学制浆造纸企业，禁止在淮河流域新建制革、化工、印染、电镀、酿造等污染严重的小型企业。</w:t>
                  </w:r>
                </w:p>
              </w:tc>
              <w:tc>
                <w:tcPr>
                  <w:tcW w:w="1514" w:type="pct"/>
                  <w:vAlign w:val="center"/>
                </w:tcPr>
                <w:p w14:paraId="19EDDED4">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本项目</w:t>
                  </w:r>
                  <w:r>
                    <w:rPr>
                      <w:rFonts w:hint="eastAsia"/>
                      <w:color w:val="auto"/>
                      <w:kern w:val="0"/>
                      <w:szCs w:val="21"/>
                    </w:rPr>
                    <w:t>属于电机、变频器生产项目</w:t>
                  </w:r>
                  <w:r>
                    <w:rPr>
                      <w:color w:val="auto"/>
                      <w:kern w:val="0"/>
                      <w:szCs w:val="21"/>
                    </w:rPr>
                    <w:t>，不属于禁止类</w:t>
                  </w:r>
                </w:p>
              </w:tc>
              <w:tc>
                <w:tcPr>
                  <w:tcW w:w="423" w:type="pct"/>
                  <w:vAlign w:val="center"/>
                </w:tcPr>
                <w:p w14:paraId="498D34F4">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符合</w:t>
                  </w:r>
                </w:p>
              </w:tc>
            </w:tr>
            <w:tr w14:paraId="38C72C4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59" w:type="pct"/>
                  <w:vMerge w:val="continue"/>
                  <w:vAlign w:val="center"/>
                </w:tcPr>
                <w:p w14:paraId="6AAB0EEB">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p>
              </w:tc>
              <w:tc>
                <w:tcPr>
                  <w:tcW w:w="2602" w:type="pct"/>
                  <w:vAlign w:val="center"/>
                </w:tcPr>
                <w:p w14:paraId="7A8D8EAE">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落实《江苏省通榆河水污染防治条例》，在通榆河一级保护区、二级保护区，禁止新建、改建、扩建制浆、造纸、化工、制革、酿造、染料、印染、电镀、炼油、铅酸蓄电池和排放水污染物的黑色金属冶炼及压延加工项目、有色金属冶炼及压延加工项目、金属制品项目等污染环境的项目。</w:t>
                  </w:r>
                </w:p>
              </w:tc>
              <w:tc>
                <w:tcPr>
                  <w:tcW w:w="1514" w:type="pct"/>
                  <w:vAlign w:val="center"/>
                </w:tcPr>
                <w:p w14:paraId="35CF1C0B">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本项目不在通榆河一级保护区、二级保护区范围内</w:t>
                  </w:r>
                </w:p>
              </w:tc>
              <w:tc>
                <w:tcPr>
                  <w:tcW w:w="423" w:type="pct"/>
                  <w:vAlign w:val="center"/>
                </w:tcPr>
                <w:p w14:paraId="0110ABC5">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符合</w:t>
                  </w:r>
                </w:p>
              </w:tc>
            </w:tr>
            <w:tr w14:paraId="6C48041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59" w:type="pct"/>
                  <w:vMerge w:val="continue"/>
                  <w:vAlign w:val="center"/>
                </w:tcPr>
                <w:p w14:paraId="0493ACC2">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p>
              </w:tc>
              <w:tc>
                <w:tcPr>
                  <w:tcW w:w="2602" w:type="pct"/>
                  <w:vAlign w:val="center"/>
                </w:tcPr>
                <w:p w14:paraId="6A03456D">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在通榆河一级保护区，禁止新建、扩建直接或者间接向水体排放污染物的项目，禁止建设工业固体废物集中贮存、利用、处置设施或者场所以及城市生活垃圾填埋场，禁止新建规模化畜禽养殖场。</w:t>
                  </w:r>
                </w:p>
              </w:tc>
              <w:tc>
                <w:tcPr>
                  <w:tcW w:w="1514" w:type="pct"/>
                  <w:vAlign w:val="center"/>
                </w:tcPr>
                <w:p w14:paraId="21D4238F">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本项目不在通榆河一级保护区、二级保护区范围内</w:t>
                  </w:r>
                </w:p>
              </w:tc>
              <w:tc>
                <w:tcPr>
                  <w:tcW w:w="423" w:type="pct"/>
                  <w:vAlign w:val="center"/>
                </w:tcPr>
                <w:p w14:paraId="592C3B8C">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符合</w:t>
                  </w:r>
                </w:p>
              </w:tc>
            </w:tr>
            <w:tr w14:paraId="6E2AA2E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trPr>
              <w:tc>
                <w:tcPr>
                  <w:tcW w:w="459" w:type="pct"/>
                  <w:vAlign w:val="center"/>
                </w:tcPr>
                <w:p w14:paraId="207A2E3D">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污染物排放管控</w:t>
                  </w:r>
                </w:p>
              </w:tc>
              <w:tc>
                <w:tcPr>
                  <w:tcW w:w="2602" w:type="pct"/>
                  <w:vAlign w:val="center"/>
                </w:tcPr>
                <w:p w14:paraId="3326E4A5">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按照《淮河流域水污染防治暂行条例》实施排污总量控制制度</w:t>
                  </w:r>
                </w:p>
              </w:tc>
              <w:tc>
                <w:tcPr>
                  <w:tcW w:w="1514" w:type="pct"/>
                  <w:vAlign w:val="center"/>
                </w:tcPr>
                <w:p w14:paraId="4491677F">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建设项目排放的颗粒物、NMHC由淮安市涟水生态环境局从境内企业削减总量中替代平衡；</w:t>
                  </w:r>
                  <w:r>
                    <w:rPr>
                      <w:color w:val="auto"/>
                      <w:szCs w:val="21"/>
                    </w:rPr>
                    <w:t>建设项目</w:t>
                  </w:r>
                  <w:r>
                    <w:rPr>
                      <w:rFonts w:hint="eastAsia"/>
                      <w:color w:val="auto"/>
                      <w:szCs w:val="21"/>
                    </w:rPr>
                    <w:t>产生的食堂废水经隔油池处理后，与生活污水一并经化粪池处理后，接管至涟水经济开发区西区污水处理厂</w:t>
                  </w:r>
                  <w:r>
                    <w:rPr>
                      <w:rFonts w:hint="eastAsia"/>
                      <w:color w:val="auto"/>
                      <w:kern w:val="0"/>
                      <w:szCs w:val="21"/>
                    </w:rPr>
                    <w:t>；固废零排放</w:t>
                  </w:r>
                </w:p>
              </w:tc>
              <w:tc>
                <w:tcPr>
                  <w:tcW w:w="423" w:type="pct"/>
                  <w:vAlign w:val="center"/>
                </w:tcPr>
                <w:p w14:paraId="208BFAF7">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符合</w:t>
                  </w:r>
                </w:p>
              </w:tc>
            </w:tr>
            <w:tr w14:paraId="5E0A5EE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59" w:type="pct"/>
                  <w:vAlign w:val="center"/>
                </w:tcPr>
                <w:p w14:paraId="6C6FDE69">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环境风险防控</w:t>
                  </w:r>
                </w:p>
              </w:tc>
              <w:tc>
                <w:tcPr>
                  <w:tcW w:w="2602" w:type="pct"/>
                  <w:vAlign w:val="center"/>
                </w:tcPr>
                <w:p w14:paraId="1BCE9879">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禁止运输剧毒化学品以及国家规定禁止通过内河运输的其他危险化学品的船舶进入通榆河及主要供水河道。</w:t>
                  </w:r>
                </w:p>
              </w:tc>
              <w:tc>
                <w:tcPr>
                  <w:tcW w:w="1514" w:type="pct"/>
                  <w:vAlign w:val="center"/>
                </w:tcPr>
                <w:p w14:paraId="1CBFA38C">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本项目不在通榆河及主要供水河道范围内，原辅料均采用汽车运输，不涉及船运</w:t>
                  </w:r>
                </w:p>
              </w:tc>
              <w:tc>
                <w:tcPr>
                  <w:tcW w:w="423" w:type="pct"/>
                  <w:vAlign w:val="center"/>
                </w:tcPr>
                <w:p w14:paraId="1EAE1622">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符合</w:t>
                  </w:r>
                </w:p>
              </w:tc>
            </w:tr>
            <w:tr w14:paraId="61DFCE3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trPr>
              <w:tc>
                <w:tcPr>
                  <w:tcW w:w="459" w:type="pct"/>
                  <w:vAlign w:val="center"/>
                </w:tcPr>
                <w:p w14:paraId="4F4EF4E5">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资源利用效率要求</w:t>
                  </w:r>
                </w:p>
              </w:tc>
              <w:tc>
                <w:tcPr>
                  <w:tcW w:w="2602" w:type="pct"/>
                  <w:vAlign w:val="center"/>
                </w:tcPr>
                <w:p w14:paraId="1156CB00">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限制缺水地区发展耗水型产业，调整缺水地区的产业结构，严格控制高耗水、高耗能和重污染的建设项目</w:t>
                  </w:r>
                </w:p>
              </w:tc>
              <w:tc>
                <w:tcPr>
                  <w:tcW w:w="1514" w:type="pct"/>
                  <w:vAlign w:val="center"/>
                </w:tcPr>
                <w:p w14:paraId="04479E03">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本项目不属于高耗水行业，对照《高耗能行业重点领域能效标杆水平和基准水平（2021年版）》本项目不属于高能耗行业；对照环境保护综合名录（2021版），本项目不属于重污染项目</w:t>
                  </w:r>
                </w:p>
              </w:tc>
              <w:tc>
                <w:tcPr>
                  <w:tcW w:w="423" w:type="pct"/>
                  <w:vAlign w:val="center"/>
                </w:tcPr>
                <w:p w14:paraId="57696459">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符合</w:t>
                  </w:r>
                </w:p>
              </w:tc>
            </w:tr>
          </w:tbl>
          <w:p w14:paraId="3845347B">
            <w:pPr>
              <w:adjustRightInd w:val="0"/>
              <w:snapToGrid w:val="0"/>
              <w:spacing w:before="120" w:beforeLines="50" w:line="360" w:lineRule="auto"/>
              <w:ind w:firstLine="432" w:firstLineChars="180"/>
              <w:rPr>
                <w:color w:val="auto"/>
                <w:sz w:val="24"/>
              </w:rPr>
            </w:pPr>
            <w:r>
              <w:rPr>
                <w:rFonts w:hint="eastAsia"/>
                <w:color w:val="auto"/>
                <w:sz w:val="24"/>
              </w:rPr>
              <w:t>综上所述，本项目的建设与《江苏省“三线一单”生态环境分区管控方案》相符。</w:t>
            </w:r>
          </w:p>
          <w:p w14:paraId="02E3DD3D">
            <w:pPr>
              <w:adjustRightInd w:val="0"/>
              <w:snapToGrid w:val="0"/>
              <w:spacing w:line="360" w:lineRule="auto"/>
              <w:ind w:firstLine="432" w:firstLineChars="180"/>
              <w:rPr>
                <w:color w:val="auto"/>
                <w:sz w:val="24"/>
              </w:rPr>
            </w:pPr>
            <w:r>
              <w:rPr>
                <w:rFonts w:hint="eastAsia"/>
                <w:color w:val="auto"/>
                <w:sz w:val="24"/>
              </w:rPr>
              <w:t>（3）</w:t>
            </w:r>
            <w:r>
              <w:rPr>
                <w:color w:val="auto"/>
                <w:sz w:val="24"/>
              </w:rPr>
              <w:t>项目与《</w:t>
            </w:r>
            <w:r>
              <w:rPr>
                <w:rFonts w:hint="eastAsia"/>
                <w:color w:val="auto"/>
                <w:sz w:val="24"/>
              </w:rPr>
              <w:t>江苏省2023年度生态环境分区管控动态更新成果公告</w:t>
            </w:r>
            <w:r>
              <w:rPr>
                <w:color w:val="auto"/>
                <w:sz w:val="24"/>
              </w:rPr>
              <w:t>》相符性分析</w:t>
            </w:r>
          </w:p>
          <w:p w14:paraId="7116556B">
            <w:pPr>
              <w:adjustRightInd w:val="0"/>
              <w:snapToGrid w:val="0"/>
              <w:spacing w:line="360" w:lineRule="auto"/>
              <w:ind w:firstLine="432" w:firstLineChars="180"/>
              <w:rPr>
                <w:color w:val="auto"/>
                <w:sz w:val="24"/>
              </w:rPr>
            </w:pPr>
            <w:r>
              <w:rPr>
                <w:rFonts w:hint="eastAsia"/>
                <w:color w:val="auto"/>
                <w:sz w:val="24"/>
              </w:rPr>
              <w:t>本项目位于江苏涟水经济开发区涟古路北侧、兴隆路西侧，</w:t>
            </w:r>
            <w:r>
              <w:rPr>
                <w:color w:val="auto"/>
                <w:sz w:val="24"/>
              </w:rPr>
              <w:t>项目与</w:t>
            </w:r>
            <w:r>
              <w:rPr>
                <w:rFonts w:hint="eastAsia"/>
                <w:color w:val="auto"/>
                <w:sz w:val="24"/>
              </w:rPr>
              <w:t>《江苏省2023年度生态环境分区管控动态更新成果公告》</w:t>
            </w:r>
            <w:r>
              <w:rPr>
                <w:color w:val="auto"/>
                <w:sz w:val="24"/>
              </w:rPr>
              <w:t>相符性分析见表1-</w:t>
            </w:r>
            <w:r>
              <w:rPr>
                <w:rFonts w:hint="eastAsia"/>
                <w:color w:val="auto"/>
                <w:sz w:val="24"/>
                <w:lang w:val="en-US" w:eastAsia="zh-CN"/>
              </w:rPr>
              <w:t>6</w:t>
            </w:r>
            <w:r>
              <w:rPr>
                <w:color w:val="auto"/>
                <w:sz w:val="24"/>
              </w:rPr>
              <w:t>。</w:t>
            </w:r>
          </w:p>
          <w:p w14:paraId="5A362084">
            <w:pPr>
              <w:widowControl/>
              <w:adjustRightInd w:val="0"/>
              <w:snapToGrid w:val="0"/>
              <w:ind w:firstLine="482"/>
              <w:jc w:val="center"/>
              <w:rPr>
                <w:b/>
                <w:color w:val="auto"/>
                <w:kern w:val="0"/>
                <w:sz w:val="24"/>
              </w:rPr>
            </w:pPr>
            <w:r>
              <w:rPr>
                <w:b/>
                <w:color w:val="auto"/>
                <w:kern w:val="0"/>
                <w:sz w:val="24"/>
              </w:rPr>
              <w:t>表1-</w:t>
            </w:r>
            <w:r>
              <w:rPr>
                <w:rFonts w:hint="eastAsia"/>
                <w:b/>
                <w:color w:val="auto"/>
                <w:kern w:val="0"/>
                <w:sz w:val="24"/>
                <w:lang w:val="en-US" w:eastAsia="zh-CN"/>
              </w:rPr>
              <w:t>6</w:t>
            </w:r>
            <w:r>
              <w:rPr>
                <w:b/>
                <w:color w:val="auto"/>
                <w:kern w:val="0"/>
                <w:sz w:val="24"/>
              </w:rPr>
              <w:t>项目与</w:t>
            </w:r>
            <w:r>
              <w:rPr>
                <w:rFonts w:hint="eastAsia"/>
                <w:b/>
                <w:color w:val="auto"/>
                <w:kern w:val="0"/>
                <w:sz w:val="24"/>
                <w:lang w:eastAsia="zh-CN"/>
              </w:rPr>
              <w:t>《</w:t>
            </w:r>
            <w:r>
              <w:rPr>
                <w:rFonts w:hint="eastAsia"/>
                <w:b/>
                <w:color w:val="auto"/>
                <w:kern w:val="0"/>
                <w:sz w:val="24"/>
              </w:rPr>
              <w:t>江苏省2023年度生态环境分区管控动态更新成果公告</w:t>
            </w:r>
            <w:r>
              <w:rPr>
                <w:rFonts w:hint="eastAsia"/>
                <w:b/>
                <w:color w:val="auto"/>
                <w:kern w:val="0"/>
                <w:sz w:val="24"/>
                <w:lang w:eastAsia="zh-CN"/>
              </w:rPr>
              <w:t>》</w:t>
            </w:r>
            <w:r>
              <w:rPr>
                <w:b/>
                <w:color w:val="auto"/>
                <w:kern w:val="0"/>
                <w:sz w:val="24"/>
              </w:rPr>
              <w:t>相符性分析</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546"/>
              <w:gridCol w:w="5302"/>
              <w:gridCol w:w="1448"/>
              <w:gridCol w:w="536"/>
            </w:tblGrid>
            <w:tr w14:paraId="2B13AF7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48" w:type="pct"/>
                  <w:vAlign w:val="center"/>
                </w:tcPr>
                <w:p w14:paraId="570DCD60">
                  <w:pPr>
                    <w:pStyle w:val="2326"/>
                    <w:keepNext w:val="0"/>
                    <w:keepLines w:val="0"/>
                    <w:pageBreakBefore w:val="0"/>
                    <w:widowControl w:val="0"/>
                    <w:kinsoku/>
                    <w:wordWrap/>
                    <w:overflowPunct/>
                    <w:topLinePunct w:val="0"/>
                    <w:autoSpaceDE/>
                    <w:autoSpaceDN/>
                    <w:bidi w:val="0"/>
                    <w:adjustRightInd w:val="0"/>
                    <w:snapToGrid w:val="0"/>
                    <w:ind w:firstLine="0"/>
                    <w:textAlignment w:val="auto"/>
                    <w:rPr>
                      <w:b/>
                      <w:bCs/>
                      <w:color w:val="auto"/>
                      <w:sz w:val="21"/>
                      <w:szCs w:val="21"/>
                    </w:rPr>
                  </w:pPr>
                  <w:r>
                    <w:rPr>
                      <w:b/>
                      <w:bCs/>
                      <w:color w:val="auto"/>
                      <w:sz w:val="21"/>
                      <w:szCs w:val="21"/>
                    </w:rPr>
                    <w:t>管控</w:t>
                  </w:r>
                </w:p>
                <w:p w14:paraId="443E0D51">
                  <w:pPr>
                    <w:pStyle w:val="2326"/>
                    <w:keepNext w:val="0"/>
                    <w:keepLines w:val="0"/>
                    <w:pageBreakBefore w:val="0"/>
                    <w:widowControl w:val="0"/>
                    <w:kinsoku/>
                    <w:wordWrap/>
                    <w:overflowPunct/>
                    <w:topLinePunct w:val="0"/>
                    <w:autoSpaceDE/>
                    <w:autoSpaceDN/>
                    <w:bidi w:val="0"/>
                    <w:adjustRightInd w:val="0"/>
                    <w:snapToGrid w:val="0"/>
                    <w:ind w:firstLine="0"/>
                    <w:textAlignment w:val="auto"/>
                    <w:rPr>
                      <w:b/>
                      <w:bCs/>
                      <w:color w:val="auto"/>
                      <w:sz w:val="21"/>
                      <w:szCs w:val="21"/>
                    </w:rPr>
                  </w:pPr>
                  <w:r>
                    <w:rPr>
                      <w:b/>
                      <w:bCs/>
                      <w:color w:val="auto"/>
                      <w:sz w:val="21"/>
                      <w:szCs w:val="21"/>
                    </w:rPr>
                    <w:t>类别</w:t>
                  </w:r>
                </w:p>
              </w:tc>
              <w:tc>
                <w:tcPr>
                  <w:tcW w:w="3384" w:type="pct"/>
                  <w:vAlign w:val="center"/>
                </w:tcPr>
                <w:p w14:paraId="3BE338F1">
                  <w:pPr>
                    <w:pStyle w:val="2326"/>
                    <w:keepNext w:val="0"/>
                    <w:keepLines w:val="0"/>
                    <w:pageBreakBefore w:val="0"/>
                    <w:widowControl w:val="0"/>
                    <w:kinsoku/>
                    <w:wordWrap/>
                    <w:overflowPunct/>
                    <w:topLinePunct w:val="0"/>
                    <w:autoSpaceDE/>
                    <w:autoSpaceDN/>
                    <w:bidi w:val="0"/>
                    <w:adjustRightInd w:val="0"/>
                    <w:snapToGrid w:val="0"/>
                    <w:ind w:firstLine="0"/>
                    <w:textAlignment w:val="auto"/>
                    <w:rPr>
                      <w:b/>
                      <w:bCs/>
                      <w:color w:val="auto"/>
                      <w:sz w:val="21"/>
                      <w:szCs w:val="21"/>
                    </w:rPr>
                  </w:pPr>
                  <w:r>
                    <w:rPr>
                      <w:b/>
                      <w:bCs/>
                      <w:color w:val="auto"/>
                      <w:sz w:val="21"/>
                      <w:szCs w:val="21"/>
                    </w:rPr>
                    <w:t>重点管控要求</w:t>
                  </w:r>
                </w:p>
              </w:tc>
              <w:tc>
                <w:tcPr>
                  <w:tcW w:w="924" w:type="pct"/>
                  <w:vAlign w:val="center"/>
                </w:tcPr>
                <w:p w14:paraId="30E551EF">
                  <w:pPr>
                    <w:pStyle w:val="2326"/>
                    <w:keepNext w:val="0"/>
                    <w:keepLines w:val="0"/>
                    <w:pageBreakBefore w:val="0"/>
                    <w:widowControl w:val="0"/>
                    <w:kinsoku/>
                    <w:wordWrap/>
                    <w:overflowPunct/>
                    <w:topLinePunct w:val="0"/>
                    <w:autoSpaceDE/>
                    <w:autoSpaceDN/>
                    <w:bidi w:val="0"/>
                    <w:adjustRightInd w:val="0"/>
                    <w:snapToGrid w:val="0"/>
                    <w:ind w:firstLine="0"/>
                    <w:textAlignment w:val="auto"/>
                    <w:rPr>
                      <w:b/>
                      <w:bCs/>
                      <w:color w:val="auto"/>
                      <w:sz w:val="21"/>
                      <w:szCs w:val="21"/>
                    </w:rPr>
                  </w:pPr>
                  <w:r>
                    <w:rPr>
                      <w:b/>
                      <w:bCs/>
                      <w:color w:val="auto"/>
                      <w:sz w:val="21"/>
                      <w:szCs w:val="21"/>
                    </w:rPr>
                    <w:t>相符性分析</w:t>
                  </w:r>
                </w:p>
              </w:tc>
              <w:tc>
                <w:tcPr>
                  <w:tcW w:w="342" w:type="pct"/>
                  <w:vAlign w:val="center"/>
                </w:tcPr>
                <w:p w14:paraId="027AE726">
                  <w:pPr>
                    <w:pStyle w:val="2326"/>
                    <w:keepNext w:val="0"/>
                    <w:keepLines w:val="0"/>
                    <w:pageBreakBefore w:val="0"/>
                    <w:widowControl w:val="0"/>
                    <w:kinsoku/>
                    <w:wordWrap/>
                    <w:overflowPunct/>
                    <w:topLinePunct w:val="0"/>
                    <w:autoSpaceDE/>
                    <w:autoSpaceDN/>
                    <w:bidi w:val="0"/>
                    <w:adjustRightInd w:val="0"/>
                    <w:snapToGrid w:val="0"/>
                    <w:ind w:firstLine="0"/>
                    <w:textAlignment w:val="auto"/>
                    <w:rPr>
                      <w:b/>
                      <w:bCs/>
                      <w:color w:val="auto"/>
                      <w:sz w:val="21"/>
                      <w:szCs w:val="21"/>
                    </w:rPr>
                  </w:pPr>
                  <w:r>
                    <w:rPr>
                      <w:b/>
                      <w:bCs/>
                      <w:color w:val="auto"/>
                      <w:sz w:val="21"/>
                      <w:szCs w:val="21"/>
                    </w:rPr>
                    <w:t>判定结果</w:t>
                  </w:r>
                </w:p>
              </w:tc>
            </w:tr>
            <w:tr w14:paraId="7E1B224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48" w:type="pct"/>
                  <w:vAlign w:val="center"/>
                </w:tcPr>
                <w:p w14:paraId="4DE876C3">
                  <w:pPr>
                    <w:pStyle w:val="2326"/>
                    <w:keepNext w:val="0"/>
                    <w:keepLines w:val="0"/>
                    <w:pageBreakBefore w:val="0"/>
                    <w:widowControl w:val="0"/>
                    <w:kinsoku/>
                    <w:wordWrap/>
                    <w:overflowPunct/>
                    <w:topLinePunct w:val="0"/>
                    <w:autoSpaceDE/>
                    <w:autoSpaceDN/>
                    <w:bidi w:val="0"/>
                    <w:adjustRightInd w:val="0"/>
                    <w:snapToGrid w:val="0"/>
                    <w:ind w:firstLine="0"/>
                    <w:textAlignment w:val="auto"/>
                    <w:rPr>
                      <w:color w:val="auto"/>
                      <w:sz w:val="21"/>
                      <w:szCs w:val="21"/>
                    </w:rPr>
                  </w:pPr>
                  <w:r>
                    <w:rPr>
                      <w:color w:val="auto"/>
                      <w:sz w:val="21"/>
                      <w:szCs w:val="21"/>
                    </w:rPr>
                    <w:t>空间布局约束</w:t>
                  </w:r>
                </w:p>
              </w:tc>
              <w:tc>
                <w:tcPr>
                  <w:tcW w:w="3384" w:type="pct"/>
                  <w:vAlign w:val="center"/>
                </w:tcPr>
                <w:p w14:paraId="235414E9">
                  <w:pPr>
                    <w:pStyle w:val="2326"/>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color w:val="auto"/>
                      <w:sz w:val="21"/>
                      <w:szCs w:val="21"/>
                    </w:rPr>
                  </w:pPr>
                  <w:r>
                    <w:rPr>
                      <w:rFonts w:hint="eastAsia"/>
                      <w:color w:val="auto"/>
                      <w:sz w:val="21"/>
                      <w:szCs w:val="21"/>
                    </w:rPr>
                    <w:t>（1）优先发展：符合涟水新港电子产业科技园规划产业定位（计算机、通信和其他电子设备制造业（代码C39），以智能终端、新型电子元器件、新型电子材料等领域高端应用需求为导向，优先发展计算机制造（代码C391）、智能消费设备制造（代码C396）、电子器件制造（代码C397）、电子元件及电子专用材料制造（代码C398）、其他电子设备制造（代码C399）、互联网和相关服务（代码I64）、软件和信息技术服务业（代码I65）、专业技术服务业（代码I74）、科技推广和应用服务业（代码I75））。</w:t>
                  </w:r>
                </w:p>
                <w:p w14:paraId="5BB7EB66">
                  <w:pPr>
                    <w:pStyle w:val="2326"/>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color w:val="auto"/>
                      <w:sz w:val="21"/>
                      <w:szCs w:val="21"/>
                    </w:rPr>
                  </w:pPr>
                  <w:r>
                    <w:rPr>
                      <w:rFonts w:hint="eastAsia"/>
                      <w:color w:val="auto"/>
                      <w:sz w:val="21"/>
                      <w:szCs w:val="21"/>
                    </w:rPr>
                    <w:t>（2）禁止发展：禁止专业电镀项目；使用高VOCs含量的</w:t>
                  </w:r>
                  <w:r>
                    <w:rPr>
                      <w:rFonts w:hint="eastAsia"/>
                      <w:color w:val="auto"/>
                      <w:sz w:val="21"/>
                      <w:szCs w:val="21"/>
                      <w:lang w:eastAsia="zh-CN"/>
                    </w:rPr>
                    <w:t>胶黏剂</w:t>
                  </w:r>
                  <w:r>
                    <w:rPr>
                      <w:rFonts w:hint="eastAsia"/>
                      <w:color w:val="auto"/>
                      <w:sz w:val="21"/>
                      <w:szCs w:val="21"/>
                    </w:rPr>
                    <w:t>等项目。</w:t>
                  </w:r>
                </w:p>
              </w:tc>
              <w:tc>
                <w:tcPr>
                  <w:tcW w:w="924" w:type="pct"/>
                  <w:vAlign w:val="center"/>
                </w:tcPr>
                <w:p w14:paraId="38E159CA">
                  <w:pPr>
                    <w:pStyle w:val="2326"/>
                    <w:keepNext w:val="0"/>
                    <w:keepLines w:val="0"/>
                    <w:pageBreakBefore w:val="0"/>
                    <w:widowControl w:val="0"/>
                    <w:kinsoku/>
                    <w:wordWrap/>
                    <w:overflowPunct/>
                    <w:topLinePunct w:val="0"/>
                    <w:autoSpaceDE/>
                    <w:autoSpaceDN/>
                    <w:bidi w:val="0"/>
                    <w:adjustRightInd w:val="0"/>
                    <w:snapToGrid w:val="0"/>
                    <w:ind w:firstLine="0"/>
                    <w:textAlignment w:val="auto"/>
                    <w:rPr>
                      <w:color w:val="auto"/>
                      <w:sz w:val="21"/>
                      <w:szCs w:val="21"/>
                    </w:rPr>
                  </w:pPr>
                  <w:r>
                    <w:rPr>
                      <w:rFonts w:hint="eastAsia"/>
                      <w:color w:val="auto"/>
                      <w:sz w:val="21"/>
                      <w:szCs w:val="21"/>
                    </w:rPr>
                    <w:t>本</w:t>
                  </w:r>
                  <w:r>
                    <w:rPr>
                      <w:color w:val="auto"/>
                      <w:sz w:val="21"/>
                      <w:szCs w:val="21"/>
                    </w:rPr>
                    <w:t>项目</w:t>
                  </w:r>
                  <w:r>
                    <w:rPr>
                      <w:rFonts w:hint="eastAsia"/>
                      <w:color w:val="auto"/>
                      <w:sz w:val="21"/>
                      <w:szCs w:val="21"/>
                    </w:rPr>
                    <w:t>为</w:t>
                  </w:r>
                  <w:r>
                    <w:rPr>
                      <w:rFonts w:hint="eastAsia"/>
                      <w:color w:val="auto"/>
                      <w:kern w:val="0"/>
                      <w:sz w:val="21"/>
                      <w:szCs w:val="21"/>
                    </w:rPr>
                    <w:t>电机、变频器生产项目</w:t>
                  </w:r>
                  <w:r>
                    <w:rPr>
                      <w:rFonts w:hint="eastAsia"/>
                      <w:color w:val="auto"/>
                      <w:kern w:val="0"/>
                      <w:sz w:val="21"/>
                      <w:szCs w:val="21"/>
                      <w:lang w:eastAsia="zh-CN"/>
                    </w:rPr>
                    <w:t>，属于</w:t>
                  </w:r>
                  <w:r>
                    <w:rPr>
                      <w:rFonts w:hint="eastAsia"/>
                      <w:color w:val="auto"/>
                      <w:sz w:val="21"/>
                      <w:szCs w:val="21"/>
                    </w:rPr>
                    <w:t>C3819其他电机制造、C3821变压器、整流器和电感器制造，不属于禁止发展的专业电镀项目，</w:t>
                  </w:r>
                  <w:r>
                    <w:rPr>
                      <w:rFonts w:hint="eastAsia"/>
                      <w:color w:val="auto"/>
                      <w:sz w:val="21"/>
                      <w:szCs w:val="21"/>
                      <w:lang w:eastAsia="zh-CN"/>
                    </w:rPr>
                    <w:t>项目不涉及使用</w:t>
                  </w:r>
                  <w:r>
                    <w:rPr>
                      <w:rFonts w:hint="eastAsia"/>
                      <w:color w:val="auto"/>
                      <w:sz w:val="21"/>
                      <w:szCs w:val="21"/>
                    </w:rPr>
                    <w:t>高VOCs含量的</w:t>
                  </w:r>
                  <w:r>
                    <w:rPr>
                      <w:rFonts w:hint="eastAsia"/>
                      <w:color w:val="auto"/>
                      <w:sz w:val="21"/>
                      <w:szCs w:val="21"/>
                      <w:lang w:eastAsia="zh-CN"/>
                    </w:rPr>
                    <w:t>胶黏剂</w:t>
                  </w:r>
                </w:p>
              </w:tc>
              <w:tc>
                <w:tcPr>
                  <w:tcW w:w="342" w:type="pct"/>
                  <w:vAlign w:val="center"/>
                </w:tcPr>
                <w:p w14:paraId="4C6EE9EF">
                  <w:pPr>
                    <w:pStyle w:val="2326"/>
                    <w:keepNext w:val="0"/>
                    <w:keepLines w:val="0"/>
                    <w:pageBreakBefore w:val="0"/>
                    <w:widowControl w:val="0"/>
                    <w:kinsoku/>
                    <w:wordWrap/>
                    <w:overflowPunct/>
                    <w:topLinePunct w:val="0"/>
                    <w:autoSpaceDE/>
                    <w:autoSpaceDN/>
                    <w:bidi w:val="0"/>
                    <w:adjustRightInd w:val="0"/>
                    <w:snapToGrid w:val="0"/>
                    <w:ind w:firstLine="0"/>
                    <w:textAlignment w:val="auto"/>
                    <w:rPr>
                      <w:color w:val="auto"/>
                      <w:sz w:val="21"/>
                      <w:szCs w:val="21"/>
                    </w:rPr>
                  </w:pPr>
                  <w:r>
                    <w:rPr>
                      <w:color w:val="auto"/>
                      <w:sz w:val="21"/>
                      <w:szCs w:val="21"/>
                    </w:rPr>
                    <w:t>符合</w:t>
                  </w:r>
                </w:p>
              </w:tc>
            </w:tr>
            <w:tr w14:paraId="0333297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48" w:type="pct"/>
                  <w:vAlign w:val="center"/>
                </w:tcPr>
                <w:p w14:paraId="49252273">
                  <w:pPr>
                    <w:pStyle w:val="2326"/>
                    <w:keepNext w:val="0"/>
                    <w:keepLines w:val="0"/>
                    <w:pageBreakBefore w:val="0"/>
                    <w:widowControl w:val="0"/>
                    <w:kinsoku/>
                    <w:wordWrap/>
                    <w:overflowPunct/>
                    <w:topLinePunct w:val="0"/>
                    <w:autoSpaceDE/>
                    <w:autoSpaceDN/>
                    <w:bidi w:val="0"/>
                    <w:adjustRightInd w:val="0"/>
                    <w:snapToGrid w:val="0"/>
                    <w:ind w:firstLine="0"/>
                    <w:textAlignment w:val="auto"/>
                    <w:rPr>
                      <w:color w:val="auto"/>
                      <w:sz w:val="21"/>
                      <w:szCs w:val="21"/>
                    </w:rPr>
                  </w:pPr>
                  <w:r>
                    <w:rPr>
                      <w:color w:val="auto"/>
                      <w:sz w:val="21"/>
                      <w:szCs w:val="21"/>
                    </w:rPr>
                    <w:t>污染物排放管控</w:t>
                  </w:r>
                </w:p>
              </w:tc>
              <w:tc>
                <w:tcPr>
                  <w:tcW w:w="3384" w:type="pct"/>
                  <w:vAlign w:val="center"/>
                </w:tcPr>
                <w:p w14:paraId="28D40C81">
                  <w:pPr>
                    <w:pStyle w:val="2326"/>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color w:val="auto"/>
                      <w:sz w:val="21"/>
                      <w:szCs w:val="21"/>
                    </w:rPr>
                  </w:pPr>
                  <w:r>
                    <w:rPr>
                      <w:color w:val="auto"/>
                      <w:sz w:val="21"/>
                      <w:szCs w:val="21"/>
                    </w:rPr>
                    <w:t>（1）大气污染物排放总量：近期二氧化硫0.23吨/年，氮氧化物9.68吨/年，颗粒物21.31吨/年，挥发性有机物29.76吨/年；远期二氧化硫0.38吨/年，氮氧化物13.6吨/年，颗粒物33.83吨/年，挥发性有机物42.22吨/年。（2）水污染物排放总量：近期废水量141.99万吨/年，化学需氧量71吨/年，氨氮7.1吨/年，总磷0.05吨/年，总氮19.77吨/年；远期废水量202.27万吨/年，化学需氧量101.14吨/年，氨氮10.11吨/年，总磷0.09吨/年，总氮27.64吨/年。（3）固体废物产生量：近期一般工业固废59 28.7吨/年，危险废物30335.49吨/年，生活垃圾1200吨/年；远期一般工业固废8211.48吨/年，危险废物41323.97吨/年，生活垃圾2100吨/年。</w:t>
                  </w:r>
                </w:p>
              </w:tc>
              <w:tc>
                <w:tcPr>
                  <w:tcW w:w="924" w:type="pct"/>
                  <w:vAlign w:val="center"/>
                </w:tcPr>
                <w:p w14:paraId="2DA6DC3B">
                  <w:pPr>
                    <w:pStyle w:val="2326"/>
                    <w:keepNext w:val="0"/>
                    <w:keepLines w:val="0"/>
                    <w:pageBreakBefore w:val="0"/>
                    <w:widowControl w:val="0"/>
                    <w:kinsoku/>
                    <w:wordWrap/>
                    <w:overflowPunct/>
                    <w:topLinePunct w:val="0"/>
                    <w:autoSpaceDE/>
                    <w:autoSpaceDN/>
                    <w:bidi w:val="0"/>
                    <w:adjustRightInd w:val="0"/>
                    <w:snapToGrid w:val="0"/>
                    <w:ind w:firstLine="0"/>
                    <w:textAlignment w:val="auto"/>
                    <w:rPr>
                      <w:color w:val="auto"/>
                      <w:sz w:val="21"/>
                      <w:szCs w:val="21"/>
                    </w:rPr>
                  </w:pPr>
                  <w:r>
                    <w:rPr>
                      <w:color w:val="auto"/>
                      <w:sz w:val="21"/>
                      <w:szCs w:val="21"/>
                    </w:rPr>
                    <w:t>本项目新增的颗粒</w:t>
                  </w:r>
                  <w:r>
                    <w:rPr>
                      <w:rFonts w:hint="eastAsia"/>
                      <w:color w:val="auto"/>
                      <w:sz w:val="21"/>
                      <w:szCs w:val="21"/>
                    </w:rPr>
                    <w:t>物、</w:t>
                  </w:r>
                  <w:r>
                    <w:rPr>
                      <w:rFonts w:hint="eastAsia"/>
                      <w:color w:val="auto"/>
                      <w:kern w:val="0"/>
                      <w:sz w:val="21"/>
                      <w:szCs w:val="21"/>
                    </w:rPr>
                    <w:t>NMHC</w:t>
                  </w:r>
                  <w:r>
                    <w:rPr>
                      <w:rFonts w:hint="eastAsia"/>
                      <w:color w:val="auto"/>
                      <w:sz w:val="21"/>
                      <w:szCs w:val="21"/>
                    </w:rPr>
                    <w:t>排放量在涟水县总量范围内平衡；建设项目无生产废水产生及排放；</w:t>
                  </w:r>
                  <w:r>
                    <w:rPr>
                      <w:rFonts w:hint="eastAsia"/>
                      <w:color w:val="auto"/>
                      <w:kern w:val="0"/>
                      <w:sz w:val="21"/>
                      <w:szCs w:val="21"/>
                    </w:rPr>
                    <w:t>食堂废水经隔油池处理后，与生活污水一并经化粪池处理后</w:t>
                  </w:r>
                  <w:r>
                    <w:rPr>
                      <w:rFonts w:hint="eastAsia"/>
                      <w:color w:val="auto"/>
                      <w:kern w:val="0"/>
                      <w:sz w:val="21"/>
                      <w:szCs w:val="21"/>
                      <w:lang w:eastAsia="zh-CN"/>
                    </w:rPr>
                    <w:t>，</w:t>
                  </w:r>
                  <w:r>
                    <w:rPr>
                      <w:rFonts w:hint="eastAsia"/>
                      <w:color w:val="auto"/>
                      <w:kern w:val="0"/>
                      <w:sz w:val="21"/>
                      <w:szCs w:val="21"/>
                    </w:rPr>
                    <w:t>接管至涟水经济开发区西区污水处理厂</w:t>
                  </w:r>
                </w:p>
              </w:tc>
              <w:tc>
                <w:tcPr>
                  <w:tcW w:w="342" w:type="pct"/>
                  <w:vAlign w:val="center"/>
                </w:tcPr>
                <w:p w14:paraId="2565D87C">
                  <w:pPr>
                    <w:pStyle w:val="2326"/>
                    <w:keepNext w:val="0"/>
                    <w:keepLines w:val="0"/>
                    <w:pageBreakBefore w:val="0"/>
                    <w:widowControl w:val="0"/>
                    <w:kinsoku/>
                    <w:wordWrap/>
                    <w:overflowPunct/>
                    <w:topLinePunct w:val="0"/>
                    <w:autoSpaceDE/>
                    <w:autoSpaceDN/>
                    <w:bidi w:val="0"/>
                    <w:adjustRightInd w:val="0"/>
                    <w:snapToGrid w:val="0"/>
                    <w:ind w:firstLine="0"/>
                    <w:textAlignment w:val="auto"/>
                    <w:rPr>
                      <w:color w:val="auto"/>
                      <w:sz w:val="21"/>
                      <w:szCs w:val="21"/>
                    </w:rPr>
                  </w:pPr>
                  <w:r>
                    <w:rPr>
                      <w:color w:val="auto"/>
                      <w:sz w:val="21"/>
                      <w:szCs w:val="21"/>
                    </w:rPr>
                    <w:t>符合</w:t>
                  </w:r>
                </w:p>
              </w:tc>
            </w:tr>
            <w:tr w14:paraId="0AD09B7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48" w:type="pct"/>
                  <w:vAlign w:val="center"/>
                </w:tcPr>
                <w:p w14:paraId="1C501558">
                  <w:pPr>
                    <w:pStyle w:val="2326"/>
                    <w:keepNext w:val="0"/>
                    <w:keepLines w:val="0"/>
                    <w:pageBreakBefore w:val="0"/>
                    <w:widowControl w:val="0"/>
                    <w:kinsoku/>
                    <w:wordWrap/>
                    <w:overflowPunct/>
                    <w:topLinePunct w:val="0"/>
                    <w:autoSpaceDE/>
                    <w:autoSpaceDN/>
                    <w:bidi w:val="0"/>
                    <w:adjustRightInd w:val="0"/>
                    <w:snapToGrid w:val="0"/>
                    <w:ind w:firstLine="0"/>
                    <w:textAlignment w:val="auto"/>
                    <w:rPr>
                      <w:color w:val="auto"/>
                      <w:sz w:val="21"/>
                      <w:szCs w:val="21"/>
                    </w:rPr>
                  </w:pPr>
                  <w:r>
                    <w:rPr>
                      <w:color w:val="auto"/>
                      <w:sz w:val="21"/>
                      <w:szCs w:val="21"/>
                    </w:rPr>
                    <w:t>环境风险防控</w:t>
                  </w:r>
                </w:p>
              </w:tc>
              <w:tc>
                <w:tcPr>
                  <w:tcW w:w="3384" w:type="pct"/>
                  <w:vAlign w:val="center"/>
                </w:tcPr>
                <w:p w14:paraId="7B4B31C0">
                  <w:pPr>
                    <w:pStyle w:val="2326"/>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color w:val="auto"/>
                      <w:sz w:val="21"/>
                      <w:szCs w:val="21"/>
                    </w:rPr>
                  </w:pPr>
                  <w:r>
                    <w:rPr>
                      <w:rFonts w:hint="eastAsia"/>
                      <w:color w:val="auto"/>
                      <w:sz w:val="21"/>
                      <w:szCs w:val="21"/>
                    </w:rPr>
                    <w:t>（1）园区和企业编制环境风险应急预案，对重点风险源编制环境风险评估报告。区内涉重金属企业应完善</w:t>
                  </w:r>
                  <w:r>
                    <w:rPr>
                      <w:rFonts w:hint="eastAsia"/>
                      <w:color w:val="auto"/>
                      <w:sz w:val="21"/>
                      <w:szCs w:val="21"/>
                      <w:lang w:eastAsia="zh-CN"/>
                    </w:rPr>
                    <w:t>“</w:t>
                  </w:r>
                  <w:r>
                    <w:rPr>
                      <w:rFonts w:hint="eastAsia"/>
                      <w:color w:val="auto"/>
                      <w:sz w:val="21"/>
                      <w:szCs w:val="21"/>
                    </w:rPr>
                    <w:t>单元</w:t>
                  </w:r>
                  <w:r>
                    <w:rPr>
                      <w:rFonts w:hint="eastAsia"/>
                      <w:color w:val="auto"/>
                      <w:sz w:val="21"/>
                      <w:szCs w:val="21"/>
                      <w:lang w:eastAsia="zh-CN"/>
                    </w:rPr>
                    <w:t>－</w:t>
                  </w:r>
                  <w:r>
                    <w:rPr>
                      <w:rFonts w:hint="eastAsia"/>
                      <w:color w:val="auto"/>
                      <w:sz w:val="21"/>
                      <w:szCs w:val="21"/>
                    </w:rPr>
                    <w:t>厂区</w:t>
                  </w:r>
                  <w:r>
                    <w:rPr>
                      <w:rFonts w:hint="eastAsia"/>
                      <w:color w:val="auto"/>
                      <w:sz w:val="21"/>
                      <w:szCs w:val="21"/>
                      <w:lang w:eastAsia="zh-CN"/>
                    </w:rPr>
                    <w:t>－</w:t>
                  </w:r>
                  <w:r>
                    <w:rPr>
                      <w:rFonts w:hint="eastAsia"/>
                      <w:color w:val="auto"/>
                      <w:sz w:val="21"/>
                      <w:szCs w:val="21"/>
                    </w:rPr>
                    <w:t>开发区</w:t>
                  </w:r>
                  <w:r>
                    <w:rPr>
                      <w:rFonts w:hint="eastAsia"/>
                      <w:color w:val="auto"/>
                      <w:sz w:val="21"/>
                      <w:szCs w:val="21"/>
                      <w:lang w:eastAsia="zh-CN"/>
                    </w:rPr>
                    <w:t>”</w:t>
                  </w:r>
                  <w:r>
                    <w:rPr>
                      <w:rFonts w:hint="eastAsia"/>
                      <w:color w:val="auto"/>
                      <w:sz w:val="21"/>
                      <w:szCs w:val="21"/>
                    </w:rPr>
                    <w:t>环境风险防控三级措施，按时对应急预案进行更新与备案。</w:t>
                  </w:r>
                </w:p>
                <w:p w14:paraId="0B01229E">
                  <w:pPr>
                    <w:pStyle w:val="2326"/>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color w:val="auto"/>
                      <w:sz w:val="21"/>
                      <w:szCs w:val="21"/>
                    </w:rPr>
                  </w:pPr>
                  <w:r>
                    <w:rPr>
                      <w:rFonts w:hint="eastAsia"/>
                      <w:color w:val="auto"/>
                      <w:sz w:val="21"/>
                      <w:szCs w:val="21"/>
                    </w:rPr>
                    <w:t>（2）建立有毒有害气体预警体系，建立重点监控区域预警和应急机制，涉及有毒有害气体的企业全部安装毒害气体监控预警装置并与当地生态环境主管部门或园区管理平台联网，加强监控。</w:t>
                  </w:r>
                </w:p>
                <w:p w14:paraId="58618641">
                  <w:pPr>
                    <w:pStyle w:val="2326"/>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color w:val="auto"/>
                      <w:sz w:val="21"/>
                      <w:szCs w:val="21"/>
                    </w:rPr>
                  </w:pPr>
                  <w:r>
                    <w:rPr>
                      <w:rFonts w:hint="eastAsia"/>
                      <w:color w:val="auto"/>
                      <w:sz w:val="21"/>
                      <w:szCs w:val="21"/>
                    </w:rPr>
                    <w:t>（3）建立突发水污染事件应急防范体系，编制三级防控体系建设方案，建设突发水污染事件三级防控体系建设。</w:t>
                  </w:r>
                </w:p>
                <w:p w14:paraId="74334FF1">
                  <w:pPr>
                    <w:pStyle w:val="2326"/>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color w:val="auto"/>
                      <w:sz w:val="21"/>
                      <w:szCs w:val="21"/>
                    </w:rPr>
                  </w:pPr>
                  <w:r>
                    <w:rPr>
                      <w:rFonts w:hint="eastAsia"/>
                      <w:color w:val="auto"/>
                      <w:sz w:val="21"/>
                      <w:szCs w:val="21"/>
                    </w:rPr>
                    <w:t>（4）建立突发环境事件隐患排查整改及突发环境事件应急管理长效机制。将园区突发环境事件隐患排查及整改、环境应急物资管理、环境应急演练拉练、环境应急预案备案及修编等工作，纳入园区管理平台进行信息化管理。园区要做好污染防治过程中的安全防范，组织对园区建设的重点环保治理设施和项目开展安全风险评估和隐患排查治理，督促园区内企业对污染防治设施开展安全风险评估和隐患排查治理。</w:t>
                  </w:r>
                </w:p>
                <w:p w14:paraId="6A7D2DA3">
                  <w:pPr>
                    <w:pStyle w:val="2326"/>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color w:val="auto"/>
                      <w:sz w:val="21"/>
                      <w:szCs w:val="21"/>
                    </w:rPr>
                  </w:pPr>
                  <w:r>
                    <w:rPr>
                      <w:rFonts w:hint="eastAsia"/>
                      <w:color w:val="auto"/>
                      <w:sz w:val="21"/>
                      <w:szCs w:val="21"/>
                    </w:rPr>
                    <w:t>（5）布局管控，园区内部的功能布局应充分考虑风险源对区内及周边环境的影响，储罐区应远离村镇集中区、区内人群聚集的办公楼、周边村庄及河流，以减少对其他项目的影响；园区内不同企业风险源之间应尽量远离，防止其中某一风险源发生风险事故引起其他风险源爆发带来的连锁反应，降低风险事故发生的范围。</w:t>
                  </w:r>
                </w:p>
                <w:p w14:paraId="10FD7EE5">
                  <w:pPr>
                    <w:pStyle w:val="2326"/>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color w:val="auto"/>
                      <w:sz w:val="21"/>
                      <w:szCs w:val="21"/>
                    </w:rPr>
                  </w:pPr>
                  <w:r>
                    <w:rPr>
                      <w:rFonts w:hint="eastAsia"/>
                      <w:color w:val="auto"/>
                      <w:sz w:val="21"/>
                      <w:szCs w:val="21"/>
                    </w:rPr>
                    <w:t>（6）对建设用地污染风险重点管控区内关闭搬迁、拟变更土地利用方式和土地使用权人的重点行业企业用地，由土地使用权人负责开展土壤环境状况调查评估。暂不开发利用或现阶段不具备治理与修复条件的污染地块，实施以防止污染扩散为目的的风险管控。</w:t>
                  </w:r>
                </w:p>
                <w:p w14:paraId="03C74B37">
                  <w:pPr>
                    <w:pStyle w:val="2326"/>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color w:val="auto"/>
                      <w:sz w:val="21"/>
                      <w:szCs w:val="21"/>
                    </w:rPr>
                  </w:pPr>
                  <w:r>
                    <w:rPr>
                      <w:rFonts w:hint="eastAsia"/>
                      <w:color w:val="auto"/>
                      <w:sz w:val="21"/>
                      <w:szCs w:val="21"/>
                    </w:rPr>
                    <w:t>（7）禁止无法落实危险废物处置途径的项目入园。</w:t>
                  </w:r>
                </w:p>
              </w:tc>
              <w:tc>
                <w:tcPr>
                  <w:tcW w:w="924" w:type="pct"/>
                  <w:vAlign w:val="center"/>
                </w:tcPr>
                <w:p w14:paraId="38F988DB">
                  <w:pPr>
                    <w:pStyle w:val="2326"/>
                    <w:keepNext w:val="0"/>
                    <w:keepLines w:val="0"/>
                    <w:pageBreakBefore w:val="0"/>
                    <w:widowControl w:val="0"/>
                    <w:kinsoku/>
                    <w:wordWrap/>
                    <w:overflowPunct/>
                    <w:topLinePunct w:val="0"/>
                    <w:autoSpaceDE/>
                    <w:autoSpaceDN/>
                    <w:bidi w:val="0"/>
                    <w:adjustRightInd w:val="0"/>
                    <w:snapToGrid w:val="0"/>
                    <w:ind w:firstLine="0"/>
                    <w:textAlignment w:val="auto"/>
                    <w:rPr>
                      <w:color w:val="auto"/>
                      <w:sz w:val="21"/>
                      <w:szCs w:val="21"/>
                    </w:rPr>
                  </w:pPr>
                  <w:r>
                    <w:rPr>
                      <w:rFonts w:hint="eastAsia"/>
                      <w:color w:val="auto"/>
                      <w:sz w:val="21"/>
                      <w:szCs w:val="21"/>
                    </w:rPr>
                    <w:t>企业将编制环境风险应急预案，将加强与政府部门突发环境事件应急响应体系的衔接，定期组织演练，提高应急处置能力</w:t>
                  </w:r>
                </w:p>
              </w:tc>
              <w:tc>
                <w:tcPr>
                  <w:tcW w:w="342" w:type="pct"/>
                  <w:vAlign w:val="center"/>
                </w:tcPr>
                <w:p w14:paraId="3EF41E0E">
                  <w:pPr>
                    <w:pStyle w:val="2326"/>
                    <w:keepNext w:val="0"/>
                    <w:keepLines w:val="0"/>
                    <w:pageBreakBefore w:val="0"/>
                    <w:widowControl w:val="0"/>
                    <w:kinsoku/>
                    <w:wordWrap/>
                    <w:overflowPunct/>
                    <w:topLinePunct w:val="0"/>
                    <w:autoSpaceDE/>
                    <w:autoSpaceDN/>
                    <w:bidi w:val="0"/>
                    <w:adjustRightInd w:val="0"/>
                    <w:snapToGrid w:val="0"/>
                    <w:ind w:firstLine="0"/>
                    <w:textAlignment w:val="auto"/>
                    <w:rPr>
                      <w:color w:val="auto"/>
                      <w:sz w:val="21"/>
                      <w:szCs w:val="21"/>
                    </w:rPr>
                  </w:pPr>
                  <w:r>
                    <w:rPr>
                      <w:color w:val="auto"/>
                      <w:sz w:val="21"/>
                      <w:szCs w:val="21"/>
                    </w:rPr>
                    <w:t>符合</w:t>
                  </w:r>
                </w:p>
              </w:tc>
            </w:tr>
            <w:tr w14:paraId="74CF0E4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48" w:type="pct"/>
                  <w:vAlign w:val="center"/>
                </w:tcPr>
                <w:p w14:paraId="7D624B92">
                  <w:pPr>
                    <w:pStyle w:val="2326"/>
                    <w:keepNext w:val="0"/>
                    <w:keepLines w:val="0"/>
                    <w:pageBreakBefore w:val="0"/>
                    <w:widowControl w:val="0"/>
                    <w:kinsoku/>
                    <w:wordWrap/>
                    <w:overflowPunct/>
                    <w:topLinePunct w:val="0"/>
                    <w:autoSpaceDE/>
                    <w:autoSpaceDN/>
                    <w:bidi w:val="0"/>
                    <w:adjustRightInd w:val="0"/>
                    <w:snapToGrid w:val="0"/>
                    <w:ind w:firstLine="0"/>
                    <w:textAlignment w:val="auto"/>
                    <w:rPr>
                      <w:color w:val="auto"/>
                      <w:sz w:val="21"/>
                      <w:szCs w:val="21"/>
                    </w:rPr>
                  </w:pPr>
                  <w:r>
                    <w:rPr>
                      <w:color w:val="auto"/>
                      <w:sz w:val="21"/>
                      <w:szCs w:val="21"/>
                    </w:rPr>
                    <w:t>资源</w:t>
                  </w:r>
                  <w:r>
                    <w:rPr>
                      <w:rFonts w:hint="eastAsia"/>
                      <w:color w:val="auto"/>
                      <w:sz w:val="21"/>
                      <w:szCs w:val="21"/>
                    </w:rPr>
                    <w:t>利用</w:t>
                  </w:r>
                  <w:r>
                    <w:rPr>
                      <w:color w:val="auto"/>
                      <w:sz w:val="21"/>
                      <w:szCs w:val="21"/>
                    </w:rPr>
                    <w:t>效率要求</w:t>
                  </w:r>
                </w:p>
              </w:tc>
              <w:tc>
                <w:tcPr>
                  <w:tcW w:w="3384" w:type="pct"/>
                  <w:vAlign w:val="center"/>
                </w:tcPr>
                <w:p w14:paraId="308C3E47">
                  <w:pPr>
                    <w:pStyle w:val="2326"/>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color w:val="auto"/>
                      <w:sz w:val="21"/>
                      <w:szCs w:val="21"/>
                    </w:rPr>
                  </w:pPr>
                  <w:r>
                    <w:rPr>
                      <w:rFonts w:hint="eastAsia"/>
                      <w:color w:val="auto"/>
                      <w:sz w:val="21"/>
                      <w:szCs w:val="21"/>
                    </w:rPr>
                    <w:t>（1）单位工业增加值新鲜水耗≤8立方米/万元，园区</w:t>
                  </w:r>
                  <w:r>
                    <w:rPr>
                      <w:rFonts w:hint="eastAsia"/>
                      <w:color w:val="auto"/>
                      <w:sz w:val="21"/>
                      <w:szCs w:val="21"/>
                      <w:lang w:eastAsia="zh-CN"/>
                    </w:rPr>
                    <w:t>污水处理厂</w:t>
                  </w:r>
                  <w:r>
                    <w:rPr>
                      <w:rFonts w:hint="eastAsia"/>
                      <w:color w:val="auto"/>
                      <w:sz w:val="21"/>
                      <w:szCs w:val="21"/>
                    </w:rPr>
                    <w:t>中水回用率达到55%，园区工业用水总量31300立方米/日。</w:t>
                  </w:r>
                </w:p>
                <w:p w14:paraId="3437B79D">
                  <w:pPr>
                    <w:pStyle w:val="2326"/>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color w:val="auto"/>
                      <w:sz w:val="21"/>
                      <w:szCs w:val="21"/>
                    </w:rPr>
                  </w:pPr>
                  <w:r>
                    <w:rPr>
                      <w:rFonts w:hint="eastAsia"/>
                      <w:color w:val="auto"/>
                      <w:sz w:val="21"/>
                      <w:szCs w:val="21"/>
                    </w:rPr>
                    <w:t>（2）土地资源可利用园区总面积上线1.7781平方公里，建设用地总面积上线1.7452平方公里，工业用地总面积上线1.4389平方公里，单位工业用地工业增加值≥9亿元/平方公里。</w:t>
                  </w:r>
                </w:p>
              </w:tc>
              <w:tc>
                <w:tcPr>
                  <w:tcW w:w="924" w:type="pct"/>
                  <w:vAlign w:val="center"/>
                </w:tcPr>
                <w:p w14:paraId="4100F5C6">
                  <w:pPr>
                    <w:pStyle w:val="2326"/>
                    <w:keepNext w:val="0"/>
                    <w:keepLines w:val="0"/>
                    <w:pageBreakBefore w:val="0"/>
                    <w:widowControl w:val="0"/>
                    <w:kinsoku/>
                    <w:wordWrap/>
                    <w:overflowPunct/>
                    <w:topLinePunct w:val="0"/>
                    <w:autoSpaceDE/>
                    <w:autoSpaceDN/>
                    <w:bidi w:val="0"/>
                    <w:adjustRightInd w:val="0"/>
                    <w:snapToGrid w:val="0"/>
                    <w:ind w:firstLine="0"/>
                    <w:textAlignment w:val="auto"/>
                    <w:rPr>
                      <w:rFonts w:hint="eastAsia"/>
                      <w:color w:val="auto"/>
                      <w:sz w:val="21"/>
                      <w:szCs w:val="21"/>
                      <w:lang w:val="en-US" w:eastAsia="zh-CN"/>
                    </w:rPr>
                  </w:pPr>
                  <w:r>
                    <w:rPr>
                      <w:rFonts w:hint="eastAsia"/>
                      <w:color w:val="auto"/>
                      <w:sz w:val="21"/>
                      <w:szCs w:val="21"/>
                      <w:lang w:eastAsia="zh-CN"/>
                    </w:rPr>
                    <w:t>建设项目无生产废水产生及排放，自来水用量为</w:t>
                  </w:r>
                  <w:r>
                    <w:rPr>
                      <w:rFonts w:hint="eastAsia"/>
                      <w:color w:val="auto"/>
                      <w:sz w:val="21"/>
                      <w:szCs w:val="21"/>
                      <w:lang w:val="en-US" w:eastAsia="zh-CN"/>
                    </w:rPr>
                    <w:t>5.503m</w:t>
                  </w:r>
                  <w:r>
                    <w:rPr>
                      <w:rFonts w:hint="eastAsia"/>
                      <w:color w:val="auto"/>
                      <w:sz w:val="21"/>
                      <w:szCs w:val="21"/>
                      <w:vertAlign w:val="superscript"/>
                      <w:lang w:val="en-US" w:eastAsia="zh-CN"/>
                    </w:rPr>
                    <w:t>3</w:t>
                  </w:r>
                  <w:r>
                    <w:rPr>
                      <w:rFonts w:hint="eastAsia"/>
                      <w:color w:val="auto"/>
                      <w:sz w:val="21"/>
                      <w:szCs w:val="21"/>
                      <w:lang w:val="en-US" w:eastAsia="zh-CN"/>
                    </w:rPr>
                    <w:t>/d，不属于高耗水项目。</w:t>
                  </w:r>
                </w:p>
                <w:p w14:paraId="7A5BD1DF">
                  <w:pPr>
                    <w:pStyle w:val="2326"/>
                    <w:keepNext w:val="0"/>
                    <w:keepLines w:val="0"/>
                    <w:pageBreakBefore w:val="0"/>
                    <w:widowControl w:val="0"/>
                    <w:kinsoku/>
                    <w:wordWrap/>
                    <w:overflowPunct/>
                    <w:topLinePunct w:val="0"/>
                    <w:autoSpaceDE/>
                    <w:autoSpaceDN/>
                    <w:bidi w:val="0"/>
                    <w:adjustRightInd w:val="0"/>
                    <w:snapToGrid w:val="0"/>
                    <w:ind w:firstLine="0"/>
                    <w:textAlignment w:val="auto"/>
                    <w:rPr>
                      <w:rFonts w:hint="default" w:eastAsia="宋体"/>
                      <w:color w:val="auto"/>
                      <w:sz w:val="21"/>
                      <w:szCs w:val="21"/>
                      <w:lang w:val="en-US" w:eastAsia="zh-CN"/>
                    </w:rPr>
                  </w:pPr>
                  <w:r>
                    <w:rPr>
                      <w:rFonts w:hint="eastAsia"/>
                      <w:color w:val="auto"/>
                      <w:sz w:val="21"/>
                      <w:szCs w:val="21"/>
                    </w:rPr>
                    <w:t>项目</w:t>
                  </w:r>
                  <w:r>
                    <w:rPr>
                      <w:rFonts w:hint="eastAsia"/>
                      <w:color w:val="auto"/>
                      <w:sz w:val="21"/>
                      <w:szCs w:val="21"/>
                      <w:lang w:eastAsia="zh-CN"/>
                    </w:rPr>
                    <w:t>用地性质</w:t>
                  </w:r>
                  <w:r>
                    <w:rPr>
                      <w:rFonts w:hint="eastAsia"/>
                      <w:color w:val="auto"/>
                      <w:sz w:val="21"/>
                      <w:szCs w:val="21"/>
                    </w:rPr>
                    <w:t>为工业用地</w:t>
                  </w:r>
                  <w:r>
                    <w:rPr>
                      <w:rFonts w:hint="eastAsia"/>
                      <w:color w:val="auto"/>
                      <w:sz w:val="21"/>
                      <w:szCs w:val="21"/>
                      <w:lang w:eastAsia="zh-CN"/>
                    </w:rPr>
                    <w:t>，用地面积约</w:t>
                  </w:r>
                  <w:r>
                    <w:rPr>
                      <w:rFonts w:hint="eastAsia"/>
                      <w:color w:val="auto"/>
                      <w:sz w:val="21"/>
                      <w:szCs w:val="21"/>
                      <w:lang w:val="en-US" w:eastAsia="zh-CN"/>
                    </w:rPr>
                    <w:t>22890m</w:t>
                  </w:r>
                  <w:r>
                    <w:rPr>
                      <w:rFonts w:hint="eastAsia"/>
                      <w:color w:val="auto"/>
                      <w:sz w:val="21"/>
                      <w:szCs w:val="21"/>
                      <w:vertAlign w:val="superscript"/>
                      <w:lang w:val="en-US" w:eastAsia="zh-CN"/>
                    </w:rPr>
                    <w:t>2</w:t>
                  </w:r>
                  <w:r>
                    <w:rPr>
                      <w:rFonts w:hint="eastAsia"/>
                      <w:color w:val="auto"/>
                      <w:sz w:val="21"/>
                      <w:szCs w:val="21"/>
                      <w:lang w:eastAsia="zh-CN"/>
                    </w:rPr>
                    <w:t>，不占用基本农田，不影响区域土地资源总量</w:t>
                  </w:r>
                  <w:r>
                    <w:rPr>
                      <w:rFonts w:hint="eastAsia"/>
                      <w:color w:val="auto"/>
                      <w:sz w:val="21"/>
                      <w:szCs w:val="21"/>
                      <w:lang w:val="en-US" w:eastAsia="zh-CN"/>
                    </w:rPr>
                    <w:t>。</w:t>
                  </w:r>
                </w:p>
              </w:tc>
              <w:tc>
                <w:tcPr>
                  <w:tcW w:w="342" w:type="pct"/>
                  <w:vAlign w:val="center"/>
                </w:tcPr>
                <w:p w14:paraId="16D632F9">
                  <w:pPr>
                    <w:pStyle w:val="2326"/>
                    <w:keepNext w:val="0"/>
                    <w:keepLines w:val="0"/>
                    <w:pageBreakBefore w:val="0"/>
                    <w:widowControl w:val="0"/>
                    <w:kinsoku/>
                    <w:wordWrap/>
                    <w:overflowPunct/>
                    <w:topLinePunct w:val="0"/>
                    <w:autoSpaceDE/>
                    <w:autoSpaceDN/>
                    <w:bidi w:val="0"/>
                    <w:adjustRightInd w:val="0"/>
                    <w:snapToGrid w:val="0"/>
                    <w:ind w:firstLine="0"/>
                    <w:textAlignment w:val="auto"/>
                    <w:rPr>
                      <w:color w:val="auto"/>
                      <w:sz w:val="21"/>
                      <w:szCs w:val="21"/>
                    </w:rPr>
                  </w:pPr>
                  <w:r>
                    <w:rPr>
                      <w:color w:val="auto"/>
                      <w:sz w:val="21"/>
                      <w:szCs w:val="21"/>
                    </w:rPr>
                    <w:t>符合</w:t>
                  </w:r>
                </w:p>
              </w:tc>
            </w:tr>
          </w:tbl>
          <w:p w14:paraId="01766837">
            <w:pPr>
              <w:adjustRightInd w:val="0"/>
              <w:snapToGrid w:val="0"/>
              <w:spacing w:before="120" w:beforeLines="50" w:line="360" w:lineRule="auto"/>
              <w:ind w:firstLine="480" w:firstLineChars="200"/>
              <w:rPr>
                <w:color w:val="auto"/>
                <w:sz w:val="24"/>
              </w:rPr>
            </w:pPr>
            <w:r>
              <w:rPr>
                <w:rFonts w:hint="eastAsia"/>
                <w:color w:val="auto"/>
                <w:sz w:val="24"/>
              </w:rPr>
              <w:t>根据上表分析可知，建设项目与《2023年生态环境分区管控成果动态更新成果公告》是相符的。</w:t>
            </w:r>
          </w:p>
          <w:p w14:paraId="44E80CEC">
            <w:pPr>
              <w:adjustRightInd w:val="0"/>
              <w:snapToGrid w:val="0"/>
              <w:jc w:val="center"/>
              <w:rPr>
                <w:color w:val="auto"/>
                <w:sz w:val="24"/>
              </w:rPr>
            </w:pPr>
            <w:r>
              <w:rPr>
                <w:color w:val="auto"/>
              </w:rPr>
              <w:drawing>
                <wp:inline distT="0" distB="0" distL="114300" distR="114300">
                  <wp:extent cx="4968875" cy="2522855"/>
                  <wp:effectExtent l="0" t="0" r="3175" b="1079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1"/>
                          <a:stretch>
                            <a:fillRect/>
                          </a:stretch>
                        </pic:blipFill>
                        <pic:spPr>
                          <a:xfrm>
                            <a:off x="0" y="0"/>
                            <a:ext cx="4968875" cy="2522855"/>
                          </a:xfrm>
                          <a:prstGeom prst="rect">
                            <a:avLst/>
                          </a:prstGeom>
                          <a:noFill/>
                          <a:ln>
                            <a:noFill/>
                          </a:ln>
                        </pic:spPr>
                      </pic:pic>
                    </a:graphicData>
                  </a:graphic>
                </wp:inline>
              </w:drawing>
            </w:r>
          </w:p>
          <w:p w14:paraId="5E70D57C">
            <w:pPr>
              <w:adjustRightInd w:val="0"/>
              <w:snapToGrid w:val="0"/>
              <w:spacing w:line="360" w:lineRule="auto"/>
              <w:ind w:firstLine="482" w:firstLineChars="0"/>
              <w:jc w:val="center"/>
              <w:outlineLvl w:val="9"/>
              <w:rPr>
                <w:b/>
                <w:bCs/>
                <w:color w:val="auto"/>
                <w:sz w:val="24"/>
              </w:rPr>
            </w:pPr>
            <w:bookmarkStart w:id="4" w:name="_Toc16747"/>
            <w:r>
              <w:rPr>
                <w:rFonts w:hint="eastAsia"/>
                <w:b/>
                <w:bCs/>
                <w:color w:val="auto"/>
                <w:sz w:val="24"/>
              </w:rPr>
              <w:t>图1</w:t>
            </w:r>
            <w:r>
              <w:rPr>
                <w:b/>
                <w:bCs/>
                <w:color w:val="auto"/>
                <w:sz w:val="24"/>
              </w:rPr>
              <w:t>-1</w:t>
            </w:r>
            <w:r>
              <w:rPr>
                <w:rFonts w:hint="eastAsia"/>
                <w:b/>
                <w:bCs/>
                <w:color w:val="auto"/>
                <w:sz w:val="24"/>
              </w:rPr>
              <w:t>江苏省生态环境分区管控综合服务系统查询结果图</w:t>
            </w:r>
            <w:bookmarkEnd w:id="4"/>
          </w:p>
          <w:p w14:paraId="6B8E0460">
            <w:pPr>
              <w:shd w:val="clear" w:color="auto" w:fill="FFFFFF"/>
              <w:adjustRightInd w:val="0"/>
              <w:snapToGrid w:val="0"/>
              <w:spacing w:line="360" w:lineRule="auto"/>
              <w:ind w:firstLine="480" w:firstLineChars="200"/>
              <w:rPr>
                <w:color w:val="auto"/>
                <w:sz w:val="24"/>
              </w:rPr>
            </w:pPr>
            <w:r>
              <w:rPr>
                <w:bCs/>
                <w:color w:val="auto"/>
                <w:sz w:val="24"/>
              </w:rPr>
              <w:t>（</w:t>
            </w:r>
            <w:r>
              <w:rPr>
                <w:rFonts w:hint="eastAsia"/>
                <w:bCs/>
                <w:color w:val="auto"/>
                <w:sz w:val="24"/>
              </w:rPr>
              <w:t>4</w:t>
            </w:r>
            <w:r>
              <w:rPr>
                <w:bCs/>
                <w:color w:val="auto"/>
                <w:sz w:val="24"/>
              </w:rPr>
              <w:t>）</w:t>
            </w:r>
            <w:r>
              <w:rPr>
                <w:rFonts w:hint="eastAsia"/>
                <w:color w:val="auto"/>
                <w:sz w:val="24"/>
              </w:rPr>
              <w:t>本</w:t>
            </w:r>
            <w:r>
              <w:rPr>
                <w:color w:val="auto"/>
                <w:sz w:val="24"/>
              </w:rPr>
              <w:t>项目</w:t>
            </w:r>
            <w:r>
              <w:rPr>
                <w:rFonts w:hint="eastAsia"/>
                <w:color w:val="auto"/>
                <w:sz w:val="24"/>
              </w:rPr>
              <w:t>对照《淮安市生态环境分区管控动态更新成果》（2023版）、</w:t>
            </w:r>
            <w:r>
              <w:rPr>
                <w:color w:val="auto"/>
                <w:sz w:val="24"/>
              </w:rPr>
              <w:t>淮安市《关于印发淮安市</w:t>
            </w:r>
            <w:r>
              <w:rPr>
                <w:rFonts w:hint="eastAsia"/>
                <w:color w:val="auto"/>
                <w:sz w:val="24"/>
              </w:rPr>
              <w:t>“</w:t>
            </w:r>
            <w:r>
              <w:rPr>
                <w:color w:val="auto"/>
                <w:sz w:val="24"/>
              </w:rPr>
              <w:t>三线一单</w:t>
            </w:r>
            <w:r>
              <w:rPr>
                <w:rFonts w:hint="eastAsia"/>
                <w:color w:val="auto"/>
                <w:sz w:val="24"/>
              </w:rPr>
              <w:t>”</w:t>
            </w:r>
            <w:r>
              <w:rPr>
                <w:color w:val="auto"/>
                <w:sz w:val="24"/>
              </w:rPr>
              <w:t>生态环境分区管控方案的通知》（淮政发〔2020〕16号）</w:t>
            </w:r>
            <w:r>
              <w:rPr>
                <w:rFonts w:hint="eastAsia"/>
                <w:color w:val="auto"/>
                <w:sz w:val="24"/>
              </w:rPr>
              <w:t>及《市政府办公室关于对淮安市“三线一单”生态环境分区管控方案内容修改的通知》（淮政办函〔2022〕5号）</w:t>
            </w:r>
            <w:r>
              <w:rPr>
                <w:color w:val="auto"/>
                <w:sz w:val="24"/>
              </w:rPr>
              <w:t>相符性分析见表1-</w:t>
            </w:r>
            <w:r>
              <w:rPr>
                <w:rFonts w:hint="eastAsia"/>
                <w:color w:val="auto"/>
                <w:sz w:val="24"/>
              </w:rPr>
              <w:t>6</w:t>
            </w:r>
            <w:r>
              <w:rPr>
                <w:color w:val="auto"/>
                <w:sz w:val="24"/>
              </w:rPr>
              <w:t>。</w:t>
            </w:r>
          </w:p>
          <w:p w14:paraId="62D7BDA2">
            <w:pPr>
              <w:shd w:val="clear" w:color="auto" w:fill="FFFFFF"/>
              <w:adjustRightInd w:val="0"/>
              <w:snapToGrid w:val="0"/>
              <w:spacing w:line="360" w:lineRule="auto"/>
              <w:ind w:firstLine="480" w:firstLineChars="200"/>
              <w:rPr>
                <w:color w:val="auto"/>
                <w:sz w:val="24"/>
              </w:rPr>
            </w:pPr>
            <w:r>
              <w:rPr>
                <w:color w:val="auto"/>
                <w:sz w:val="24"/>
              </w:rPr>
              <w:t>根据</w:t>
            </w:r>
            <w:r>
              <w:rPr>
                <w:rFonts w:hint="eastAsia"/>
                <w:color w:val="auto"/>
                <w:sz w:val="24"/>
              </w:rPr>
              <w:t>《淮安市生态环境分区管控动态更新成果》（2023版）、</w:t>
            </w:r>
            <w:r>
              <w:rPr>
                <w:color w:val="auto"/>
                <w:sz w:val="24"/>
              </w:rPr>
              <w:t>《关于印发淮安市</w:t>
            </w:r>
            <w:r>
              <w:rPr>
                <w:rFonts w:hint="eastAsia"/>
                <w:color w:val="auto"/>
                <w:sz w:val="24"/>
              </w:rPr>
              <w:t>“</w:t>
            </w:r>
            <w:r>
              <w:rPr>
                <w:color w:val="auto"/>
                <w:sz w:val="24"/>
              </w:rPr>
              <w:t>三线一单</w:t>
            </w:r>
            <w:r>
              <w:rPr>
                <w:rFonts w:hint="eastAsia"/>
                <w:color w:val="auto"/>
                <w:sz w:val="24"/>
              </w:rPr>
              <w:t>”</w:t>
            </w:r>
            <w:r>
              <w:rPr>
                <w:color w:val="auto"/>
                <w:sz w:val="24"/>
              </w:rPr>
              <w:t>生态环境分区管控方案的通知》（淮政发〔2020〕16号）</w:t>
            </w:r>
            <w:r>
              <w:rPr>
                <w:rFonts w:hint="eastAsia"/>
                <w:color w:val="auto"/>
                <w:sz w:val="24"/>
              </w:rPr>
              <w:t>及《市政府办公室关于对淮安市“三线一单”生态环境分区管控方案内容修改的通知》（淮政办函〔2022〕5号）</w:t>
            </w:r>
            <w:r>
              <w:rPr>
                <w:color w:val="auto"/>
                <w:sz w:val="24"/>
              </w:rPr>
              <w:t>，本项目</w:t>
            </w:r>
            <w:r>
              <w:rPr>
                <w:rFonts w:hint="eastAsia"/>
                <w:color w:val="auto"/>
                <w:sz w:val="24"/>
              </w:rPr>
              <w:t>位于江苏涟水经济开发区涟古路北侧，兴隆路西侧</w:t>
            </w:r>
            <w:r>
              <w:rPr>
                <w:color w:val="auto"/>
                <w:sz w:val="24"/>
              </w:rPr>
              <w:t>，属于</w:t>
            </w:r>
            <w:r>
              <w:rPr>
                <w:rFonts w:hint="eastAsia"/>
                <w:color w:val="auto"/>
                <w:sz w:val="24"/>
              </w:rPr>
              <w:t>重点管控单元</w:t>
            </w:r>
            <w:r>
              <w:rPr>
                <w:color w:val="auto"/>
                <w:sz w:val="24"/>
              </w:rPr>
              <w:t>。淮安市环境管控单元图见</w:t>
            </w:r>
            <w:r>
              <w:rPr>
                <w:bCs/>
                <w:color w:val="auto"/>
                <w:sz w:val="24"/>
              </w:rPr>
              <w:t>附图</w:t>
            </w:r>
            <w:r>
              <w:rPr>
                <w:rFonts w:hint="eastAsia"/>
                <w:bCs/>
                <w:color w:val="auto"/>
                <w:sz w:val="24"/>
                <w:lang w:val="en-US" w:eastAsia="zh-CN"/>
              </w:rPr>
              <w:t>1-3</w:t>
            </w:r>
            <w:r>
              <w:rPr>
                <w:color w:val="auto"/>
                <w:sz w:val="24"/>
              </w:rPr>
              <w:t>。</w:t>
            </w:r>
          </w:p>
          <w:p w14:paraId="2FAA1793">
            <w:pPr>
              <w:adjustRightInd w:val="0"/>
              <w:snapToGrid w:val="0"/>
              <w:ind w:firstLine="482"/>
              <w:jc w:val="center"/>
              <w:rPr>
                <w:b/>
                <w:color w:val="auto"/>
                <w:sz w:val="24"/>
              </w:rPr>
            </w:pPr>
            <w:r>
              <w:rPr>
                <w:b/>
                <w:color w:val="auto"/>
                <w:sz w:val="24"/>
              </w:rPr>
              <w:t>表1-</w:t>
            </w:r>
            <w:r>
              <w:rPr>
                <w:rFonts w:hint="eastAsia"/>
                <w:b/>
                <w:color w:val="auto"/>
                <w:sz w:val="24"/>
                <w:lang w:val="en-US" w:eastAsia="zh-CN"/>
              </w:rPr>
              <w:t>7</w:t>
            </w:r>
            <w:r>
              <w:rPr>
                <w:rFonts w:hint="eastAsia"/>
                <w:b/>
                <w:color w:val="auto"/>
                <w:sz w:val="24"/>
              </w:rPr>
              <w:t>本</w:t>
            </w:r>
            <w:r>
              <w:rPr>
                <w:b/>
                <w:color w:val="auto"/>
                <w:sz w:val="24"/>
              </w:rPr>
              <w:t>项目与淮安市生态环境分区管控相符性分析</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545"/>
              <w:gridCol w:w="4309"/>
              <w:gridCol w:w="2450"/>
              <w:gridCol w:w="528"/>
            </w:tblGrid>
            <w:tr w14:paraId="0349BD4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48" w:type="pct"/>
                  <w:vAlign w:val="center"/>
                </w:tcPr>
                <w:p w14:paraId="5AD6A8CA">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管控类别</w:t>
                  </w:r>
                </w:p>
              </w:tc>
              <w:tc>
                <w:tcPr>
                  <w:tcW w:w="2750" w:type="pct"/>
                  <w:vAlign w:val="center"/>
                </w:tcPr>
                <w:p w14:paraId="7945F839">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重点管控要求</w:t>
                  </w:r>
                </w:p>
              </w:tc>
              <w:tc>
                <w:tcPr>
                  <w:tcW w:w="1563" w:type="pct"/>
                  <w:vAlign w:val="center"/>
                </w:tcPr>
                <w:p w14:paraId="758B61B7">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相符性分析</w:t>
                  </w:r>
                </w:p>
              </w:tc>
              <w:tc>
                <w:tcPr>
                  <w:tcW w:w="337" w:type="pct"/>
                  <w:vAlign w:val="center"/>
                </w:tcPr>
                <w:p w14:paraId="1A5AB850">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判定结果</w:t>
                  </w:r>
                </w:p>
              </w:tc>
            </w:tr>
            <w:tr w14:paraId="28F05FE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48" w:type="pct"/>
                  <w:vAlign w:val="center"/>
                </w:tcPr>
                <w:p w14:paraId="259C7E89">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空间布局约束</w:t>
                  </w:r>
                </w:p>
              </w:tc>
              <w:tc>
                <w:tcPr>
                  <w:tcW w:w="2750" w:type="pct"/>
                  <w:vAlign w:val="center"/>
                </w:tcPr>
                <w:p w14:paraId="200C0472">
                  <w:pPr>
                    <w:keepNext w:val="0"/>
                    <w:keepLines w:val="0"/>
                    <w:pageBreakBefore w:val="0"/>
                    <w:widowControl w:val="0"/>
                    <w:kinsoku/>
                    <w:wordWrap/>
                    <w:overflowPunct/>
                    <w:topLinePunct w:val="0"/>
                    <w:autoSpaceDE/>
                    <w:autoSpaceDN/>
                    <w:bidi w:val="0"/>
                    <w:adjustRightInd w:val="0"/>
                    <w:snapToGrid w:val="0"/>
                    <w:ind w:firstLine="0"/>
                    <w:textAlignment w:val="auto"/>
                    <w:rPr>
                      <w:bCs/>
                      <w:color w:val="auto"/>
                      <w:szCs w:val="21"/>
                    </w:rPr>
                  </w:pPr>
                  <w:r>
                    <w:rPr>
                      <w:rFonts w:hint="eastAsia"/>
                      <w:bCs/>
                      <w:color w:val="auto"/>
                      <w:szCs w:val="21"/>
                    </w:rPr>
                    <w:t>对钢铁、电解铝、水泥、平板玻璃、船舶等产能严重过剩行业，以及酒精、造纸、皮革、农药、橡胶、水泥、金属冶炼等高耗能、高污染、技术落后的产业进行限制和禁止。同时，对属于限制类的现有生产能力，允许企业开展技术改造，推动产业转型升级。</w:t>
                  </w:r>
                </w:p>
                <w:p w14:paraId="72B7C679">
                  <w:pPr>
                    <w:keepNext w:val="0"/>
                    <w:keepLines w:val="0"/>
                    <w:pageBreakBefore w:val="0"/>
                    <w:widowControl w:val="0"/>
                    <w:kinsoku/>
                    <w:wordWrap/>
                    <w:overflowPunct/>
                    <w:topLinePunct w:val="0"/>
                    <w:autoSpaceDE/>
                    <w:autoSpaceDN/>
                    <w:bidi w:val="0"/>
                    <w:adjustRightInd w:val="0"/>
                    <w:snapToGrid w:val="0"/>
                    <w:ind w:firstLine="0"/>
                    <w:textAlignment w:val="auto"/>
                    <w:rPr>
                      <w:bCs/>
                      <w:color w:val="auto"/>
                      <w:szCs w:val="21"/>
                    </w:rPr>
                  </w:pPr>
                  <w:r>
                    <w:rPr>
                      <w:rFonts w:hint="eastAsia"/>
                      <w:bCs/>
                      <w:color w:val="auto"/>
                      <w:szCs w:val="21"/>
                    </w:rPr>
                    <w:t>根据《中共江苏省委江苏省人民政府关于深入打好污染防治攻坚战的实施意见》（2022年1月24日）、《淮安市深入打好净土保卫战实施方案》（淮污防攻坚指办</w:t>
                  </w:r>
                  <w:r>
                    <w:rPr>
                      <w:rFonts w:hint="eastAsia"/>
                      <w:bCs/>
                      <w:color w:val="auto"/>
                      <w:szCs w:val="21"/>
                      <w:lang w:eastAsia="zh-CN"/>
                    </w:rPr>
                    <w:t>〔2023〕17号</w:t>
                  </w:r>
                  <w:r>
                    <w:rPr>
                      <w:rFonts w:hint="eastAsia"/>
                      <w:bCs/>
                      <w:color w:val="auto"/>
                      <w:szCs w:val="21"/>
                    </w:rPr>
                    <w:t>）、《淮安市生态碧水三年行动方案》（淮政发〔2022〕12号）、《淮安市国土空间总体规划（2021</w:t>
                  </w:r>
                  <w:r>
                    <w:rPr>
                      <w:rFonts w:hint="eastAsia"/>
                      <w:bCs/>
                      <w:color w:val="auto"/>
                      <w:szCs w:val="21"/>
                      <w:lang w:eastAsia="zh-CN"/>
                    </w:rPr>
                    <w:t>—</w:t>
                  </w:r>
                  <w:r>
                    <w:rPr>
                      <w:rFonts w:hint="eastAsia"/>
                      <w:bCs/>
                      <w:color w:val="auto"/>
                      <w:szCs w:val="21"/>
                    </w:rPr>
                    <w:t>2035年）</w:t>
                  </w:r>
                  <w:r>
                    <w:rPr>
                      <w:rFonts w:hint="eastAsia"/>
                      <w:bCs/>
                      <w:color w:val="auto"/>
                      <w:szCs w:val="21"/>
                      <w:lang w:eastAsia="zh-CN"/>
                    </w:rPr>
                    <w:t>》《</w:t>
                  </w:r>
                  <w:r>
                    <w:rPr>
                      <w:rFonts w:hint="eastAsia"/>
                      <w:bCs/>
                      <w:color w:val="auto"/>
                      <w:szCs w:val="21"/>
                    </w:rPr>
                    <w:t>大运河淮安段核心监控区国土空间管控细则》（淮政规〔2022〕8号）等文件进行调整。</w:t>
                  </w:r>
                </w:p>
              </w:tc>
              <w:tc>
                <w:tcPr>
                  <w:tcW w:w="1563" w:type="pct"/>
                  <w:vAlign w:val="center"/>
                </w:tcPr>
                <w:p w14:paraId="46A559E6">
                  <w:pPr>
                    <w:keepNext w:val="0"/>
                    <w:keepLines w:val="0"/>
                    <w:pageBreakBefore w:val="0"/>
                    <w:widowControl w:val="0"/>
                    <w:kinsoku/>
                    <w:wordWrap/>
                    <w:overflowPunct/>
                    <w:topLinePunct w:val="0"/>
                    <w:autoSpaceDE/>
                    <w:autoSpaceDN/>
                    <w:bidi w:val="0"/>
                    <w:adjustRightInd w:val="0"/>
                    <w:snapToGrid w:val="0"/>
                    <w:ind w:firstLine="0"/>
                    <w:textAlignment w:val="auto"/>
                    <w:rPr>
                      <w:color w:val="auto"/>
                      <w:szCs w:val="21"/>
                    </w:rPr>
                  </w:pPr>
                  <w:r>
                    <w:rPr>
                      <w:color w:val="auto"/>
                      <w:kern w:val="0"/>
                      <w:szCs w:val="21"/>
                    </w:rPr>
                    <w:t>本项目</w:t>
                  </w:r>
                  <w:r>
                    <w:rPr>
                      <w:rFonts w:hint="eastAsia"/>
                      <w:color w:val="auto"/>
                      <w:kern w:val="0"/>
                      <w:szCs w:val="21"/>
                    </w:rPr>
                    <w:t>为年产3万台套新型电机、变频器生产项目</w:t>
                  </w:r>
                  <w:r>
                    <w:rPr>
                      <w:color w:val="auto"/>
                      <w:szCs w:val="21"/>
                    </w:rPr>
                    <w:t>，不属于限制和禁止类</w:t>
                  </w:r>
                  <w:r>
                    <w:rPr>
                      <w:rFonts w:hint="eastAsia"/>
                      <w:color w:val="auto"/>
                      <w:szCs w:val="21"/>
                    </w:rPr>
                    <w:t>项目</w:t>
                  </w:r>
                  <w:r>
                    <w:rPr>
                      <w:color w:val="auto"/>
                      <w:szCs w:val="21"/>
                    </w:rPr>
                    <w:t>；</w:t>
                  </w:r>
                  <w:r>
                    <w:rPr>
                      <w:rFonts w:hint="eastAsia"/>
                      <w:color w:val="auto"/>
                      <w:szCs w:val="21"/>
                    </w:rPr>
                    <w:t>符合</w:t>
                  </w:r>
                  <w:r>
                    <w:rPr>
                      <w:rFonts w:hint="eastAsia"/>
                      <w:bCs/>
                      <w:color w:val="auto"/>
                      <w:szCs w:val="21"/>
                    </w:rPr>
                    <w:t>《中共江苏省委江苏省人民政府关于深入打好污染防治攻坚战的实施意见》（2022年1月24日）、《淮安市深入打好净土保卫战实施方案》（淮污防攻坚指办</w:t>
                  </w:r>
                  <w:r>
                    <w:rPr>
                      <w:rFonts w:hint="eastAsia"/>
                      <w:bCs/>
                      <w:color w:val="auto"/>
                      <w:szCs w:val="21"/>
                      <w:lang w:eastAsia="zh-CN"/>
                    </w:rPr>
                    <w:t>〔2023〕17号</w:t>
                  </w:r>
                  <w:r>
                    <w:rPr>
                      <w:rFonts w:hint="eastAsia"/>
                      <w:bCs/>
                      <w:color w:val="auto"/>
                      <w:szCs w:val="21"/>
                    </w:rPr>
                    <w:t>）、《淮安市生态碧水三年行动方案》（淮政发〔2022〕12号）、《淮安市国土空间总体规划（2021</w:t>
                  </w:r>
                  <w:r>
                    <w:rPr>
                      <w:rFonts w:hint="eastAsia"/>
                      <w:bCs/>
                      <w:color w:val="auto"/>
                      <w:szCs w:val="21"/>
                      <w:lang w:eastAsia="zh-CN"/>
                    </w:rPr>
                    <w:t>—</w:t>
                  </w:r>
                  <w:r>
                    <w:rPr>
                      <w:rFonts w:hint="eastAsia"/>
                      <w:bCs/>
                      <w:color w:val="auto"/>
                      <w:szCs w:val="21"/>
                    </w:rPr>
                    <w:t>2035年）</w:t>
                  </w:r>
                  <w:r>
                    <w:rPr>
                      <w:rFonts w:hint="eastAsia"/>
                      <w:bCs/>
                      <w:color w:val="auto"/>
                      <w:szCs w:val="21"/>
                      <w:lang w:eastAsia="zh-CN"/>
                    </w:rPr>
                    <w:t>》《</w:t>
                  </w:r>
                  <w:r>
                    <w:rPr>
                      <w:rFonts w:hint="eastAsia"/>
                      <w:bCs/>
                      <w:color w:val="auto"/>
                      <w:szCs w:val="21"/>
                    </w:rPr>
                    <w:t>大运河淮安段核心监控区国土空间管控细则》（淮政规〔2022〕8号）等文件的要求规范</w:t>
                  </w:r>
                  <w:r>
                    <w:rPr>
                      <w:color w:val="auto"/>
                      <w:szCs w:val="21"/>
                    </w:rPr>
                    <w:t>。</w:t>
                  </w:r>
                </w:p>
              </w:tc>
              <w:tc>
                <w:tcPr>
                  <w:tcW w:w="337" w:type="pct"/>
                  <w:vAlign w:val="center"/>
                </w:tcPr>
                <w:p w14:paraId="516E6B0D">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符合</w:t>
                  </w:r>
                </w:p>
              </w:tc>
            </w:tr>
            <w:tr w14:paraId="61A480B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48" w:type="pct"/>
                  <w:vAlign w:val="center"/>
                </w:tcPr>
                <w:p w14:paraId="2D3CFD80">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污染物排放管控</w:t>
                  </w:r>
                </w:p>
              </w:tc>
              <w:tc>
                <w:tcPr>
                  <w:tcW w:w="2750" w:type="pct"/>
                  <w:vAlign w:val="center"/>
                </w:tcPr>
                <w:p w14:paraId="4188F41F">
                  <w:pPr>
                    <w:keepNext w:val="0"/>
                    <w:keepLines w:val="0"/>
                    <w:pageBreakBefore w:val="0"/>
                    <w:widowControl w:val="0"/>
                    <w:kinsoku/>
                    <w:wordWrap/>
                    <w:overflowPunct/>
                    <w:topLinePunct w:val="0"/>
                    <w:autoSpaceDE/>
                    <w:autoSpaceDN/>
                    <w:bidi w:val="0"/>
                    <w:adjustRightInd w:val="0"/>
                    <w:snapToGrid w:val="0"/>
                    <w:ind w:firstLine="0"/>
                    <w:textAlignment w:val="auto"/>
                    <w:rPr>
                      <w:bCs/>
                      <w:color w:val="auto"/>
                      <w:szCs w:val="21"/>
                    </w:rPr>
                  </w:pPr>
                  <w:r>
                    <w:rPr>
                      <w:rFonts w:hint="eastAsia"/>
                      <w:bCs/>
                      <w:color w:val="auto"/>
                      <w:szCs w:val="21"/>
                    </w:rPr>
                    <w:t>1.允许排放量要求：根据《淮安市“十三五”节能减排综合实施方案》（淮政发〔2017〕119号），到2020年，淮安市化学需氧量、氨氮、总氮、总磷、二氧化硫、氮氧化物、VOCs排放量不得超过5.91万吨/年、0.77万吨/年、1.50万吨/年、0.155万吨/年、3.57万吨/年、4.72万吨/年、7.92万吨/年。</w:t>
                  </w:r>
                </w:p>
                <w:p w14:paraId="01D42062">
                  <w:pPr>
                    <w:keepNext w:val="0"/>
                    <w:keepLines w:val="0"/>
                    <w:pageBreakBefore w:val="0"/>
                    <w:widowControl w:val="0"/>
                    <w:kinsoku/>
                    <w:wordWrap/>
                    <w:overflowPunct/>
                    <w:topLinePunct w:val="0"/>
                    <w:autoSpaceDE/>
                    <w:autoSpaceDN/>
                    <w:bidi w:val="0"/>
                    <w:adjustRightInd w:val="0"/>
                    <w:snapToGrid w:val="0"/>
                    <w:ind w:firstLine="0"/>
                    <w:textAlignment w:val="auto"/>
                    <w:rPr>
                      <w:bCs/>
                      <w:color w:val="auto"/>
                      <w:szCs w:val="21"/>
                    </w:rPr>
                  </w:pPr>
                  <w:r>
                    <w:rPr>
                      <w:rFonts w:hint="eastAsia"/>
                      <w:bCs/>
                      <w:color w:val="auto"/>
                      <w:szCs w:val="21"/>
                    </w:rPr>
                    <w:t>2.新增源排放标准限制：根据《淮安市打赢蓝天保卫战三年行动计划实施方案》（淮政发〔2018〕113号），全市范围内二氧化硫、氮氧化物、颗粒物、VOCs全面执行大气污染物特别排放限值。</w:t>
                  </w:r>
                </w:p>
                <w:p w14:paraId="2E4B48EF">
                  <w:pPr>
                    <w:keepNext w:val="0"/>
                    <w:keepLines w:val="0"/>
                    <w:pageBreakBefore w:val="0"/>
                    <w:widowControl w:val="0"/>
                    <w:kinsoku/>
                    <w:wordWrap/>
                    <w:overflowPunct/>
                    <w:topLinePunct w:val="0"/>
                    <w:autoSpaceDE/>
                    <w:autoSpaceDN/>
                    <w:bidi w:val="0"/>
                    <w:adjustRightInd w:val="0"/>
                    <w:snapToGrid w:val="0"/>
                    <w:ind w:firstLine="0"/>
                    <w:textAlignment w:val="auto"/>
                    <w:rPr>
                      <w:bCs/>
                      <w:color w:val="auto"/>
                      <w:szCs w:val="21"/>
                    </w:rPr>
                  </w:pPr>
                  <w:r>
                    <w:rPr>
                      <w:rFonts w:hint="eastAsia"/>
                      <w:bCs/>
                      <w:color w:val="auto"/>
                      <w:szCs w:val="21"/>
                    </w:rPr>
                    <w:t>根据《江苏省“十四五”节能减排综合实施方案》（苏政传发〔2022〕224号）文件进行调整。</w:t>
                  </w:r>
                </w:p>
              </w:tc>
              <w:tc>
                <w:tcPr>
                  <w:tcW w:w="1563" w:type="pct"/>
                  <w:vAlign w:val="center"/>
                </w:tcPr>
                <w:p w14:paraId="15F85442">
                  <w:pPr>
                    <w:keepNext w:val="0"/>
                    <w:keepLines w:val="0"/>
                    <w:pageBreakBefore w:val="0"/>
                    <w:widowControl w:val="0"/>
                    <w:kinsoku/>
                    <w:wordWrap/>
                    <w:overflowPunct/>
                    <w:topLinePunct w:val="0"/>
                    <w:autoSpaceDE/>
                    <w:autoSpaceDN/>
                    <w:bidi w:val="0"/>
                    <w:adjustRightInd w:val="0"/>
                    <w:snapToGrid w:val="0"/>
                    <w:ind w:firstLine="0"/>
                    <w:textAlignment w:val="auto"/>
                    <w:rPr>
                      <w:bCs/>
                      <w:color w:val="auto"/>
                      <w:kern w:val="0"/>
                      <w:szCs w:val="21"/>
                      <w:vertAlign w:val="subscript"/>
                    </w:rPr>
                  </w:pPr>
                  <w:r>
                    <w:rPr>
                      <w:rFonts w:hint="eastAsia"/>
                      <w:bCs/>
                      <w:color w:val="auto"/>
                      <w:szCs w:val="21"/>
                    </w:rPr>
                    <w:t>本项目建成后，建设项目排放的颗粒物、NMHC由淮安市涟水生态环境局从境内企业削减总量中替代平衡；配件下料</w:t>
                  </w:r>
                  <w:r>
                    <w:rPr>
                      <w:rFonts w:hint="eastAsia"/>
                      <w:color w:val="auto"/>
                      <w:kern w:val="0"/>
                      <w:szCs w:val="21"/>
                    </w:rPr>
                    <w:t>工序产生的颗粒物有组织排放执行《大气污染物综合排放标准》（DB32/4041-2021）表1排放限值；浸漆</w:t>
                  </w:r>
                  <w:r>
                    <w:rPr>
                      <w:rFonts w:hint="eastAsia"/>
                      <w:color w:val="auto"/>
                      <w:kern w:val="0"/>
                      <w:szCs w:val="21"/>
                      <w:lang w:eastAsia="zh-CN"/>
                    </w:rPr>
                    <w:t>、</w:t>
                  </w:r>
                  <w:r>
                    <w:rPr>
                      <w:rFonts w:hint="eastAsia"/>
                      <w:color w:val="auto"/>
                      <w:kern w:val="0"/>
                      <w:szCs w:val="21"/>
                    </w:rPr>
                    <w:t>烘干</w:t>
                  </w:r>
                  <w:r>
                    <w:rPr>
                      <w:rFonts w:hint="eastAsia"/>
                      <w:color w:val="auto"/>
                      <w:kern w:val="0"/>
                      <w:szCs w:val="21"/>
                      <w:lang w:eastAsia="zh-CN"/>
                    </w:rPr>
                    <w:t>、擦拭</w:t>
                  </w:r>
                  <w:r>
                    <w:rPr>
                      <w:rFonts w:hint="eastAsia"/>
                      <w:color w:val="auto"/>
                      <w:kern w:val="0"/>
                      <w:szCs w:val="21"/>
                    </w:rPr>
                    <w:t>工序产生的NMHC，喷漆工序产生的NMHC、颗粒物有组织排放执行《工业涂装工序大气污染物排放标准》（DB32/4439-2022）表1中排放限值；厂界NMHC、颗粒物无组织废气排放执行《大气污染物综合排放标准》（DB32/4041-2021）表3中排放限值，厂区内NMHC排放执行</w:t>
                  </w:r>
                  <w:r>
                    <w:rPr>
                      <w:color w:val="auto"/>
                      <w:kern w:val="0"/>
                      <w:szCs w:val="21"/>
                    </w:rPr>
                    <w:t>《</w:t>
                  </w:r>
                  <w:r>
                    <w:rPr>
                      <w:rFonts w:hint="eastAsia"/>
                      <w:color w:val="auto"/>
                      <w:kern w:val="0"/>
                      <w:szCs w:val="21"/>
                    </w:rPr>
                    <w:t>工业涂装工序大气污染物</w:t>
                  </w:r>
                  <w:r>
                    <w:rPr>
                      <w:color w:val="auto"/>
                      <w:kern w:val="0"/>
                      <w:szCs w:val="21"/>
                    </w:rPr>
                    <w:t>排放标准》（</w:t>
                  </w:r>
                  <w:r>
                    <w:rPr>
                      <w:rFonts w:hint="eastAsia"/>
                      <w:color w:val="auto"/>
                      <w:kern w:val="0"/>
                      <w:szCs w:val="21"/>
                    </w:rPr>
                    <w:t>D</w:t>
                  </w:r>
                  <w:r>
                    <w:rPr>
                      <w:color w:val="auto"/>
                      <w:kern w:val="0"/>
                      <w:szCs w:val="21"/>
                    </w:rPr>
                    <w:t>B</w:t>
                  </w:r>
                  <w:r>
                    <w:rPr>
                      <w:rFonts w:hint="eastAsia"/>
                      <w:color w:val="auto"/>
                      <w:kern w:val="0"/>
                      <w:szCs w:val="21"/>
                    </w:rPr>
                    <w:t>32/4439-2022</w:t>
                  </w:r>
                  <w:r>
                    <w:rPr>
                      <w:color w:val="auto"/>
                      <w:kern w:val="0"/>
                      <w:szCs w:val="21"/>
                    </w:rPr>
                    <w:t>）</w:t>
                  </w:r>
                  <w:r>
                    <w:rPr>
                      <w:rFonts w:hint="eastAsia"/>
                      <w:color w:val="auto"/>
                      <w:kern w:val="0"/>
                      <w:szCs w:val="21"/>
                    </w:rPr>
                    <w:t>表3中排放限值</w:t>
                  </w:r>
                  <w:r>
                    <w:rPr>
                      <w:rFonts w:hint="eastAsia"/>
                      <w:color w:val="auto"/>
                      <w:szCs w:val="21"/>
                    </w:rPr>
                    <w:t>；</w:t>
                  </w:r>
                  <w:r>
                    <w:rPr>
                      <w:rFonts w:hint="eastAsia"/>
                      <w:color w:val="auto"/>
                      <w:szCs w:val="21"/>
                      <w:lang w:bidi="ar"/>
                    </w:rPr>
                    <w:t>本项目水污染物排放量纳入</w:t>
                  </w:r>
                  <w:r>
                    <w:rPr>
                      <w:rFonts w:hint="eastAsia"/>
                      <w:color w:val="auto"/>
                      <w:kern w:val="0"/>
                      <w:szCs w:val="21"/>
                    </w:rPr>
                    <w:t>涟水经济开发区西区污水处理厂排污范围内。</w:t>
                  </w:r>
                </w:p>
              </w:tc>
              <w:tc>
                <w:tcPr>
                  <w:tcW w:w="337" w:type="pct"/>
                  <w:vAlign w:val="center"/>
                </w:tcPr>
                <w:p w14:paraId="4F55787C">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符合</w:t>
                  </w:r>
                </w:p>
              </w:tc>
            </w:tr>
            <w:tr w14:paraId="21FA409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48" w:type="pct"/>
                  <w:vAlign w:val="center"/>
                </w:tcPr>
                <w:p w14:paraId="262EF799">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环境风险防控</w:t>
                  </w:r>
                </w:p>
              </w:tc>
              <w:tc>
                <w:tcPr>
                  <w:tcW w:w="2750" w:type="pct"/>
                  <w:vAlign w:val="center"/>
                </w:tcPr>
                <w:p w14:paraId="537BA7DF">
                  <w:pPr>
                    <w:keepNext w:val="0"/>
                    <w:keepLines w:val="0"/>
                    <w:pageBreakBefore w:val="0"/>
                    <w:widowControl w:val="0"/>
                    <w:kinsoku/>
                    <w:wordWrap/>
                    <w:overflowPunct/>
                    <w:topLinePunct w:val="0"/>
                    <w:autoSpaceDE/>
                    <w:autoSpaceDN/>
                    <w:bidi w:val="0"/>
                    <w:adjustRightInd w:val="0"/>
                    <w:snapToGrid w:val="0"/>
                    <w:ind w:firstLine="0"/>
                    <w:textAlignment w:val="auto"/>
                    <w:rPr>
                      <w:bCs/>
                      <w:color w:val="auto"/>
                      <w:szCs w:val="21"/>
                    </w:rPr>
                  </w:pPr>
                  <w:r>
                    <w:rPr>
                      <w:rFonts w:hint="eastAsia"/>
                      <w:bCs/>
                      <w:color w:val="auto"/>
                      <w:szCs w:val="21"/>
                    </w:rPr>
                    <w:t>根据《中共淮安市委淮安市人民政府关于全面加强生态环境保护坚决打好污染防治攻坚战的实施意见》（淮发〔2018〕33号），严格控制环境风险项目，整合和提升现有工业集聚区，加快城市建成区内石化、化工、水泥、钢铁等重污染企业和危险化学品企业搬迁改造。</w:t>
                  </w:r>
                </w:p>
                <w:p w14:paraId="5CF6A939">
                  <w:pPr>
                    <w:keepNext w:val="0"/>
                    <w:keepLines w:val="0"/>
                    <w:pageBreakBefore w:val="0"/>
                    <w:widowControl w:val="0"/>
                    <w:kinsoku/>
                    <w:wordWrap/>
                    <w:overflowPunct/>
                    <w:topLinePunct w:val="0"/>
                    <w:autoSpaceDE/>
                    <w:autoSpaceDN/>
                    <w:bidi w:val="0"/>
                    <w:adjustRightInd w:val="0"/>
                    <w:snapToGrid w:val="0"/>
                    <w:ind w:firstLine="0"/>
                    <w:textAlignment w:val="auto"/>
                    <w:rPr>
                      <w:bCs/>
                      <w:color w:val="auto"/>
                      <w:szCs w:val="21"/>
                    </w:rPr>
                  </w:pPr>
                  <w:r>
                    <w:rPr>
                      <w:rFonts w:hint="eastAsia"/>
                      <w:bCs/>
                      <w:color w:val="auto"/>
                      <w:szCs w:val="21"/>
                    </w:rPr>
                    <w:t>根据《淮安市突发环境事件应急预案》（淮政复〔2020〕67号）、《淮安市集中式饮用水源突发污染事件应急预案》（淮污防攻坚指办〔2020〕58号）、《淮安市辐射事故应急预案》《淮安市重污染天气应急预案》（淮政复</w:t>
                  </w:r>
                  <w:r>
                    <w:rPr>
                      <w:rFonts w:hint="eastAsia"/>
                      <w:bCs/>
                      <w:color w:val="auto"/>
                      <w:szCs w:val="21"/>
                      <w:lang w:eastAsia="zh-CN"/>
                    </w:rPr>
                    <w:t>〔2021〕24号</w:t>
                  </w:r>
                  <w:r>
                    <w:rPr>
                      <w:rFonts w:hint="eastAsia"/>
                      <w:bCs/>
                      <w:color w:val="auto"/>
                      <w:szCs w:val="21"/>
                    </w:rPr>
                    <w:t>）、《中共江苏省委江苏省人民政府关于深入打好污染防治攻坚战的实施意见》（2022年1月24日）等文件进行调整。</w:t>
                  </w:r>
                </w:p>
              </w:tc>
              <w:tc>
                <w:tcPr>
                  <w:tcW w:w="1563" w:type="pct"/>
                  <w:vAlign w:val="center"/>
                </w:tcPr>
                <w:p w14:paraId="1703540F">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本项目</w:t>
                  </w:r>
                  <w:r>
                    <w:rPr>
                      <w:rFonts w:hint="eastAsia"/>
                      <w:color w:val="auto"/>
                      <w:szCs w:val="21"/>
                    </w:rPr>
                    <w:t>为电机、变频器生产项目</w:t>
                  </w:r>
                  <w:r>
                    <w:rPr>
                      <w:color w:val="auto"/>
                      <w:szCs w:val="21"/>
                    </w:rPr>
                    <w:t>，</w:t>
                  </w:r>
                  <w:r>
                    <w:rPr>
                      <w:rFonts w:hint="eastAsia"/>
                      <w:color w:val="auto"/>
                      <w:szCs w:val="21"/>
                    </w:rPr>
                    <w:t>位于江苏涟水经济开发区涟古路北侧、兴隆路西侧，</w:t>
                  </w:r>
                  <w:r>
                    <w:rPr>
                      <w:color w:val="auto"/>
                      <w:szCs w:val="21"/>
                    </w:rPr>
                    <w:t>不属于石化、化工、水泥、钢铁等重污染企业和危险化学品企业。</w:t>
                  </w:r>
                </w:p>
              </w:tc>
              <w:tc>
                <w:tcPr>
                  <w:tcW w:w="337" w:type="pct"/>
                  <w:vAlign w:val="center"/>
                </w:tcPr>
                <w:p w14:paraId="61C5A8B2">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符合</w:t>
                  </w:r>
                </w:p>
              </w:tc>
            </w:tr>
            <w:tr w14:paraId="2AE0F76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48" w:type="pct"/>
                  <w:vAlign w:val="center"/>
                </w:tcPr>
                <w:p w14:paraId="7E455BDF">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资源利用效率要求</w:t>
                  </w:r>
                </w:p>
              </w:tc>
              <w:tc>
                <w:tcPr>
                  <w:tcW w:w="2750" w:type="pct"/>
                  <w:vAlign w:val="center"/>
                </w:tcPr>
                <w:p w14:paraId="2C1027BC">
                  <w:pPr>
                    <w:keepNext w:val="0"/>
                    <w:keepLines w:val="0"/>
                    <w:pageBreakBefore w:val="0"/>
                    <w:widowControl w:val="0"/>
                    <w:kinsoku/>
                    <w:wordWrap/>
                    <w:overflowPunct/>
                    <w:topLinePunct w:val="0"/>
                    <w:autoSpaceDE/>
                    <w:autoSpaceDN/>
                    <w:bidi w:val="0"/>
                    <w:adjustRightInd w:val="0"/>
                    <w:snapToGrid w:val="0"/>
                    <w:ind w:firstLine="0"/>
                    <w:textAlignment w:val="auto"/>
                    <w:rPr>
                      <w:bCs/>
                      <w:color w:val="auto"/>
                      <w:szCs w:val="21"/>
                    </w:rPr>
                  </w:pPr>
                  <w:r>
                    <w:rPr>
                      <w:rFonts w:hint="eastAsia"/>
                      <w:bCs/>
                      <w:color w:val="auto"/>
                      <w:szCs w:val="21"/>
                    </w:rPr>
                    <w:t>能耗要求：根据《淮安市打赢蓝天保卫战三年行动计划实施方案》（淮政发〔2018〕113号），新建高耗能项目单位产品（产值）能耗要达到国际先进水平。</w:t>
                  </w:r>
                </w:p>
                <w:p w14:paraId="3FCE4386">
                  <w:pPr>
                    <w:keepNext w:val="0"/>
                    <w:keepLines w:val="0"/>
                    <w:pageBreakBefore w:val="0"/>
                    <w:widowControl w:val="0"/>
                    <w:kinsoku/>
                    <w:wordWrap/>
                    <w:overflowPunct/>
                    <w:topLinePunct w:val="0"/>
                    <w:autoSpaceDE/>
                    <w:autoSpaceDN/>
                    <w:bidi w:val="0"/>
                    <w:adjustRightInd w:val="0"/>
                    <w:snapToGrid w:val="0"/>
                    <w:ind w:firstLine="0"/>
                    <w:textAlignment w:val="auto"/>
                    <w:rPr>
                      <w:bCs/>
                      <w:color w:val="auto"/>
                      <w:szCs w:val="21"/>
                    </w:rPr>
                  </w:pPr>
                  <w:r>
                    <w:rPr>
                      <w:rFonts w:hint="eastAsia"/>
                      <w:bCs/>
                      <w:color w:val="auto"/>
                      <w:szCs w:val="21"/>
                    </w:rPr>
                    <w:t>根据《江苏省水利厅江苏省发改委关于印发十四五”用水总量和强度控制目标的通知》（苏水节〔2022〕6号）、《市水利局市发展和改革委员会关于下达“十四五”用水总量和强度控制目标的通知》（淮水资〔2022〕4号）、《淮安市国土空间总体规划（2021</w:t>
                  </w:r>
                  <w:r>
                    <w:rPr>
                      <w:rFonts w:hint="eastAsia"/>
                      <w:bCs/>
                      <w:color w:val="auto"/>
                      <w:szCs w:val="21"/>
                      <w:lang w:eastAsia="zh-CN"/>
                    </w:rPr>
                    <w:t>—</w:t>
                  </w:r>
                  <w:r>
                    <w:rPr>
                      <w:rFonts w:hint="eastAsia"/>
                      <w:bCs/>
                      <w:color w:val="auto"/>
                      <w:szCs w:val="21"/>
                    </w:rPr>
                    <w:t>2035年）</w:t>
                  </w:r>
                  <w:r>
                    <w:rPr>
                      <w:rFonts w:hint="eastAsia"/>
                      <w:bCs/>
                      <w:color w:val="auto"/>
                      <w:szCs w:val="21"/>
                      <w:lang w:eastAsia="zh-CN"/>
                    </w:rPr>
                    <w:t>》《</w:t>
                  </w:r>
                  <w:r>
                    <w:rPr>
                      <w:rFonts w:hint="eastAsia"/>
                      <w:bCs/>
                      <w:color w:val="auto"/>
                      <w:szCs w:val="21"/>
                    </w:rPr>
                    <w:t>中共江苏省委江苏省人民政府关于深入打好污染防治攻坚战的实施意见》（2022年1月24日）等文件进行调整。</w:t>
                  </w:r>
                </w:p>
              </w:tc>
              <w:tc>
                <w:tcPr>
                  <w:tcW w:w="1563" w:type="pct"/>
                  <w:vAlign w:val="center"/>
                </w:tcPr>
                <w:p w14:paraId="26F94002">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kern w:val="0"/>
                      <w:szCs w:val="21"/>
                    </w:rPr>
                    <w:t>本项目使用电等清洁能源，不属于高能耗建设项目</w:t>
                  </w:r>
                  <w:r>
                    <w:rPr>
                      <w:color w:val="auto"/>
                      <w:szCs w:val="21"/>
                    </w:rPr>
                    <w:t>。</w:t>
                  </w:r>
                </w:p>
              </w:tc>
              <w:tc>
                <w:tcPr>
                  <w:tcW w:w="337" w:type="pct"/>
                  <w:vAlign w:val="center"/>
                </w:tcPr>
                <w:p w14:paraId="3B1C37D3">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符合</w:t>
                  </w:r>
                </w:p>
              </w:tc>
            </w:tr>
          </w:tbl>
          <w:p w14:paraId="32F640EE">
            <w:pPr>
              <w:adjustRightInd w:val="0"/>
              <w:snapToGrid w:val="0"/>
              <w:spacing w:before="120" w:beforeLines="50" w:line="360" w:lineRule="auto"/>
              <w:ind w:firstLine="480" w:firstLineChars="200"/>
              <w:rPr>
                <w:color w:val="auto"/>
                <w:sz w:val="24"/>
              </w:rPr>
            </w:pPr>
            <w:r>
              <w:rPr>
                <w:color w:val="auto"/>
                <w:sz w:val="24"/>
              </w:rPr>
              <w:t>经分析，项目与《关于印发淮安市</w:t>
            </w:r>
            <w:r>
              <w:rPr>
                <w:rFonts w:hint="eastAsia"/>
                <w:color w:val="auto"/>
                <w:sz w:val="24"/>
              </w:rPr>
              <w:t>“</w:t>
            </w:r>
            <w:r>
              <w:rPr>
                <w:color w:val="auto"/>
                <w:sz w:val="24"/>
              </w:rPr>
              <w:t>三线一单</w:t>
            </w:r>
            <w:r>
              <w:rPr>
                <w:rFonts w:hint="eastAsia"/>
                <w:color w:val="auto"/>
                <w:sz w:val="24"/>
              </w:rPr>
              <w:t>”</w:t>
            </w:r>
            <w:r>
              <w:rPr>
                <w:color w:val="auto"/>
                <w:sz w:val="24"/>
              </w:rPr>
              <w:t>生态环境分区管控方案的通知》（淮政发〔2020〕16号）</w:t>
            </w:r>
            <w:r>
              <w:rPr>
                <w:rFonts w:hint="eastAsia"/>
                <w:color w:val="auto"/>
                <w:sz w:val="24"/>
              </w:rPr>
              <w:t>及其修改单（淮政办函〔2022〕5号）</w:t>
            </w:r>
            <w:r>
              <w:rPr>
                <w:color w:val="auto"/>
                <w:sz w:val="24"/>
              </w:rPr>
              <w:t>相符。</w:t>
            </w:r>
          </w:p>
          <w:p w14:paraId="5EEACF64">
            <w:pPr>
              <w:adjustRightInd w:val="0"/>
              <w:snapToGrid w:val="0"/>
              <w:spacing w:line="360" w:lineRule="auto"/>
              <w:ind w:firstLine="480" w:firstLineChars="200"/>
              <w:rPr>
                <w:bCs/>
                <w:color w:val="auto"/>
                <w:sz w:val="24"/>
              </w:rPr>
            </w:pPr>
            <w:r>
              <w:rPr>
                <w:bCs/>
                <w:color w:val="auto"/>
                <w:sz w:val="24"/>
              </w:rPr>
              <w:t>（</w:t>
            </w:r>
            <w:r>
              <w:rPr>
                <w:rFonts w:hint="eastAsia"/>
                <w:bCs/>
                <w:color w:val="auto"/>
                <w:sz w:val="24"/>
              </w:rPr>
              <w:t>5</w:t>
            </w:r>
            <w:r>
              <w:rPr>
                <w:bCs/>
                <w:color w:val="auto"/>
                <w:sz w:val="24"/>
              </w:rPr>
              <w:t>）</w:t>
            </w:r>
            <w:r>
              <w:rPr>
                <w:rFonts w:hint="eastAsia"/>
                <w:bCs/>
                <w:color w:val="auto"/>
                <w:sz w:val="24"/>
              </w:rPr>
              <w:t>本</w:t>
            </w:r>
            <w:r>
              <w:rPr>
                <w:bCs/>
                <w:color w:val="auto"/>
                <w:sz w:val="24"/>
              </w:rPr>
              <w:t>项目与《关于印发</w:t>
            </w:r>
            <w:r>
              <w:rPr>
                <w:rFonts w:hint="eastAsia"/>
                <w:bCs/>
                <w:color w:val="auto"/>
                <w:sz w:val="24"/>
                <w:lang w:eastAsia="zh-CN"/>
              </w:rPr>
              <w:t>〈</w:t>
            </w:r>
            <w:r>
              <w:rPr>
                <w:bCs/>
                <w:color w:val="auto"/>
                <w:sz w:val="24"/>
              </w:rPr>
              <w:t>淮安市环境管控单元生态环境准入清单</w:t>
            </w:r>
            <w:r>
              <w:rPr>
                <w:rFonts w:hint="eastAsia"/>
                <w:bCs/>
                <w:color w:val="auto"/>
                <w:sz w:val="24"/>
                <w:lang w:eastAsia="zh-CN"/>
              </w:rPr>
              <w:t>〉</w:t>
            </w:r>
            <w:r>
              <w:rPr>
                <w:bCs/>
                <w:color w:val="auto"/>
                <w:sz w:val="24"/>
              </w:rPr>
              <w:t>的通知》（淮环发〔2020〕264号）相符性分析</w:t>
            </w:r>
          </w:p>
          <w:p w14:paraId="4236856E">
            <w:pPr>
              <w:adjustRightInd w:val="0"/>
              <w:snapToGrid w:val="0"/>
              <w:spacing w:line="360" w:lineRule="auto"/>
              <w:ind w:firstLine="480" w:firstLineChars="200"/>
              <w:rPr>
                <w:b/>
                <w:bCs/>
                <w:color w:val="auto"/>
                <w:sz w:val="24"/>
              </w:rPr>
            </w:pPr>
            <w:r>
              <w:rPr>
                <w:color w:val="auto"/>
                <w:sz w:val="24"/>
              </w:rPr>
              <w:t>对照《关于印发</w:t>
            </w:r>
            <w:r>
              <w:rPr>
                <w:rFonts w:hint="eastAsia"/>
                <w:color w:val="auto"/>
                <w:sz w:val="24"/>
                <w:lang w:eastAsia="zh-CN"/>
              </w:rPr>
              <w:t>〈</w:t>
            </w:r>
            <w:r>
              <w:rPr>
                <w:color w:val="auto"/>
                <w:sz w:val="24"/>
              </w:rPr>
              <w:t>淮安市环境管控单元生态环境准入清单</w:t>
            </w:r>
            <w:r>
              <w:rPr>
                <w:rFonts w:hint="eastAsia"/>
                <w:color w:val="auto"/>
                <w:sz w:val="24"/>
                <w:lang w:eastAsia="zh-CN"/>
              </w:rPr>
              <w:t>〉</w:t>
            </w:r>
            <w:r>
              <w:rPr>
                <w:color w:val="auto"/>
                <w:sz w:val="24"/>
              </w:rPr>
              <w:t>的通知》（淮环发〔2020〕264号），项目位于</w:t>
            </w:r>
            <w:r>
              <w:rPr>
                <w:rFonts w:hint="eastAsia"/>
                <w:color w:val="auto"/>
                <w:sz w:val="24"/>
              </w:rPr>
              <w:t>涟水新港电子产业科技园</w:t>
            </w:r>
            <w:r>
              <w:rPr>
                <w:color w:val="auto"/>
                <w:sz w:val="24"/>
              </w:rPr>
              <w:t>，属于</w:t>
            </w:r>
            <w:r>
              <w:rPr>
                <w:rFonts w:hint="eastAsia"/>
                <w:color w:val="auto"/>
                <w:sz w:val="24"/>
              </w:rPr>
              <w:t>重点</w:t>
            </w:r>
            <w:r>
              <w:rPr>
                <w:color w:val="auto"/>
                <w:sz w:val="24"/>
              </w:rPr>
              <w:t>管控单元，相符性分析见1-</w:t>
            </w:r>
            <w:r>
              <w:rPr>
                <w:rFonts w:hint="eastAsia"/>
                <w:color w:val="auto"/>
                <w:sz w:val="24"/>
              </w:rPr>
              <w:t>8</w:t>
            </w:r>
            <w:r>
              <w:rPr>
                <w:color w:val="auto"/>
                <w:sz w:val="24"/>
              </w:rPr>
              <w:t>。</w:t>
            </w:r>
          </w:p>
          <w:p w14:paraId="5E208A9E">
            <w:pPr>
              <w:adjustRightInd w:val="0"/>
              <w:snapToGrid w:val="0"/>
              <w:ind w:firstLine="482"/>
              <w:jc w:val="center"/>
              <w:rPr>
                <w:b/>
                <w:bCs/>
                <w:color w:val="auto"/>
                <w:sz w:val="24"/>
              </w:rPr>
            </w:pPr>
            <w:r>
              <w:rPr>
                <w:b/>
                <w:bCs/>
                <w:color w:val="auto"/>
                <w:sz w:val="24"/>
              </w:rPr>
              <w:t>表1-</w:t>
            </w:r>
            <w:r>
              <w:rPr>
                <w:rFonts w:hint="eastAsia"/>
                <w:b/>
                <w:bCs/>
                <w:color w:val="auto"/>
                <w:sz w:val="24"/>
              </w:rPr>
              <w:t xml:space="preserve">8 </w:t>
            </w:r>
            <w:r>
              <w:rPr>
                <w:b/>
                <w:bCs/>
                <w:color w:val="auto"/>
                <w:sz w:val="24"/>
              </w:rPr>
              <w:t>项目</w:t>
            </w:r>
            <w:r>
              <w:rPr>
                <w:b/>
                <w:bCs/>
                <w:snapToGrid w:val="0"/>
                <w:color w:val="auto"/>
                <w:kern w:val="0"/>
                <w:sz w:val="24"/>
              </w:rPr>
              <w:t>与《</w:t>
            </w:r>
            <w:r>
              <w:rPr>
                <w:b/>
                <w:bCs/>
                <w:color w:val="auto"/>
                <w:sz w:val="24"/>
              </w:rPr>
              <w:t>淮安市环境管控单元生态环境准入清单》（淮环发〔2020〕264号）相符性分析</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566"/>
              <w:gridCol w:w="4592"/>
              <w:gridCol w:w="1939"/>
              <w:gridCol w:w="735"/>
            </w:tblGrid>
            <w:tr w14:paraId="7B7B2D4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61" w:type="pct"/>
                  <w:vAlign w:val="center"/>
                </w:tcPr>
                <w:p w14:paraId="78C87313">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类型</w:t>
                  </w:r>
                </w:p>
              </w:tc>
              <w:tc>
                <w:tcPr>
                  <w:tcW w:w="2931" w:type="pct"/>
                  <w:vAlign w:val="center"/>
                </w:tcPr>
                <w:p w14:paraId="1F33790B">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重点管控要求</w:t>
                  </w:r>
                </w:p>
              </w:tc>
              <w:tc>
                <w:tcPr>
                  <w:tcW w:w="1237" w:type="pct"/>
                  <w:vAlign w:val="center"/>
                </w:tcPr>
                <w:p w14:paraId="59FB3AB1">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建设项目情况</w:t>
                  </w:r>
                </w:p>
              </w:tc>
              <w:tc>
                <w:tcPr>
                  <w:tcW w:w="469" w:type="pct"/>
                  <w:vAlign w:val="center"/>
                </w:tcPr>
                <w:p w14:paraId="47FBAD63">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相符性分析</w:t>
                  </w:r>
                </w:p>
              </w:tc>
            </w:tr>
            <w:tr w14:paraId="3045491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61" w:type="pct"/>
                  <w:vAlign w:val="center"/>
                </w:tcPr>
                <w:p w14:paraId="3F0F273B">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空间布局约束</w:t>
                  </w:r>
                </w:p>
              </w:tc>
              <w:tc>
                <w:tcPr>
                  <w:tcW w:w="2931" w:type="pct"/>
                  <w:vAlign w:val="center"/>
                </w:tcPr>
                <w:p w14:paraId="2A0EFFE0">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color w:val="auto"/>
                      <w:szCs w:val="21"/>
                    </w:rPr>
                  </w:pPr>
                  <w:r>
                    <w:rPr>
                      <w:rFonts w:hint="eastAsia"/>
                      <w:color w:val="auto"/>
                      <w:szCs w:val="21"/>
                      <w:lang w:eastAsia="zh-CN"/>
                    </w:rPr>
                    <w:t>（</w:t>
                  </w:r>
                  <w:r>
                    <w:rPr>
                      <w:rFonts w:hint="eastAsia"/>
                      <w:color w:val="auto"/>
                      <w:szCs w:val="21"/>
                    </w:rPr>
                    <w:t>1</w:t>
                  </w:r>
                  <w:r>
                    <w:rPr>
                      <w:rFonts w:hint="eastAsia"/>
                      <w:color w:val="auto"/>
                      <w:szCs w:val="21"/>
                      <w:lang w:eastAsia="zh-CN"/>
                    </w:rPr>
                    <w:t>）</w:t>
                  </w:r>
                  <w:r>
                    <w:rPr>
                      <w:rFonts w:hint="eastAsia"/>
                      <w:color w:val="auto"/>
                      <w:szCs w:val="21"/>
                    </w:rPr>
                    <w:t>优先发展</w:t>
                  </w:r>
                  <w:r>
                    <w:rPr>
                      <w:rFonts w:hint="eastAsia"/>
                      <w:color w:val="auto"/>
                      <w:szCs w:val="21"/>
                      <w:lang w:eastAsia="zh-CN"/>
                    </w:rPr>
                    <w:t>：</w:t>
                  </w:r>
                  <w:r>
                    <w:rPr>
                      <w:rFonts w:hint="eastAsia"/>
                      <w:color w:val="auto"/>
                      <w:szCs w:val="21"/>
                    </w:rPr>
                    <w:t>东区主要发展机电轻纺</w:t>
                  </w:r>
                  <w:r>
                    <w:rPr>
                      <w:rFonts w:hint="eastAsia"/>
                      <w:color w:val="auto"/>
                      <w:szCs w:val="21"/>
                      <w:lang w:eastAsia="zh-CN"/>
                    </w:rPr>
                    <w:t>（</w:t>
                  </w:r>
                  <w:r>
                    <w:rPr>
                      <w:rFonts w:hint="eastAsia"/>
                      <w:color w:val="auto"/>
                      <w:szCs w:val="21"/>
                    </w:rPr>
                    <w:t>不含表面处理、电镀、印染</w:t>
                  </w:r>
                  <w:r>
                    <w:rPr>
                      <w:rFonts w:hint="eastAsia"/>
                      <w:color w:val="auto"/>
                      <w:szCs w:val="21"/>
                      <w:lang w:eastAsia="zh-CN"/>
                    </w:rPr>
                    <w:t>）；</w:t>
                  </w:r>
                  <w:r>
                    <w:rPr>
                      <w:rFonts w:hint="eastAsia"/>
                      <w:color w:val="auto"/>
                      <w:szCs w:val="21"/>
                    </w:rPr>
                    <w:t>西区主要发展食品</w:t>
                  </w:r>
                  <w:r>
                    <w:rPr>
                      <w:rFonts w:hint="eastAsia"/>
                      <w:color w:val="auto"/>
                      <w:szCs w:val="21"/>
                      <w:lang w:eastAsia="zh-CN"/>
                    </w:rPr>
                    <w:t>（</w:t>
                  </w:r>
                  <w:r>
                    <w:rPr>
                      <w:rFonts w:hint="eastAsia"/>
                      <w:color w:val="auto"/>
                      <w:szCs w:val="21"/>
                    </w:rPr>
                    <w:t>仅限于食品加工、饮料制造，不得引进排放含大量</w:t>
                  </w:r>
                  <w:r>
                    <w:rPr>
                      <w:rFonts w:hint="eastAsia"/>
                      <w:color w:val="auto"/>
                      <w:szCs w:val="21"/>
                      <w:lang w:eastAsia="zh-CN"/>
                    </w:rPr>
                    <w:t>油脂的</w:t>
                  </w:r>
                  <w:r>
                    <w:rPr>
                      <w:rFonts w:hint="eastAsia"/>
                      <w:color w:val="auto"/>
                      <w:szCs w:val="21"/>
                    </w:rPr>
                    <w:t>污水项目</w:t>
                  </w:r>
                  <w:r>
                    <w:rPr>
                      <w:rFonts w:hint="eastAsia"/>
                      <w:color w:val="auto"/>
                      <w:szCs w:val="21"/>
                      <w:lang w:eastAsia="zh-CN"/>
                    </w:rPr>
                    <w:t>）</w:t>
                  </w:r>
                  <w:r>
                    <w:rPr>
                      <w:rFonts w:hint="eastAsia"/>
                      <w:color w:val="auto"/>
                      <w:szCs w:val="21"/>
                    </w:rPr>
                    <w:t>、医药</w:t>
                  </w:r>
                  <w:r>
                    <w:rPr>
                      <w:rFonts w:hint="eastAsia"/>
                      <w:color w:val="auto"/>
                      <w:szCs w:val="21"/>
                      <w:lang w:eastAsia="zh-CN"/>
                    </w:rPr>
                    <w:t>（</w:t>
                  </w:r>
                  <w:r>
                    <w:rPr>
                      <w:rFonts w:hint="eastAsia"/>
                      <w:color w:val="auto"/>
                      <w:szCs w:val="21"/>
                    </w:rPr>
                    <w:t>仅限于复配、包装，不得引进医药中间体、原药生产等项目</w:t>
                  </w:r>
                  <w:r>
                    <w:rPr>
                      <w:rFonts w:hint="eastAsia"/>
                      <w:color w:val="auto"/>
                      <w:szCs w:val="21"/>
                      <w:lang w:eastAsia="zh-CN"/>
                    </w:rPr>
                    <w:t>）</w:t>
                  </w:r>
                  <w:r>
                    <w:rPr>
                      <w:rFonts w:hint="eastAsia"/>
                      <w:color w:val="auto"/>
                      <w:szCs w:val="21"/>
                    </w:rPr>
                    <w:t>、机械制造</w:t>
                  </w:r>
                  <w:r>
                    <w:rPr>
                      <w:rFonts w:hint="eastAsia"/>
                      <w:color w:val="auto"/>
                      <w:szCs w:val="21"/>
                      <w:lang w:eastAsia="zh-CN"/>
                    </w:rPr>
                    <w:t>（</w:t>
                  </w:r>
                  <w:r>
                    <w:rPr>
                      <w:rFonts w:hint="eastAsia"/>
                      <w:color w:val="auto"/>
                      <w:szCs w:val="21"/>
                    </w:rPr>
                    <w:t>不含电镀</w:t>
                  </w:r>
                  <w:r>
                    <w:rPr>
                      <w:rFonts w:hint="eastAsia"/>
                      <w:color w:val="auto"/>
                      <w:szCs w:val="21"/>
                      <w:lang w:eastAsia="zh-CN"/>
                    </w:rPr>
                    <w:t>）</w:t>
                  </w:r>
                  <w:r>
                    <w:rPr>
                      <w:rFonts w:hint="eastAsia"/>
                      <w:color w:val="auto"/>
                      <w:szCs w:val="21"/>
                    </w:rPr>
                    <w:t>、新型建材</w:t>
                  </w:r>
                  <w:r>
                    <w:rPr>
                      <w:rFonts w:hint="eastAsia"/>
                      <w:color w:val="auto"/>
                      <w:szCs w:val="21"/>
                      <w:lang w:eastAsia="zh-CN"/>
                    </w:rPr>
                    <w:t>（</w:t>
                  </w:r>
                  <w:r>
                    <w:rPr>
                      <w:rFonts w:hint="eastAsia"/>
                      <w:color w:val="auto"/>
                      <w:szCs w:val="21"/>
                    </w:rPr>
                    <w:t>不含水泥</w:t>
                  </w:r>
                  <w:r>
                    <w:rPr>
                      <w:rFonts w:hint="eastAsia"/>
                      <w:color w:val="auto"/>
                      <w:szCs w:val="21"/>
                      <w:lang w:eastAsia="zh-CN"/>
                    </w:rPr>
                    <w:t>）</w:t>
                  </w:r>
                  <w:r>
                    <w:rPr>
                      <w:rFonts w:hint="eastAsia"/>
                      <w:color w:val="auto"/>
                      <w:szCs w:val="21"/>
                    </w:rPr>
                    <w:t>、高新电子</w:t>
                  </w:r>
                  <w:r>
                    <w:rPr>
                      <w:rFonts w:hint="eastAsia"/>
                      <w:color w:val="auto"/>
                      <w:szCs w:val="21"/>
                      <w:lang w:eastAsia="zh-CN"/>
                    </w:rPr>
                    <w:t>（</w:t>
                  </w:r>
                  <w:r>
                    <w:rPr>
                      <w:rFonts w:hint="eastAsia"/>
                      <w:color w:val="auto"/>
                      <w:szCs w:val="21"/>
                    </w:rPr>
                    <w:t>不含电镀</w:t>
                  </w:r>
                  <w:r>
                    <w:rPr>
                      <w:rFonts w:hint="eastAsia"/>
                      <w:color w:val="auto"/>
                      <w:szCs w:val="21"/>
                      <w:lang w:eastAsia="zh-CN"/>
                    </w:rPr>
                    <w:t>）</w:t>
                  </w:r>
                  <w:r>
                    <w:rPr>
                      <w:rFonts w:hint="eastAsia"/>
                      <w:color w:val="auto"/>
                      <w:szCs w:val="21"/>
                    </w:rPr>
                    <w:t>、</w:t>
                  </w:r>
                  <w:r>
                    <w:rPr>
                      <w:rFonts w:hint="eastAsia"/>
                      <w:color w:val="auto"/>
                      <w:szCs w:val="21"/>
                      <w:lang w:eastAsia="zh-CN"/>
                    </w:rPr>
                    <w:t>特种</w:t>
                  </w:r>
                  <w:r>
                    <w:rPr>
                      <w:rFonts w:hint="eastAsia"/>
                      <w:color w:val="auto"/>
                      <w:szCs w:val="21"/>
                    </w:rPr>
                    <w:t>化纤</w:t>
                  </w:r>
                  <w:r>
                    <w:rPr>
                      <w:rFonts w:hint="eastAsia"/>
                      <w:color w:val="auto"/>
                      <w:szCs w:val="21"/>
                      <w:lang w:eastAsia="zh-CN"/>
                    </w:rPr>
                    <w:t>（</w:t>
                  </w:r>
                  <w:r>
                    <w:rPr>
                      <w:rFonts w:hint="eastAsia"/>
                      <w:color w:val="auto"/>
                      <w:szCs w:val="21"/>
                    </w:rPr>
                    <w:t>不含化纤原料生产，仅发展工程用特种纺织品</w:t>
                  </w:r>
                  <w:r>
                    <w:rPr>
                      <w:rFonts w:hint="eastAsia"/>
                      <w:color w:val="auto"/>
                      <w:szCs w:val="21"/>
                      <w:lang w:eastAsia="zh-CN"/>
                    </w:rPr>
                    <w:t>）</w:t>
                  </w:r>
                  <w:r>
                    <w:rPr>
                      <w:rFonts w:hint="eastAsia"/>
                      <w:color w:val="auto"/>
                      <w:szCs w:val="21"/>
                    </w:rPr>
                    <w:t>、纺织印染</w:t>
                  </w:r>
                  <w:r>
                    <w:rPr>
                      <w:rFonts w:hint="eastAsia"/>
                      <w:color w:val="auto"/>
                      <w:szCs w:val="21"/>
                      <w:lang w:eastAsia="zh-CN"/>
                    </w:rPr>
                    <w:t>（</w:t>
                  </w:r>
                  <w:r>
                    <w:rPr>
                      <w:rFonts w:hint="eastAsia"/>
                      <w:color w:val="auto"/>
                      <w:szCs w:val="21"/>
                    </w:rPr>
                    <w:t>仅限清洁生产符合一级标准要求的大中型项目，且该行业废水排放量不得突破6000吨/日</w:t>
                  </w:r>
                  <w:r>
                    <w:rPr>
                      <w:rFonts w:hint="eastAsia"/>
                      <w:color w:val="auto"/>
                      <w:szCs w:val="21"/>
                      <w:lang w:eastAsia="zh-CN"/>
                    </w:rPr>
                    <w:t>）</w:t>
                  </w:r>
                  <w:r>
                    <w:rPr>
                      <w:rFonts w:hint="eastAsia"/>
                      <w:color w:val="auto"/>
                      <w:szCs w:val="21"/>
                    </w:rPr>
                    <w:t>。新港电子产业园主导产业为PCB制造业以及与PCB相关的上下游产业</w:t>
                  </w:r>
                  <w:r>
                    <w:rPr>
                      <w:rFonts w:hint="eastAsia"/>
                      <w:color w:val="auto"/>
                      <w:szCs w:val="21"/>
                      <w:lang w:eastAsia="zh-CN"/>
                    </w:rPr>
                    <w:t>（模具</w:t>
                  </w:r>
                  <w:r>
                    <w:rPr>
                      <w:rFonts w:hint="eastAsia"/>
                      <w:color w:val="auto"/>
                      <w:szCs w:val="21"/>
                    </w:rPr>
                    <w:t>、</w:t>
                  </w:r>
                  <w:r>
                    <w:rPr>
                      <w:rFonts w:hint="eastAsia"/>
                      <w:color w:val="auto"/>
                      <w:szCs w:val="21"/>
                      <w:lang w:eastAsia="zh-CN"/>
                    </w:rPr>
                    <w:t>模具</w:t>
                  </w:r>
                  <w:r>
                    <w:rPr>
                      <w:rFonts w:hint="eastAsia"/>
                      <w:color w:val="auto"/>
                      <w:szCs w:val="21"/>
                    </w:rPr>
                    <w:t>零件以及外壳组件制造等</w:t>
                  </w:r>
                  <w:r>
                    <w:rPr>
                      <w:rFonts w:hint="eastAsia"/>
                      <w:color w:val="auto"/>
                      <w:szCs w:val="21"/>
                      <w:lang w:eastAsia="zh-CN"/>
                    </w:rPr>
                    <w:t>）</w:t>
                  </w:r>
                  <w:r>
                    <w:rPr>
                      <w:rFonts w:hint="eastAsia"/>
                      <w:color w:val="auto"/>
                      <w:szCs w:val="21"/>
                    </w:rPr>
                    <w:t>，配套发展现代物流仓储中心。</w:t>
                  </w:r>
                </w:p>
                <w:p w14:paraId="77A8794C">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color w:val="auto"/>
                      <w:szCs w:val="21"/>
                    </w:rPr>
                  </w:pPr>
                  <w:r>
                    <w:rPr>
                      <w:rFonts w:hint="eastAsia"/>
                      <w:color w:val="auto"/>
                      <w:szCs w:val="21"/>
                      <w:lang w:eastAsia="zh-CN"/>
                    </w:rPr>
                    <w:t>（</w:t>
                  </w:r>
                  <w:r>
                    <w:rPr>
                      <w:rFonts w:hint="eastAsia"/>
                      <w:color w:val="auto"/>
                      <w:szCs w:val="21"/>
                    </w:rPr>
                    <w:t>2</w:t>
                  </w:r>
                  <w:r>
                    <w:rPr>
                      <w:rFonts w:hint="eastAsia"/>
                      <w:color w:val="auto"/>
                      <w:szCs w:val="21"/>
                      <w:lang w:eastAsia="zh-CN"/>
                    </w:rPr>
                    <w:t>）</w:t>
                  </w:r>
                  <w:r>
                    <w:rPr>
                      <w:rFonts w:hint="eastAsia"/>
                      <w:color w:val="auto"/>
                      <w:szCs w:val="21"/>
                    </w:rPr>
                    <w:t>限制发展</w:t>
                  </w:r>
                  <w:r>
                    <w:rPr>
                      <w:rFonts w:hint="eastAsia"/>
                      <w:color w:val="auto"/>
                      <w:szCs w:val="21"/>
                      <w:lang w:eastAsia="zh-CN"/>
                    </w:rPr>
                    <w:t>：</w:t>
                  </w:r>
                  <w:r>
                    <w:rPr>
                      <w:rFonts w:hint="eastAsia"/>
                      <w:color w:val="auto"/>
                      <w:szCs w:val="21"/>
                    </w:rPr>
                    <w:t>高新电子</w:t>
                  </w:r>
                  <w:r>
                    <w:rPr>
                      <w:rFonts w:hint="eastAsia"/>
                      <w:color w:val="auto"/>
                      <w:szCs w:val="21"/>
                      <w:lang w:eastAsia="zh-CN"/>
                    </w:rPr>
                    <w:t>（</w:t>
                  </w:r>
                  <w:r>
                    <w:rPr>
                      <w:rFonts w:hint="eastAsia"/>
                      <w:color w:val="auto"/>
                      <w:szCs w:val="21"/>
                    </w:rPr>
                    <w:t>线路板</w:t>
                  </w:r>
                  <w:r>
                    <w:rPr>
                      <w:rFonts w:hint="eastAsia"/>
                      <w:color w:val="auto"/>
                      <w:szCs w:val="21"/>
                      <w:lang w:eastAsia="zh-CN"/>
                    </w:rPr>
                    <w:t>）</w:t>
                  </w:r>
                  <w:r>
                    <w:rPr>
                      <w:rFonts w:hint="eastAsia"/>
                      <w:color w:val="auto"/>
                      <w:szCs w:val="21"/>
                    </w:rPr>
                    <w:t>限于电子产业园建设</w:t>
                  </w:r>
                  <w:r>
                    <w:rPr>
                      <w:rFonts w:hint="eastAsia"/>
                      <w:color w:val="auto"/>
                      <w:szCs w:val="21"/>
                      <w:lang w:eastAsia="zh-CN"/>
                    </w:rPr>
                    <w:t>：</w:t>
                  </w:r>
                  <w:r>
                    <w:rPr>
                      <w:rFonts w:hint="eastAsia"/>
                      <w:color w:val="auto"/>
                      <w:szCs w:val="21"/>
                    </w:rPr>
                    <w:t>纺织印染</w:t>
                  </w:r>
                  <w:r>
                    <w:rPr>
                      <w:rFonts w:hint="eastAsia"/>
                      <w:color w:val="auto"/>
                      <w:szCs w:val="21"/>
                      <w:lang w:eastAsia="zh-CN"/>
                    </w:rPr>
                    <w:t>（</w:t>
                  </w:r>
                  <w:r>
                    <w:rPr>
                      <w:rFonts w:hint="eastAsia"/>
                      <w:color w:val="auto"/>
                      <w:szCs w:val="21"/>
                    </w:rPr>
                    <w:t>大中型印染</w:t>
                  </w:r>
                  <w:r>
                    <w:rPr>
                      <w:rFonts w:hint="eastAsia"/>
                      <w:color w:val="auto"/>
                      <w:szCs w:val="21"/>
                      <w:lang w:eastAsia="zh-CN"/>
                    </w:rPr>
                    <w:t>）</w:t>
                  </w:r>
                  <w:r>
                    <w:rPr>
                      <w:rFonts w:hint="eastAsia"/>
                      <w:color w:val="auto"/>
                      <w:szCs w:val="21"/>
                    </w:rPr>
                    <w:t>，总废水量不超过6000吨/天。</w:t>
                  </w:r>
                </w:p>
                <w:p w14:paraId="798E86F1">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lang w:eastAsia="zh-CN"/>
                    </w:rPr>
                    <w:t>（</w:t>
                  </w:r>
                  <w:r>
                    <w:rPr>
                      <w:rFonts w:hint="eastAsia"/>
                      <w:color w:val="auto"/>
                      <w:szCs w:val="21"/>
                    </w:rPr>
                    <w:t>3</w:t>
                  </w:r>
                  <w:r>
                    <w:rPr>
                      <w:rFonts w:hint="eastAsia"/>
                      <w:color w:val="auto"/>
                      <w:szCs w:val="21"/>
                      <w:lang w:eastAsia="zh-CN"/>
                    </w:rPr>
                    <w:t>）</w:t>
                  </w:r>
                  <w:r>
                    <w:rPr>
                      <w:rFonts w:hint="eastAsia"/>
                      <w:color w:val="auto"/>
                      <w:szCs w:val="21"/>
                    </w:rPr>
                    <w:t>禁止发展</w:t>
                  </w:r>
                  <w:r>
                    <w:rPr>
                      <w:rFonts w:hint="eastAsia"/>
                      <w:color w:val="auto"/>
                      <w:szCs w:val="21"/>
                      <w:lang w:eastAsia="zh-CN"/>
                    </w:rPr>
                    <w:t>：</w:t>
                  </w:r>
                  <w:r>
                    <w:rPr>
                      <w:rFonts w:hint="eastAsia"/>
                      <w:color w:val="auto"/>
                      <w:szCs w:val="21"/>
                    </w:rPr>
                    <w:t>开发区禁止机电轻纺</w:t>
                  </w:r>
                  <w:r>
                    <w:rPr>
                      <w:rFonts w:hint="eastAsia"/>
                      <w:color w:val="auto"/>
                      <w:szCs w:val="21"/>
                      <w:lang w:eastAsia="zh-CN"/>
                    </w:rPr>
                    <w:t>（</w:t>
                  </w:r>
                  <w:r>
                    <w:rPr>
                      <w:rFonts w:hint="eastAsia"/>
                      <w:color w:val="auto"/>
                      <w:szCs w:val="21"/>
                    </w:rPr>
                    <w:t>电镀、印染</w:t>
                  </w:r>
                  <w:r>
                    <w:rPr>
                      <w:rFonts w:hint="eastAsia"/>
                      <w:color w:val="auto"/>
                      <w:szCs w:val="21"/>
                      <w:lang w:eastAsia="zh-CN"/>
                    </w:rPr>
                    <w:t>）；</w:t>
                  </w:r>
                  <w:r>
                    <w:rPr>
                      <w:rFonts w:hint="eastAsia"/>
                      <w:color w:val="auto"/>
                      <w:szCs w:val="21"/>
                    </w:rPr>
                    <w:t>食品医药</w:t>
                  </w:r>
                  <w:r>
                    <w:rPr>
                      <w:rFonts w:hint="eastAsia"/>
                      <w:color w:val="auto"/>
                      <w:szCs w:val="21"/>
                      <w:lang w:eastAsia="zh-CN"/>
                    </w:rPr>
                    <w:t>（</w:t>
                  </w:r>
                  <w:r>
                    <w:rPr>
                      <w:rFonts w:hint="eastAsia"/>
                      <w:color w:val="auto"/>
                      <w:szCs w:val="21"/>
                    </w:rPr>
                    <w:t>原药、医药中间体</w:t>
                  </w:r>
                  <w:r>
                    <w:rPr>
                      <w:rFonts w:hint="eastAsia"/>
                      <w:color w:val="auto"/>
                      <w:szCs w:val="21"/>
                      <w:lang w:eastAsia="zh-CN"/>
                    </w:rPr>
                    <w:t>）；</w:t>
                  </w:r>
                  <w:r>
                    <w:rPr>
                      <w:rFonts w:hint="eastAsia"/>
                      <w:color w:val="auto"/>
                      <w:szCs w:val="21"/>
                    </w:rPr>
                    <w:t>高新电子</w:t>
                  </w:r>
                  <w:r>
                    <w:rPr>
                      <w:rFonts w:hint="eastAsia"/>
                      <w:color w:val="auto"/>
                      <w:szCs w:val="21"/>
                      <w:lang w:eastAsia="zh-CN"/>
                    </w:rPr>
                    <w:t>（</w:t>
                  </w:r>
                  <w:r>
                    <w:rPr>
                      <w:rFonts w:hint="eastAsia"/>
                      <w:color w:val="auto"/>
                      <w:szCs w:val="21"/>
                    </w:rPr>
                    <w:t>电镀</w:t>
                  </w:r>
                  <w:r>
                    <w:rPr>
                      <w:rFonts w:hint="eastAsia"/>
                      <w:color w:val="auto"/>
                      <w:szCs w:val="21"/>
                      <w:lang w:eastAsia="zh-CN"/>
                    </w:rPr>
                    <w:t>）；</w:t>
                  </w:r>
                  <w:r>
                    <w:rPr>
                      <w:rFonts w:hint="eastAsia"/>
                      <w:color w:val="auto"/>
                      <w:szCs w:val="21"/>
                    </w:rPr>
                    <w:t>特种化纤</w:t>
                  </w:r>
                  <w:r>
                    <w:rPr>
                      <w:rFonts w:hint="eastAsia"/>
                      <w:color w:val="auto"/>
                      <w:szCs w:val="21"/>
                      <w:lang w:eastAsia="zh-CN"/>
                    </w:rPr>
                    <w:t>（</w:t>
                  </w:r>
                  <w:r>
                    <w:rPr>
                      <w:rFonts w:hint="eastAsia"/>
                      <w:color w:val="auto"/>
                      <w:szCs w:val="21"/>
                    </w:rPr>
                    <w:t>化纤原料生产</w:t>
                  </w:r>
                  <w:r>
                    <w:rPr>
                      <w:rFonts w:hint="eastAsia"/>
                      <w:color w:val="auto"/>
                      <w:szCs w:val="21"/>
                      <w:lang w:eastAsia="zh-CN"/>
                    </w:rPr>
                    <w:t>）：</w:t>
                  </w:r>
                  <w:r>
                    <w:rPr>
                      <w:rFonts w:hint="eastAsia"/>
                      <w:color w:val="auto"/>
                      <w:szCs w:val="21"/>
                    </w:rPr>
                    <w:t>新型建材</w:t>
                  </w:r>
                  <w:r>
                    <w:rPr>
                      <w:rFonts w:hint="eastAsia"/>
                      <w:color w:val="auto"/>
                      <w:szCs w:val="21"/>
                      <w:lang w:eastAsia="zh-CN"/>
                    </w:rPr>
                    <w:t>（</w:t>
                  </w:r>
                  <w:r>
                    <w:rPr>
                      <w:rFonts w:hint="eastAsia"/>
                      <w:color w:val="auto"/>
                      <w:szCs w:val="21"/>
                    </w:rPr>
                    <w:t>水泥</w:t>
                  </w:r>
                  <w:r>
                    <w:rPr>
                      <w:rFonts w:hint="eastAsia"/>
                      <w:color w:val="auto"/>
                      <w:szCs w:val="21"/>
                      <w:lang w:eastAsia="zh-CN"/>
                    </w:rPr>
                    <w:t>）；</w:t>
                  </w:r>
                  <w:r>
                    <w:rPr>
                      <w:rFonts w:hint="eastAsia"/>
                      <w:color w:val="auto"/>
                      <w:szCs w:val="21"/>
                    </w:rPr>
                    <w:t>机械制造</w:t>
                  </w:r>
                  <w:r>
                    <w:rPr>
                      <w:rFonts w:hint="eastAsia"/>
                      <w:color w:val="auto"/>
                      <w:szCs w:val="21"/>
                      <w:lang w:eastAsia="zh-CN"/>
                    </w:rPr>
                    <w:t>（</w:t>
                  </w:r>
                  <w:r>
                    <w:rPr>
                      <w:rFonts w:hint="eastAsia"/>
                      <w:color w:val="auto"/>
                      <w:szCs w:val="21"/>
                    </w:rPr>
                    <w:t>电镀</w:t>
                  </w:r>
                  <w:r>
                    <w:rPr>
                      <w:rFonts w:hint="eastAsia"/>
                      <w:color w:val="auto"/>
                      <w:szCs w:val="21"/>
                      <w:lang w:eastAsia="zh-CN"/>
                    </w:rPr>
                    <w:t>）；</w:t>
                  </w:r>
                  <w:r>
                    <w:rPr>
                      <w:rFonts w:hint="eastAsia"/>
                      <w:color w:val="auto"/>
                      <w:szCs w:val="21"/>
                    </w:rPr>
                    <w:t>纺织印染</w:t>
                  </w:r>
                  <w:r>
                    <w:rPr>
                      <w:rFonts w:hint="eastAsia"/>
                      <w:color w:val="auto"/>
                      <w:szCs w:val="21"/>
                      <w:lang w:eastAsia="zh-CN"/>
                    </w:rPr>
                    <w:t>（</w:t>
                  </w:r>
                  <w:r>
                    <w:rPr>
                      <w:rFonts w:hint="eastAsia"/>
                      <w:color w:val="auto"/>
                      <w:szCs w:val="21"/>
                    </w:rPr>
                    <w:t>小型印染</w:t>
                  </w:r>
                  <w:r>
                    <w:rPr>
                      <w:rFonts w:hint="eastAsia"/>
                      <w:color w:val="auto"/>
                      <w:szCs w:val="21"/>
                      <w:lang w:eastAsia="zh-CN"/>
                    </w:rPr>
                    <w:t>）</w:t>
                  </w:r>
                  <w:r>
                    <w:rPr>
                      <w:rFonts w:hint="eastAsia"/>
                      <w:color w:val="auto"/>
                      <w:szCs w:val="21"/>
                    </w:rPr>
                    <w:t>。新港电子产业园禁止引入PCB产业及PCB上下游产业中不符合国家政策、不符合产业定位、不满足</w:t>
                  </w:r>
                  <w:r>
                    <w:rPr>
                      <w:rFonts w:hint="eastAsia"/>
                      <w:color w:val="auto"/>
                      <w:szCs w:val="21"/>
                      <w:lang w:eastAsia="zh-CN"/>
                    </w:rPr>
                    <w:t>清洁</w:t>
                  </w:r>
                  <w:r>
                    <w:rPr>
                      <w:rFonts w:hint="eastAsia"/>
                      <w:color w:val="auto"/>
                      <w:szCs w:val="21"/>
                    </w:rPr>
                    <w:t>生产水平一级标准、工艺落后、含有毒</w:t>
                  </w:r>
                  <w:r>
                    <w:rPr>
                      <w:rFonts w:hint="eastAsia"/>
                      <w:color w:val="auto"/>
                      <w:szCs w:val="21"/>
                      <w:lang w:eastAsia="zh-CN"/>
                    </w:rPr>
                    <w:t>有害氰化物</w:t>
                  </w:r>
                  <w:r>
                    <w:rPr>
                      <w:rFonts w:hint="eastAsia"/>
                      <w:color w:val="auto"/>
                      <w:szCs w:val="21"/>
                    </w:rPr>
                    <w:t>电镀工艺</w:t>
                  </w:r>
                  <w:r>
                    <w:rPr>
                      <w:rFonts w:hint="eastAsia"/>
                      <w:color w:val="auto"/>
                      <w:szCs w:val="21"/>
                      <w:lang w:eastAsia="zh-CN"/>
                    </w:rPr>
                    <w:t>（氰</w:t>
                  </w:r>
                  <w:r>
                    <w:rPr>
                      <w:rFonts w:hint="eastAsia"/>
                      <w:color w:val="auto"/>
                      <w:szCs w:val="21"/>
                    </w:rPr>
                    <w:t>化金钾电镀金及氰化亚金钾镀金</w:t>
                  </w:r>
                  <w:r>
                    <w:rPr>
                      <w:rFonts w:hint="eastAsia"/>
                      <w:color w:val="auto"/>
                      <w:szCs w:val="21"/>
                      <w:lang w:eastAsia="zh-CN"/>
                    </w:rPr>
                    <w:t>暂缓</w:t>
                  </w:r>
                  <w:r>
                    <w:rPr>
                      <w:rFonts w:hint="eastAsia"/>
                      <w:color w:val="auto"/>
                      <w:szCs w:val="21"/>
                    </w:rPr>
                    <w:t>淘汰，银、铜基合金及</w:t>
                  </w:r>
                  <w:r>
                    <w:rPr>
                      <w:rFonts w:hint="eastAsia"/>
                      <w:color w:val="auto"/>
                      <w:szCs w:val="21"/>
                      <w:lang w:eastAsia="zh-CN"/>
                    </w:rPr>
                    <w:t>预</w:t>
                  </w:r>
                  <w:r>
                    <w:rPr>
                      <w:rFonts w:hint="eastAsia"/>
                      <w:color w:val="auto"/>
                      <w:szCs w:val="21"/>
                    </w:rPr>
                    <w:t>镀铜打底工艺暂缓淘汰</w:t>
                  </w:r>
                  <w:r>
                    <w:rPr>
                      <w:rFonts w:hint="eastAsia"/>
                      <w:color w:val="auto"/>
                      <w:szCs w:val="21"/>
                      <w:lang w:eastAsia="zh-CN"/>
                    </w:rPr>
                    <w:t>）</w:t>
                  </w:r>
                  <w:r>
                    <w:rPr>
                      <w:rFonts w:hint="eastAsia"/>
                      <w:color w:val="auto"/>
                      <w:szCs w:val="21"/>
                    </w:rPr>
                    <w:t>。</w:t>
                  </w:r>
                </w:p>
              </w:tc>
              <w:tc>
                <w:tcPr>
                  <w:tcW w:w="1237" w:type="pct"/>
                  <w:vAlign w:val="center"/>
                </w:tcPr>
                <w:p w14:paraId="09BFFC6F">
                  <w:pPr>
                    <w:keepNext w:val="0"/>
                    <w:keepLines w:val="0"/>
                    <w:pageBreakBefore w:val="0"/>
                    <w:widowControl w:val="0"/>
                    <w:kinsoku/>
                    <w:wordWrap/>
                    <w:overflowPunct/>
                    <w:topLinePunct w:val="0"/>
                    <w:autoSpaceDE/>
                    <w:autoSpaceDN/>
                    <w:bidi w:val="0"/>
                    <w:adjustRightInd w:val="0"/>
                    <w:snapToGrid w:val="0"/>
                    <w:ind w:firstLine="0"/>
                    <w:textAlignment w:val="auto"/>
                    <w:rPr>
                      <w:color w:val="auto"/>
                      <w:szCs w:val="21"/>
                    </w:rPr>
                  </w:pPr>
                  <w:r>
                    <w:rPr>
                      <w:rFonts w:hint="eastAsia"/>
                      <w:color w:val="auto"/>
                      <w:szCs w:val="21"/>
                    </w:rPr>
                    <w:t>本项目为年产3万台套新型电机、变频器生产项目，属于C3819其他电机制造、C3821变压器、整流器和电感器制造</w:t>
                  </w:r>
                  <w:r>
                    <w:rPr>
                      <w:color w:val="auto"/>
                      <w:szCs w:val="21"/>
                    </w:rPr>
                    <w:t>，</w:t>
                  </w:r>
                  <w:r>
                    <w:rPr>
                      <w:rFonts w:hint="eastAsia"/>
                      <w:color w:val="auto"/>
                      <w:szCs w:val="21"/>
                    </w:rPr>
                    <w:t>属于电子电器类别</w:t>
                  </w:r>
                  <w:r>
                    <w:rPr>
                      <w:rFonts w:hint="eastAsia"/>
                      <w:color w:val="auto"/>
                      <w:szCs w:val="21"/>
                      <w:lang w:eastAsia="zh-CN"/>
                    </w:rPr>
                    <w:t>，不涉及电镀工艺</w:t>
                  </w:r>
                  <w:r>
                    <w:rPr>
                      <w:rFonts w:hint="eastAsia"/>
                      <w:color w:val="auto"/>
                      <w:szCs w:val="21"/>
                    </w:rPr>
                    <w:t>，不属于禁止发展类项目，符合要求</w:t>
                  </w:r>
                  <w:r>
                    <w:rPr>
                      <w:color w:val="auto"/>
                      <w:szCs w:val="21"/>
                    </w:rPr>
                    <w:t>。</w:t>
                  </w:r>
                </w:p>
              </w:tc>
              <w:tc>
                <w:tcPr>
                  <w:tcW w:w="469" w:type="pct"/>
                  <w:vAlign w:val="center"/>
                </w:tcPr>
                <w:p w14:paraId="43D54EA2">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相符</w:t>
                  </w:r>
                </w:p>
              </w:tc>
            </w:tr>
            <w:tr w14:paraId="5343191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61" w:type="pct"/>
                  <w:vAlign w:val="center"/>
                </w:tcPr>
                <w:p w14:paraId="7CDE16FF">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污染物排放管控</w:t>
                  </w:r>
                </w:p>
              </w:tc>
              <w:tc>
                <w:tcPr>
                  <w:tcW w:w="2931" w:type="pct"/>
                  <w:vAlign w:val="center"/>
                </w:tcPr>
                <w:p w14:paraId="152B47DD">
                  <w:pPr>
                    <w:keepNext w:val="0"/>
                    <w:keepLines w:val="0"/>
                    <w:pageBreakBefore w:val="0"/>
                    <w:widowControl w:val="0"/>
                    <w:kinsoku/>
                    <w:wordWrap/>
                    <w:overflowPunct/>
                    <w:topLinePunct w:val="0"/>
                    <w:autoSpaceDE/>
                    <w:autoSpaceDN/>
                    <w:bidi w:val="0"/>
                    <w:adjustRightInd w:val="0"/>
                    <w:snapToGrid w:val="0"/>
                    <w:ind w:firstLine="0"/>
                    <w:textAlignment w:val="auto"/>
                    <w:rPr>
                      <w:rFonts w:hint="eastAsia"/>
                      <w:color w:val="auto"/>
                      <w:szCs w:val="21"/>
                    </w:rPr>
                  </w:pPr>
                  <w:r>
                    <w:rPr>
                      <w:rFonts w:hint="eastAsia"/>
                      <w:color w:val="auto"/>
                      <w:szCs w:val="21"/>
                      <w:lang w:eastAsia="zh-CN"/>
                    </w:rPr>
                    <w:t>（</w:t>
                  </w:r>
                  <w:r>
                    <w:rPr>
                      <w:rFonts w:hint="eastAsia"/>
                      <w:color w:val="auto"/>
                      <w:szCs w:val="21"/>
                    </w:rPr>
                    <w:t>1</w:t>
                  </w:r>
                  <w:r>
                    <w:rPr>
                      <w:rFonts w:hint="eastAsia"/>
                      <w:color w:val="auto"/>
                      <w:szCs w:val="21"/>
                      <w:lang w:eastAsia="zh-CN"/>
                    </w:rPr>
                    <w:t>）</w:t>
                  </w:r>
                  <w:r>
                    <w:rPr>
                      <w:rFonts w:hint="eastAsia"/>
                      <w:color w:val="auto"/>
                      <w:szCs w:val="21"/>
                    </w:rPr>
                    <w:t>大气污染物排放总量</w:t>
                  </w:r>
                  <w:r>
                    <w:rPr>
                      <w:rFonts w:hint="eastAsia"/>
                      <w:color w:val="auto"/>
                      <w:szCs w:val="21"/>
                      <w:lang w:eastAsia="zh-CN"/>
                    </w:rPr>
                    <w:t>：</w:t>
                  </w:r>
                  <w:r>
                    <w:rPr>
                      <w:rFonts w:hint="eastAsia"/>
                      <w:color w:val="auto"/>
                      <w:szCs w:val="21"/>
                    </w:rPr>
                    <w:t>开发区二氧化硫415.07吨/年，烟</w:t>
                  </w:r>
                  <w:r>
                    <w:rPr>
                      <w:rFonts w:hint="eastAsia"/>
                      <w:color w:val="auto"/>
                      <w:szCs w:val="21"/>
                      <w:lang w:eastAsia="zh-CN"/>
                    </w:rPr>
                    <w:t>（</w:t>
                  </w:r>
                  <w:r>
                    <w:rPr>
                      <w:rFonts w:hint="eastAsia"/>
                      <w:color w:val="auto"/>
                      <w:szCs w:val="21"/>
                    </w:rPr>
                    <w:t>粉</w:t>
                  </w:r>
                  <w:r>
                    <w:rPr>
                      <w:rFonts w:hint="eastAsia"/>
                      <w:color w:val="auto"/>
                      <w:szCs w:val="21"/>
                      <w:lang w:eastAsia="zh-CN"/>
                    </w:rPr>
                    <w:t>）</w:t>
                  </w:r>
                  <w:r>
                    <w:rPr>
                      <w:rFonts w:hint="eastAsia"/>
                      <w:color w:val="auto"/>
                      <w:szCs w:val="21"/>
                    </w:rPr>
                    <w:t>尘69.81吨</w:t>
                  </w:r>
                  <w:r>
                    <w:rPr>
                      <w:rFonts w:hint="eastAsia"/>
                      <w:color w:val="auto"/>
                      <w:szCs w:val="21"/>
                      <w:lang w:val="en-US" w:eastAsia="zh-CN"/>
                    </w:rPr>
                    <w:t>/</w:t>
                  </w:r>
                  <w:r>
                    <w:rPr>
                      <w:rFonts w:hint="eastAsia"/>
                      <w:color w:val="auto"/>
                      <w:szCs w:val="21"/>
                    </w:rPr>
                    <w:t>年，硫酸雾2.38吨/年，苯4.34吨/年，甲苯1.01吨/年，甲醛17.11吨/年，</w:t>
                  </w:r>
                  <w:r>
                    <w:rPr>
                      <w:rFonts w:hint="eastAsia"/>
                      <w:color w:val="auto"/>
                      <w:szCs w:val="21"/>
                      <w:lang w:eastAsia="zh-CN"/>
                    </w:rPr>
                    <w:t>氯化氢</w:t>
                  </w:r>
                  <w:r>
                    <w:rPr>
                      <w:rFonts w:hint="eastAsia"/>
                      <w:color w:val="auto"/>
                      <w:szCs w:val="21"/>
                    </w:rPr>
                    <w:t>6.66吨/年。新港电子产业园二氧化硫1.920147吨/年，烟</w:t>
                  </w:r>
                  <w:r>
                    <w:rPr>
                      <w:rFonts w:hint="eastAsia"/>
                      <w:color w:val="auto"/>
                      <w:szCs w:val="21"/>
                      <w:lang w:eastAsia="zh-CN"/>
                    </w:rPr>
                    <w:t>（</w:t>
                  </w:r>
                  <w:r>
                    <w:rPr>
                      <w:rFonts w:hint="eastAsia"/>
                      <w:color w:val="auto"/>
                      <w:szCs w:val="21"/>
                    </w:rPr>
                    <w:t>粉</w:t>
                  </w:r>
                  <w:r>
                    <w:rPr>
                      <w:rFonts w:hint="eastAsia"/>
                      <w:color w:val="auto"/>
                      <w:szCs w:val="21"/>
                      <w:lang w:eastAsia="zh-CN"/>
                    </w:rPr>
                    <w:t>）</w:t>
                  </w:r>
                  <w:r>
                    <w:rPr>
                      <w:rFonts w:hint="eastAsia"/>
                      <w:color w:val="auto"/>
                      <w:szCs w:val="21"/>
                    </w:rPr>
                    <w:t>尘127.1012吨/年，氮氧化物10.3627吨/年。</w:t>
                  </w:r>
                </w:p>
                <w:p w14:paraId="36143A06">
                  <w:pPr>
                    <w:keepNext w:val="0"/>
                    <w:keepLines w:val="0"/>
                    <w:pageBreakBefore w:val="0"/>
                    <w:widowControl w:val="0"/>
                    <w:kinsoku/>
                    <w:wordWrap/>
                    <w:overflowPunct/>
                    <w:topLinePunct w:val="0"/>
                    <w:autoSpaceDE/>
                    <w:autoSpaceDN/>
                    <w:bidi w:val="0"/>
                    <w:adjustRightInd w:val="0"/>
                    <w:snapToGrid w:val="0"/>
                    <w:ind w:firstLine="0"/>
                    <w:textAlignment w:val="auto"/>
                    <w:rPr>
                      <w:color w:val="auto"/>
                      <w:szCs w:val="21"/>
                    </w:rPr>
                  </w:pPr>
                  <w:r>
                    <w:rPr>
                      <w:rFonts w:hint="eastAsia"/>
                      <w:color w:val="auto"/>
                      <w:szCs w:val="21"/>
                      <w:lang w:eastAsia="zh-CN"/>
                    </w:rPr>
                    <w:t>（</w:t>
                  </w:r>
                  <w:r>
                    <w:rPr>
                      <w:rFonts w:hint="eastAsia"/>
                      <w:color w:val="auto"/>
                      <w:szCs w:val="21"/>
                    </w:rPr>
                    <w:t>2</w:t>
                  </w:r>
                  <w:r>
                    <w:rPr>
                      <w:rFonts w:hint="eastAsia"/>
                      <w:color w:val="auto"/>
                      <w:szCs w:val="21"/>
                      <w:lang w:eastAsia="zh-CN"/>
                    </w:rPr>
                    <w:t>）</w:t>
                  </w:r>
                  <w:r>
                    <w:rPr>
                      <w:rFonts w:hint="eastAsia"/>
                      <w:color w:val="auto"/>
                      <w:szCs w:val="21"/>
                    </w:rPr>
                    <w:t>水污染物排放总量</w:t>
                  </w:r>
                  <w:r>
                    <w:rPr>
                      <w:rFonts w:hint="eastAsia"/>
                      <w:color w:val="auto"/>
                      <w:szCs w:val="21"/>
                      <w:lang w:eastAsia="zh-CN"/>
                    </w:rPr>
                    <w:t>：</w:t>
                  </w:r>
                  <w:r>
                    <w:rPr>
                      <w:rFonts w:hint="eastAsia"/>
                      <w:color w:val="auto"/>
                      <w:szCs w:val="21"/>
                    </w:rPr>
                    <w:t>东区化学需氧量112.9吨/年，悬浮物22.58吨/年，</w:t>
                  </w:r>
                  <w:r>
                    <w:rPr>
                      <w:rFonts w:hint="eastAsia"/>
                      <w:color w:val="auto"/>
                      <w:szCs w:val="21"/>
                      <w:lang w:eastAsia="zh-CN"/>
                    </w:rPr>
                    <w:t>氨氮</w:t>
                  </w:r>
                  <w:r>
                    <w:rPr>
                      <w:rFonts w:hint="eastAsia"/>
                      <w:color w:val="auto"/>
                      <w:szCs w:val="21"/>
                    </w:rPr>
                    <w:t>11.29吨/年，总磷1.13吨/年，石油类2.26吨/年。西区化学需氧量462.77吨/年，悬浮物154.26吨/年，氨氮61.7吨/年，总磷7.71吨/年，石油类23.14吨/年。新港电子产业园化学需氧量108.04吨/年，氨氮20.258吨/年</w:t>
                  </w:r>
                </w:p>
              </w:tc>
              <w:tc>
                <w:tcPr>
                  <w:tcW w:w="1237" w:type="pct"/>
                  <w:vAlign w:val="center"/>
                </w:tcPr>
                <w:p w14:paraId="3E26CF62">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本项目新增的颗粒物、NMHC</w:t>
                  </w:r>
                  <w:r>
                    <w:rPr>
                      <w:rFonts w:hint="eastAsia"/>
                      <w:bCs/>
                      <w:color w:val="auto"/>
                      <w:szCs w:val="21"/>
                    </w:rPr>
                    <w:t>由淮安市涟水生态环境局从境内企业削减总量中替代平衡；生活污水总量在涟水经济开发区西区污水处理厂剩余总量中平衡；固废零排放。</w:t>
                  </w:r>
                </w:p>
              </w:tc>
              <w:tc>
                <w:tcPr>
                  <w:tcW w:w="469" w:type="pct"/>
                  <w:vAlign w:val="center"/>
                </w:tcPr>
                <w:p w14:paraId="6692C4CB">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相符</w:t>
                  </w:r>
                </w:p>
              </w:tc>
            </w:tr>
            <w:tr w14:paraId="46EE566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61" w:type="pct"/>
                  <w:vAlign w:val="center"/>
                </w:tcPr>
                <w:p w14:paraId="4B38F6F3">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环境风险防控</w:t>
                  </w:r>
                </w:p>
              </w:tc>
              <w:tc>
                <w:tcPr>
                  <w:tcW w:w="2931" w:type="pct"/>
                  <w:vAlign w:val="center"/>
                </w:tcPr>
                <w:p w14:paraId="42412E01">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lang w:eastAsia="zh-CN"/>
                    </w:rPr>
                    <w:t>（</w:t>
                  </w:r>
                  <w:r>
                    <w:rPr>
                      <w:rFonts w:hint="eastAsia"/>
                      <w:color w:val="auto"/>
                      <w:szCs w:val="21"/>
                    </w:rPr>
                    <w:t>1</w:t>
                  </w:r>
                  <w:r>
                    <w:rPr>
                      <w:rFonts w:hint="eastAsia"/>
                      <w:color w:val="auto"/>
                      <w:szCs w:val="21"/>
                      <w:lang w:eastAsia="zh-CN"/>
                    </w:rPr>
                    <w:t>）</w:t>
                  </w:r>
                  <w:r>
                    <w:rPr>
                      <w:rFonts w:hint="eastAsia"/>
                      <w:color w:val="auto"/>
                      <w:szCs w:val="21"/>
                    </w:rPr>
                    <w:t>开发区及区内居住区边界应设置不小于100米的生态防护隔离带。</w:t>
                  </w:r>
                  <w:r>
                    <w:rPr>
                      <w:rFonts w:hint="eastAsia"/>
                      <w:color w:val="auto"/>
                      <w:szCs w:val="21"/>
                      <w:lang w:eastAsia="zh-CN"/>
                    </w:rPr>
                    <w:t>（</w:t>
                  </w:r>
                  <w:r>
                    <w:rPr>
                      <w:rFonts w:hint="eastAsia"/>
                      <w:color w:val="auto"/>
                      <w:szCs w:val="21"/>
                    </w:rPr>
                    <w:t>2</w:t>
                  </w:r>
                  <w:r>
                    <w:rPr>
                      <w:rFonts w:hint="eastAsia"/>
                      <w:color w:val="auto"/>
                      <w:szCs w:val="21"/>
                      <w:lang w:eastAsia="zh-CN"/>
                    </w:rPr>
                    <w:t>）</w:t>
                  </w:r>
                  <w:r>
                    <w:rPr>
                      <w:rFonts w:hint="eastAsia"/>
                      <w:color w:val="auto"/>
                      <w:szCs w:val="21"/>
                    </w:rPr>
                    <w:t>开发区及入区企业均应制定并落实各类事故风险防范措施及应急预案。区内各企业须按规范要求建设贮存、使用危险化学品的生产装置，杜绝泄漏物料进入环境</w:t>
                  </w:r>
                  <w:r>
                    <w:rPr>
                      <w:rFonts w:hint="eastAsia"/>
                      <w:color w:val="auto"/>
                      <w:szCs w:val="21"/>
                      <w:lang w:eastAsia="zh-CN"/>
                    </w:rPr>
                    <w:t>；</w:t>
                  </w:r>
                  <w:r>
                    <w:rPr>
                      <w:rFonts w:hint="eastAsia"/>
                      <w:color w:val="auto"/>
                      <w:szCs w:val="21"/>
                    </w:rPr>
                    <w:t>储备</w:t>
                  </w:r>
                  <w:r>
                    <w:rPr>
                      <w:rFonts w:hint="eastAsia"/>
                      <w:color w:val="auto"/>
                      <w:szCs w:val="21"/>
                      <w:lang w:eastAsia="zh-CN"/>
                    </w:rPr>
                    <w:t>必需的</w:t>
                  </w:r>
                  <w:r>
                    <w:rPr>
                      <w:rFonts w:hint="eastAsia"/>
                      <w:color w:val="auto"/>
                      <w:szCs w:val="21"/>
                    </w:rPr>
                    <w:t>设备物资，并定期组织实战演练，最大限度地防止和减轻事故的危害，确保开发区环境安全。排放工业废水的企业应设置足够容量的事故污水池，严禁污水超标排放</w:t>
                  </w:r>
                </w:p>
              </w:tc>
              <w:tc>
                <w:tcPr>
                  <w:tcW w:w="1237" w:type="pct"/>
                  <w:vAlign w:val="center"/>
                </w:tcPr>
                <w:p w14:paraId="72AEB6ED">
                  <w:pPr>
                    <w:keepNext w:val="0"/>
                    <w:keepLines w:val="0"/>
                    <w:pageBreakBefore w:val="0"/>
                    <w:widowControl w:val="0"/>
                    <w:kinsoku/>
                    <w:wordWrap/>
                    <w:overflowPunct/>
                    <w:topLinePunct w:val="0"/>
                    <w:autoSpaceDE/>
                    <w:autoSpaceDN/>
                    <w:bidi w:val="0"/>
                    <w:adjustRightInd w:val="0"/>
                    <w:snapToGrid w:val="0"/>
                    <w:ind w:firstLine="0"/>
                    <w:textAlignment w:val="auto"/>
                    <w:rPr>
                      <w:rFonts w:hint="eastAsia" w:eastAsia="宋体"/>
                      <w:color w:val="auto"/>
                      <w:szCs w:val="21"/>
                      <w:lang w:eastAsia="zh-CN"/>
                    </w:rPr>
                  </w:pPr>
                  <w:r>
                    <w:rPr>
                      <w:color w:val="auto"/>
                      <w:szCs w:val="21"/>
                    </w:rPr>
                    <w:t>项目建成后以</w:t>
                  </w:r>
                  <w:r>
                    <w:rPr>
                      <w:rFonts w:hint="eastAsia"/>
                      <w:color w:val="auto"/>
                      <w:sz w:val="21"/>
                      <w:szCs w:val="21"/>
                      <w:lang w:val="en-US" w:eastAsia="zh-CN"/>
                    </w:rPr>
                    <w:t>厂界为起点</w:t>
                  </w:r>
                  <w:r>
                    <w:rPr>
                      <w:color w:val="auto"/>
                      <w:szCs w:val="21"/>
                    </w:rPr>
                    <w:t>设置</w:t>
                  </w:r>
                  <w:r>
                    <w:rPr>
                      <w:rFonts w:hint="eastAsia"/>
                      <w:color w:val="auto"/>
                      <w:szCs w:val="21"/>
                    </w:rPr>
                    <w:t>5</w:t>
                  </w:r>
                  <w:r>
                    <w:rPr>
                      <w:color w:val="auto"/>
                      <w:szCs w:val="21"/>
                    </w:rPr>
                    <w:t>0米卫生防护距离，卫生防护距离内无环境保护目标；企业将通过规范设置消防设施并定期检查维护，制定并落实各类事故风险防范措施，可有效减少风险事故概率，减轻风险事故后果。</w:t>
                  </w:r>
                </w:p>
              </w:tc>
              <w:tc>
                <w:tcPr>
                  <w:tcW w:w="469" w:type="pct"/>
                  <w:vAlign w:val="center"/>
                </w:tcPr>
                <w:p w14:paraId="6DD9C719">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相符</w:t>
                  </w:r>
                </w:p>
              </w:tc>
            </w:tr>
            <w:tr w14:paraId="0ED9131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61" w:type="pct"/>
                  <w:vAlign w:val="center"/>
                </w:tcPr>
                <w:p w14:paraId="22BA0E7F">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资源利用效率要求</w:t>
                  </w:r>
                </w:p>
              </w:tc>
              <w:tc>
                <w:tcPr>
                  <w:tcW w:w="2931" w:type="pct"/>
                  <w:vAlign w:val="center"/>
                </w:tcPr>
                <w:p w14:paraId="7C07D939">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color w:val="auto"/>
                      <w:szCs w:val="21"/>
                    </w:rPr>
                  </w:pPr>
                  <w:r>
                    <w:rPr>
                      <w:rFonts w:hint="eastAsia"/>
                      <w:color w:val="auto"/>
                      <w:szCs w:val="21"/>
                      <w:lang w:eastAsia="zh-CN"/>
                    </w:rPr>
                    <w:t>（</w:t>
                  </w:r>
                  <w:r>
                    <w:rPr>
                      <w:rFonts w:hint="eastAsia"/>
                      <w:color w:val="auto"/>
                      <w:szCs w:val="21"/>
                    </w:rPr>
                    <w:t>1</w:t>
                  </w:r>
                  <w:r>
                    <w:rPr>
                      <w:rFonts w:hint="eastAsia"/>
                      <w:color w:val="auto"/>
                      <w:szCs w:val="21"/>
                      <w:lang w:eastAsia="zh-CN"/>
                    </w:rPr>
                    <w:t>）</w:t>
                  </w:r>
                  <w:r>
                    <w:rPr>
                      <w:rFonts w:hint="eastAsia"/>
                      <w:color w:val="auto"/>
                      <w:szCs w:val="21"/>
                    </w:rPr>
                    <w:t>单位工业用地工业增加值≥9亿元/平方米。</w:t>
                  </w:r>
                </w:p>
                <w:p w14:paraId="35FDCB7F">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color w:val="auto"/>
                      <w:szCs w:val="21"/>
                    </w:rPr>
                  </w:pPr>
                  <w:r>
                    <w:rPr>
                      <w:rFonts w:hint="eastAsia"/>
                      <w:color w:val="auto"/>
                      <w:szCs w:val="21"/>
                      <w:lang w:eastAsia="zh-CN"/>
                    </w:rPr>
                    <w:t>（</w:t>
                  </w:r>
                  <w:r>
                    <w:rPr>
                      <w:rFonts w:hint="eastAsia"/>
                      <w:color w:val="auto"/>
                      <w:szCs w:val="21"/>
                    </w:rPr>
                    <w:t>2</w:t>
                  </w:r>
                  <w:r>
                    <w:rPr>
                      <w:rFonts w:hint="eastAsia"/>
                      <w:color w:val="auto"/>
                      <w:szCs w:val="21"/>
                      <w:lang w:eastAsia="zh-CN"/>
                    </w:rPr>
                    <w:t>）</w:t>
                  </w:r>
                  <w:r>
                    <w:rPr>
                      <w:rFonts w:hint="eastAsia"/>
                      <w:color w:val="auto"/>
                      <w:szCs w:val="21"/>
                    </w:rPr>
                    <w:t>单位工业增加值综合能耗≤0.5吨标煤/万元。</w:t>
                  </w:r>
                </w:p>
                <w:p w14:paraId="4AEB1C31">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color w:val="auto"/>
                      <w:szCs w:val="21"/>
                    </w:rPr>
                  </w:pPr>
                  <w:r>
                    <w:rPr>
                      <w:rFonts w:hint="eastAsia"/>
                      <w:color w:val="auto"/>
                      <w:szCs w:val="21"/>
                      <w:lang w:eastAsia="zh-CN"/>
                    </w:rPr>
                    <w:t>（</w:t>
                  </w:r>
                  <w:r>
                    <w:rPr>
                      <w:rFonts w:hint="eastAsia"/>
                      <w:color w:val="auto"/>
                      <w:szCs w:val="21"/>
                    </w:rPr>
                    <w:t>3</w:t>
                  </w:r>
                  <w:r>
                    <w:rPr>
                      <w:rFonts w:hint="eastAsia"/>
                      <w:color w:val="auto"/>
                      <w:szCs w:val="21"/>
                      <w:lang w:eastAsia="zh-CN"/>
                    </w:rPr>
                    <w:t>）</w:t>
                  </w:r>
                  <w:r>
                    <w:rPr>
                      <w:rFonts w:hint="eastAsia"/>
                      <w:color w:val="auto"/>
                      <w:szCs w:val="21"/>
                    </w:rPr>
                    <w:t>单位工业增加值新鲜水耗≤9立方米/万元，工业用水重复利用率多75%。</w:t>
                  </w:r>
                </w:p>
                <w:p w14:paraId="1184E2F4">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lang w:eastAsia="zh-CN"/>
                    </w:rPr>
                    <w:t>（</w:t>
                  </w:r>
                  <w:r>
                    <w:rPr>
                      <w:rFonts w:hint="eastAsia"/>
                      <w:color w:val="auto"/>
                      <w:szCs w:val="21"/>
                    </w:rPr>
                    <w:t>4</w:t>
                  </w:r>
                  <w:r>
                    <w:rPr>
                      <w:rFonts w:hint="eastAsia"/>
                      <w:color w:val="auto"/>
                      <w:szCs w:val="21"/>
                      <w:lang w:eastAsia="zh-CN"/>
                    </w:rPr>
                    <w:t>）</w:t>
                  </w:r>
                  <w:r>
                    <w:rPr>
                      <w:rFonts w:hint="eastAsia"/>
                      <w:color w:val="auto"/>
                      <w:szCs w:val="21"/>
                    </w:rPr>
                    <w:t>禁止销售使用燃料为“Ⅱ类”</w:t>
                  </w:r>
                  <w:r>
                    <w:rPr>
                      <w:rFonts w:hint="eastAsia"/>
                      <w:color w:val="auto"/>
                      <w:szCs w:val="21"/>
                      <w:lang w:eastAsia="zh-CN"/>
                    </w:rPr>
                    <w:t>（</w:t>
                  </w:r>
                  <w:r>
                    <w:rPr>
                      <w:rFonts w:hint="eastAsia"/>
                      <w:color w:val="auto"/>
                      <w:szCs w:val="21"/>
                    </w:rPr>
                    <w:t>较严</w:t>
                  </w:r>
                  <w:r>
                    <w:rPr>
                      <w:rFonts w:hint="eastAsia"/>
                      <w:color w:val="auto"/>
                      <w:szCs w:val="21"/>
                      <w:lang w:eastAsia="zh-CN"/>
                    </w:rPr>
                    <w:t>）</w:t>
                  </w:r>
                  <w:r>
                    <w:rPr>
                      <w:rFonts w:hint="eastAsia"/>
                      <w:color w:val="auto"/>
                      <w:szCs w:val="21"/>
                    </w:rPr>
                    <w:t>，具体包括</w:t>
                  </w:r>
                  <w:r>
                    <w:rPr>
                      <w:rFonts w:hint="eastAsia"/>
                      <w:color w:val="auto"/>
                      <w:szCs w:val="21"/>
                      <w:lang w:eastAsia="zh-CN"/>
                    </w:rPr>
                    <w:t>：</w:t>
                  </w:r>
                  <w:r>
                    <w:rPr>
                      <w:rFonts w:hint="eastAsia"/>
                      <w:color w:val="auto"/>
                      <w:szCs w:val="21"/>
                    </w:rPr>
                    <w:t>①除单台出力大于等于20蒸吨/小时锅炉以外燃用的煤炭及其制品。②石油焦、油页岩、原油、重油、渣油、煤焦油。</w:t>
                  </w:r>
                </w:p>
              </w:tc>
              <w:tc>
                <w:tcPr>
                  <w:tcW w:w="1237" w:type="pct"/>
                  <w:vAlign w:val="center"/>
                </w:tcPr>
                <w:p w14:paraId="1A239162">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建设项目</w:t>
                  </w:r>
                  <w:r>
                    <w:rPr>
                      <w:rFonts w:hint="eastAsia"/>
                      <w:color w:val="auto"/>
                      <w:szCs w:val="21"/>
                    </w:rPr>
                    <w:t>不使用“Ⅱ类”</w:t>
                  </w:r>
                  <w:r>
                    <w:rPr>
                      <w:color w:val="auto"/>
                      <w:szCs w:val="21"/>
                    </w:rPr>
                    <w:t>燃料。</w:t>
                  </w:r>
                </w:p>
              </w:tc>
              <w:tc>
                <w:tcPr>
                  <w:tcW w:w="469" w:type="pct"/>
                  <w:vAlign w:val="center"/>
                </w:tcPr>
                <w:p w14:paraId="4EBCF737">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相符</w:t>
                  </w:r>
                </w:p>
              </w:tc>
            </w:tr>
          </w:tbl>
          <w:p w14:paraId="29335D4C">
            <w:pPr>
              <w:adjustRightInd w:val="0"/>
              <w:snapToGrid w:val="0"/>
              <w:spacing w:before="120" w:beforeLines="50" w:line="360" w:lineRule="auto"/>
              <w:ind w:firstLine="480" w:firstLineChars="200"/>
              <w:rPr>
                <w:color w:val="auto"/>
              </w:rPr>
            </w:pPr>
            <w:r>
              <w:rPr>
                <w:color w:val="auto"/>
                <w:sz w:val="24"/>
              </w:rPr>
              <w:t>根据上表分析可知，项目与《淮安市环境管控单元生态环境准入清单》（淮环发</w:t>
            </w:r>
            <w:r>
              <w:rPr>
                <w:rFonts w:hint="eastAsia"/>
                <w:color w:val="auto"/>
                <w:sz w:val="24"/>
                <w:lang w:eastAsia="zh-CN"/>
              </w:rPr>
              <w:t>〔2020〕264号</w:t>
            </w:r>
            <w:r>
              <w:rPr>
                <w:color w:val="auto"/>
                <w:sz w:val="24"/>
              </w:rPr>
              <w:t>）是相符的。</w:t>
            </w:r>
          </w:p>
          <w:p w14:paraId="6C99D639">
            <w:pPr>
              <w:adjustRightInd w:val="0"/>
              <w:snapToGrid w:val="0"/>
              <w:spacing w:line="360" w:lineRule="auto"/>
              <w:ind w:firstLine="482" w:firstLineChars="200"/>
              <w:rPr>
                <w:b/>
                <w:bCs/>
                <w:color w:val="auto"/>
                <w:sz w:val="24"/>
              </w:rPr>
            </w:pPr>
            <w:r>
              <w:rPr>
                <w:rFonts w:hint="eastAsia"/>
                <w:b/>
                <w:bCs/>
                <w:color w:val="auto"/>
                <w:sz w:val="24"/>
              </w:rPr>
              <w:t>2.</w:t>
            </w:r>
            <w:r>
              <w:rPr>
                <w:b/>
                <w:bCs/>
                <w:color w:val="auto"/>
                <w:sz w:val="24"/>
              </w:rPr>
              <w:t>环境质量底线</w:t>
            </w:r>
          </w:p>
          <w:p w14:paraId="19BA4EE5">
            <w:pPr>
              <w:adjustRightInd w:val="0"/>
              <w:snapToGrid w:val="0"/>
              <w:spacing w:line="360" w:lineRule="auto"/>
              <w:ind w:firstLine="480" w:firstLineChars="200"/>
              <w:rPr>
                <w:color w:val="auto"/>
                <w:sz w:val="24"/>
              </w:rPr>
            </w:pPr>
            <w:r>
              <w:rPr>
                <w:rFonts w:hint="eastAsia"/>
                <w:color w:val="auto"/>
                <w:sz w:val="24"/>
              </w:rPr>
              <w:t>①大气环境</w:t>
            </w:r>
          </w:p>
          <w:p w14:paraId="4EEC683F">
            <w:pPr>
              <w:adjustRightInd w:val="0"/>
              <w:snapToGrid w:val="0"/>
              <w:spacing w:line="360" w:lineRule="auto"/>
              <w:ind w:firstLine="480" w:firstLineChars="200"/>
              <w:rPr>
                <w:bCs/>
                <w:color w:val="auto"/>
                <w:kern w:val="0"/>
                <w:sz w:val="24"/>
              </w:rPr>
            </w:pPr>
            <w:r>
              <w:rPr>
                <w:rFonts w:hint="eastAsia"/>
                <w:bCs/>
                <w:color w:val="auto"/>
                <w:kern w:val="0"/>
                <w:sz w:val="24"/>
              </w:rPr>
              <w:t>根据淮安市生态环境局官网公布的《2023年淮安市生态环境状况公报》，根据《2023年淮安市生态环境状况公报》，2023年，全市细颗粒物（PM</w:t>
            </w:r>
            <w:r>
              <w:rPr>
                <w:rFonts w:hint="eastAsia"/>
                <w:bCs/>
                <w:color w:val="auto"/>
                <w:kern w:val="0"/>
                <w:sz w:val="24"/>
                <w:vertAlign w:val="subscript"/>
              </w:rPr>
              <w:t>2.</w:t>
            </w:r>
            <w:r>
              <w:rPr>
                <w:rFonts w:hint="eastAsia"/>
                <w:bCs/>
                <w:color w:val="auto"/>
                <w:kern w:val="0"/>
                <w:sz w:val="24"/>
                <w:vertAlign w:val="subscript"/>
                <w:lang w:eastAsia="zh-CN"/>
              </w:rPr>
              <w:t>5）</w:t>
            </w:r>
            <w:r>
              <w:rPr>
                <w:rFonts w:hint="eastAsia"/>
                <w:bCs/>
                <w:color w:val="auto"/>
                <w:kern w:val="0"/>
                <w:sz w:val="24"/>
              </w:rPr>
              <w:t>可吸入颗粒物（PM</w:t>
            </w:r>
            <w:r>
              <w:rPr>
                <w:rFonts w:hint="eastAsia"/>
                <w:bCs/>
                <w:color w:val="auto"/>
                <w:kern w:val="0"/>
                <w:sz w:val="24"/>
                <w:vertAlign w:val="subscript"/>
              </w:rPr>
              <w:t>10</w:t>
            </w:r>
            <w:r>
              <w:rPr>
                <w:rFonts w:hint="eastAsia"/>
                <w:bCs/>
                <w:color w:val="auto"/>
                <w:kern w:val="0"/>
                <w:sz w:val="24"/>
              </w:rPr>
              <w:t>）、二氧化硫（SO</w:t>
            </w:r>
            <w:r>
              <w:rPr>
                <w:rFonts w:hint="eastAsia"/>
                <w:bCs/>
                <w:color w:val="auto"/>
                <w:kern w:val="0"/>
                <w:sz w:val="24"/>
                <w:vertAlign w:val="subscript"/>
              </w:rPr>
              <w:t>2</w:t>
            </w:r>
            <w:r>
              <w:rPr>
                <w:rFonts w:hint="eastAsia"/>
                <w:bCs/>
                <w:color w:val="auto"/>
                <w:kern w:val="0"/>
                <w:sz w:val="24"/>
              </w:rPr>
              <w:t>）、二氧化氮（NO</w:t>
            </w:r>
            <w:r>
              <w:rPr>
                <w:rFonts w:hint="eastAsia"/>
                <w:bCs/>
                <w:color w:val="auto"/>
                <w:kern w:val="0"/>
                <w:sz w:val="24"/>
                <w:vertAlign w:val="subscript"/>
              </w:rPr>
              <w:t>2</w:t>
            </w:r>
            <w:r>
              <w:rPr>
                <w:rFonts w:hint="eastAsia"/>
                <w:bCs/>
                <w:color w:val="auto"/>
                <w:kern w:val="0"/>
                <w:sz w:val="24"/>
              </w:rPr>
              <w:t>）、一氧化碳（CO）和臭氧（O</w:t>
            </w:r>
            <w:r>
              <w:rPr>
                <w:rFonts w:hint="eastAsia"/>
                <w:bCs/>
                <w:color w:val="auto"/>
                <w:kern w:val="0"/>
                <w:sz w:val="24"/>
                <w:vertAlign w:val="subscript"/>
              </w:rPr>
              <w:t>3</w:t>
            </w:r>
            <w:r>
              <w:rPr>
                <w:rFonts w:hint="eastAsia"/>
                <w:bCs/>
                <w:color w:val="auto"/>
                <w:kern w:val="0"/>
                <w:sz w:val="24"/>
              </w:rPr>
              <w:t>）年均浓度分别为36微克/立方米、58微克/立方米、8微克/立方米、25微克/立方米、1.0毫克/立方米、158微克/立方米。与2022年相比，O</w:t>
            </w:r>
            <w:r>
              <w:rPr>
                <w:rFonts w:hint="eastAsia"/>
                <w:bCs/>
                <w:color w:val="auto"/>
                <w:kern w:val="0"/>
                <w:sz w:val="24"/>
                <w:vertAlign w:val="subscript"/>
              </w:rPr>
              <w:t>3</w:t>
            </w:r>
            <w:r>
              <w:rPr>
                <w:rFonts w:hint="eastAsia"/>
                <w:bCs/>
                <w:color w:val="auto"/>
                <w:kern w:val="0"/>
                <w:sz w:val="24"/>
              </w:rPr>
              <w:t>污染有所改善，O</w:t>
            </w:r>
            <w:r>
              <w:rPr>
                <w:rFonts w:hint="eastAsia"/>
                <w:bCs/>
                <w:color w:val="auto"/>
                <w:kern w:val="0"/>
                <w:sz w:val="24"/>
                <w:vertAlign w:val="subscript"/>
              </w:rPr>
              <w:t>3</w:t>
            </w:r>
            <w:r>
              <w:rPr>
                <w:rFonts w:hint="eastAsia"/>
                <w:bCs/>
                <w:color w:val="auto"/>
                <w:kern w:val="0"/>
                <w:sz w:val="24"/>
              </w:rPr>
              <w:t>为首要污染物的超标天减少3天，PM</w:t>
            </w:r>
            <w:r>
              <w:rPr>
                <w:rFonts w:hint="eastAsia"/>
                <w:bCs/>
                <w:color w:val="auto"/>
                <w:kern w:val="0"/>
                <w:sz w:val="24"/>
                <w:vertAlign w:val="subscript"/>
              </w:rPr>
              <w:t>2.5</w:t>
            </w:r>
            <w:r>
              <w:rPr>
                <w:rFonts w:hint="eastAsia"/>
                <w:bCs/>
                <w:color w:val="auto"/>
                <w:kern w:val="0"/>
                <w:sz w:val="24"/>
              </w:rPr>
              <w:t>浓度有所反弹，PM</w:t>
            </w:r>
            <w:r>
              <w:rPr>
                <w:rFonts w:hint="eastAsia"/>
                <w:bCs/>
                <w:color w:val="auto"/>
                <w:kern w:val="0"/>
                <w:sz w:val="24"/>
                <w:vertAlign w:val="subscript"/>
              </w:rPr>
              <w:t>2.5</w:t>
            </w:r>
            <w:r>
              <w:rPr>
                <w:rFonts w:hint="eastAsia"/>
                <w:bCs/>
                <w:color w:val="auto"/>
                <w:kern w:val="0"/>
                <w:sz w:val="24"/>
              </w:rPr>
              <w:t>为首要污染物的超标天增加7天。PM</w:t>
            </w:r>
            <w:r>
              <w:rPr>
                <w:rFonts w:hint="eastAsia"/>
                <w:bCs/>
                <w:color w:val="auto"/>
                <w:kern w:val="0"/>
                <w:sz w:val="24"/>
                <w:vertAlign w:val="subscript"/>
              </w:rPr>
              <w:t>10</w:t>
            </w:r>
            <w:r>
              <w:rPr>
                <w:rFonts w:hint="eastAsia"/>
                <w:bCs/>
                <w:color w:val="auto"/>
                <w:kern w:val="0"/>
                <w:sz w:val="24"/>
              </w:rPr>
              <w:t>、SO</w:t>
            </w:r>
            <w:r>
              <w:rPr>
                <w:rFonts w:hint="eastAsia"/>
                <w:bCs/>
                <w:color w:val="auto"/>
                <w:kern w:val="0"/>
                <w:sz w:val="24"/>
                <w:vertAlign w:val="subscript"/>
              </w:rPr>
              <w:t>2</w:t>
            </w:r>
            <w:r>
              <w:rPr>
                <w:rFonts w:hint="eastAsia"/>
                <w:bCs/>
                <w:color w:val="auto"/>
                <w:kern w:val="0"/>
                <w:sz w:val="24"/>
              </w:rPr>
              <w:t>、O</w:t>
            </w:r>
            <w:r>
              <w:rPr>
                <w:rFonts w:hint="eastAsia"/>
                <w:bCs/>
                <w:color w:val="auto"/>
                <w:kern w:val="0"/>
                <w:sz w:val="24"/>
                <w:vertAlign w:val="subscript"/>
              </w:rPr>
              <w:t>3</w:t>
            </w:r>
            <w:r>
              <w:rPr>
                <w:rFonts w:hint="eastAsia"/>
                <w:bCs/>
                <w:color w:val="auto"/>
                <w:kern w:val="0"/>
                <w:sz w:val="24"/>
              </w:rPr>
              <w:t>降幅分别为3.3%、11.1%、0.6%。可吸入颗粒物（PM</w:t>
            </w:r>
            <w:r>
              <w:rPr>
                <w:rFonts w:hint="eastAsia"/>
                <w:bCs/>
                <w:color w:val="auto"/>
                <w:kern w:val="0"/>
                <w:sz w:val="24"/>
                <w:vertAlign w:val="subscript"/>
              </w:rPr>
              <w:t>10</w:t>
            </w:r>
            <w:r>
              <w:rPr>
                <w:rFonts w:hint="eastAsia"/>
                <w:bCs/>
                <w:color w:val="auto"/>
                <w:kern w:val="0"/>
                <w:sz w:val="24"/>
              </w:rPr>
              <w:t>）、二氧化硫（SO</w:t>
            </w:r>
            <w:r>
              <w:rPr>
                <w:rFonts w:hint="eastAsia"/>
                <w:bCs/>
                <w:color w:val="auto"/>
                <w:kern w:val="0"/>
                <w:sz w:val="24"/>
                <w:vertAlign w:val="subscript"/>
              </w:rPr>
              <w:t>2</w:t>
            </w:r>
            <w:r>
              <w:rPr>
                <w:rFonts w:hint="eastAsia"/>
                <w:bCs/>
                <w:color w:val="auto"/>
                <w:kern w:val="0"/>
                <w:sz w:val="24"/>
              </w:rPr>
              <w:t>）、二氧化氮（NO</w:t>
            </w:r>
            <w:r>
              <w:rPr>
                <w:rFonts w:hint="eastAsia"/>
                <w:bCs/>
                <w:color w:val="auto"/>
                <w:kern w:val="0"/>
                <w:sz w:val="24"/>
                <w:vertAlign w:val="subscript"/>
              </w:rPr>
              <w:t>2</w:t>
            </w:r>
            <w:r>
              <w:rPr>
                <w:rFonts w:hint="eastAsia"/>
                <w:bCs/>
                <w:color w:val="auto"/>
                <w:kern w:val="0"/>
                <w:sz w:val="24"/>
              </w:rPr>
              <w:t>）、一氧化碳（CO）和臭氧（O</w:t>
            </w:r>
            <w:r>
              <w:rPr>
                <w:rFonts w:hint="eastAsia"/>
                <w:bCs/>
                <w:color w:val="auto"/>
                <w:kern w:val="0"/>
                <w:sz w:val="24"/>
                <w:vertAlign w:val="subscript"/>
              </w:rPr>
              <w:t>3</w:t>
            </w:r>
            <w:r>
              <w:rPr>
                <w:rFonts w:hint="eastAsia"/>
                <w:bCs/>
                <w:color w:val="auto"/>
                <w:kern w:val="0"/>
                <w:sz w:val="24"/>
              </w:rPr>
              <w:t>）污染物浓度达到国家二级标准，PM</w:t>
            </w:r>
            <w:r>
              <w:rPr>
                <w:rFonts w:hint="eastAsia"/>
                <w:bCs/>
                <w:color w:val="auto"/>
                <w:kern w:val="0"/>
                <w:sz w:val="24"/>
                <w:vertAlign w:val="subscript"/>
              </w:rPr>
              <w:t>2.5</w:t>
            </w:r>
            <w:r>
              <w:rPr>
                <w:rFonts w:hint="eastAsia"/>
                <w:bCs/>
                <w:color w:val="auto"/>
                <w:kern w:val="0"/>
                <w:sz w:val="24"/>
              </w:rPr>
              <w:t>浓度在36微克/立方米，未达到国家二级标准，故建设项目所在地为不达标区。</w:t>
            </w:r>
          </w:p>
          <w:p w14:paraId="593770D0">
            <w:pPr>
              <w:adjustRightInd w:val="0"/>
              <w:snapToGrid w:val="0"/>
              <w:spacing w:line="360" w:lineRule="auto"/>
              <w:ind w:firstLine="480" w:firstLineChars="200"/>
              <w:rPr>
                <w:color w:val="auto"/>
                <w:sz w:val="24"/>
              </w:rPr>
            </w:pPr>
            <w:r>
              <w:rPr>
                <w:rFonts w:hint="eastAsia"/>
                <w:color w:val="auto"/>
                <w:sz w:val="24"/>
              </w:rPr>
              <w:t>根据</w:t>
            </w:r>
            <w:r>
              <w:rPr>
                <w:color w:val="auto"/>
                <w:sz w:val="24"/>
              </w:rPr>
              <w:t>《淮安市202</w:t>
            </w:r>
            <w:r>
              <w:rPr>
                <w:rFonts w:hint="eastAsia"/>
                <w:color w:val="auto"/>
                <w:sz w:val="24"/>
              </w:rPr>
              <w:t>4</w:t>
            </w:r>
            <w:r>
              <w:rPr>
                <w:color w:val="auto"/>
                <w:sz w:val="24"/>
              </w:rPr>
              <w:t>年大气污染防治工作计划》（淮</w:t>
            </w:r>
            <w:r>
              <w:rPr>
                <w:rFonts w:hint="eastAsia"/>
                <w:color w:val="auto"/>
                <w:sz w:val="24"/>
              </w:rPr>
              <w:t>污防攻坚指办</w:t>
            </w:r>
            <w:r>
              <w:rPr>
                <w:rFonts w:hint="eastAsia"/>
                <w:color w:val="auto"/>
                <w:sz w:val="24"/>
                <w:lang w:eastAsia="zh-CN"/>
              </w:rPr>
              <w:t>〔2024〕50号</w:t>
            </w:r>
            <w:r>
              <w:rPr>
                <w:color w:val="auto"/>
                <w:sz w:val="24"/>
              </w:rPr>
              <w:t>）</w:t>
            </w:r>
            <w:r>
              <w:rPr>
                <w:rFonts w:hint="eastAsia"/>
                <w:color w:val="auto"/>
                <w:sz w:val="24"/>
              </w:rPr>
              <w:t>，为持续深入打好蓝天保卫战，切实保障人民群众身体健康，以空气质量持续改善推动经济高质量发展，淮安市2024年要推进八项重点任务：（一）优化产业结构，促进产业产品绿色升级；（二）优化能源结构，加速能源清洁低碳高效发展；（三）优化交通结构，大力发展绿色运输体系；（四）聚焦重点行业，推进大气污染综合治理；（五）开展VOCs大会战，持续压降VOCs浓度；（六）强化面源污染治理，提升精细化管理水平；（七）强化执法检查和监督帮扶，加强污染过程应对；（八）加强能力建设，健全标准体系。2024年工作目标为：全市PM</w:t>
            </w:r>
            <w:r>
              <w:rPr>
                <w:rFonts w:hint="eastAsia"/>
                <w:color w:val="auto"/>
                <w:sz w:val="24"/>
                <w:vertAlign w:val="subscript"/>
              </w:rPr>
              <w:t>2.5</w:t>
            </w:r>
            <w:r>
              <w:rPr>
                <w:rFonts w:hint="eastAsia"/>
                <w:color w:val="auto"/>
                <w:sz w:val="24"/>
              </w:rPr>
              <w:t>浓度达到35微克/立方米左右，优良天数比率达到81.2%左右，臭氧浓度增长趋势得到有效遏制。完成省下达的氮氧化物4340吨、挥发性有机物3466吨的重点工程减排量目标</w:t>
            </w:r>
            <w:r>
              <w:rPr>
                <w:color w:val="auto"/>
                <w:sz w:val="24"/>
              </w:rPr>
              <w:t>。</w:t>
            </w:r>
          </w:p>
          <w:p w14:paraId="7DCDF94B">
            <w:pPr>
              <w:adjustRightInd w:val="0"/>
              <w:snapToGrid w:val="0"/>
              <w:spacing w:line="360" w:lineRule="auto"/>
              <w:ind w:firstLine="480" w:firstLineChars="200"/>
              <w:rPr>
                <w:color w:val="auto"/>
                <w:sz w:val="24"/>
              </w:rPr>
            </w:pPr>
            <w:r>
              <w:rPr>
                <w:rFonts w:hint="eastAsia"/>
                <w:color w:val="auto"/>
                <w:sz w:val="24"/>
              </w:rPr>
              <w:t>在落实以上措施后，超标因子年均值浓度持续下降，环境空气质量逐渐改善，能够满足区域环境质量改善目标管理的要求。</w:t>
            </w:r>
          </w:p>
          <w:p w14:paraId="02C929AC">
            <w:pPr>
              <w:adjustRightInd w:val="0"/>
              <w:snapToGrid w:val="0"/>
              <w:spacing w:line="360" w:lineRule="auto"/>
              <w:ind w:firstLine="480" w:firstLineChars="200"/>
              <w:rPr>
                <w:color w:val="auto"/>
                <w:sz w:val="24"/>
              </w:rPr>
            </w:pPr>
            <w:r>
              <w:rPr>
                <w:rFonts w:hint="eastAsia"/>
                <w:color w:val="auto"/>
                <w:sz w:val="24"/>
              </w:rPr>
              <w:t>②地表水环境</w:t>
            </w:r>
          </w:p>
          <w:p w14:paraId="23D7B8A7">
            <w:pPr>
              <w:adjustRightInd w:val="0"/>
              <w:snapToGrid w:val="0"/>
              <w:spacing w:line="360" w:lineRule="auto"/>
              <w:ind w:firstLine="480" w:firstLineChars="200"/>
              <w:rPr>
                <w:color w:val="auto"/>
                <w:sz w:val="24"/>
              </w:rPr>
            </w:pPr>
            <w:r>
              <w:rPr>
                <w:color w:val="auto"/>
                <w:sz w:val="24"/>
              </w:rPr>
              <w:t>根据《202</w:t>
            </w:r>
            <w:r>
              <w:rPr>
                <w:rFonts w:hint="eastAsia"/>
                <w:color w:val="auto"/>
                <w:sz w:val="24"/>
              </w:rPr>
              <w:t>3</w:t>
            </w:r>
            <w:r>
              <w:rPr>
                <w:color w:val="auto"/>
                <w:sz w:val="24"/>
              </w:rPr>
              <w:t>年淮安市生态环境状况公报》，</w:t>
            </w:r>
            <w:r>
              <w:rPr>
                <w:rFonts w:hint="eastAsia"/>
                <w:color w:val="auto"/>
                <w:sz w:val="24"/>
              </w:rPr>
              <w:t>2023年，淮河、京杭大运河、苏北灌溉总渠、盐河、淮河入江水道、分淮入沂水道水质状况为优；入海水道南偏泓、浔河、黄河故道、金宝航道、维桥河、利农河、南淮泗河、张福河、团结河、高桥河、南六塘河、跃进河、汪木排河、草泽河、唐响河、头溪河、运西河</w:t>
            </w:r>
            <w:r>
              <w:rPr>
                <w:rFonts w:hint="eastAsia"/>
                <w:color w:val="auto"/>
                <w:sz w:val="24"/>
                <w:lang w:eastAsia="zh-CN"/>
              </w:rPr>
              <w:t>－</w:t>
            </w:r>
            <w:r>
              <w:rPr>
                <w:rFonts w:hint="eastAsia"/>
                <w:color w:val="auto"/>
                <w:sz w:val="24"/>
              </w:rPr>
              <w:t>新河、周桥灌区总干渠、一帆河、铜龙河、池河水质状况为良好；入海水道北偏泓、赵公河、公兴河水质状况为轻度污染。</w:t>
            </w:r>
          </w:p>
          <w:p w14:paraId="51DA7551">
            <w:pPr>
              <w:adjustRightInd w:val="0"/>
              <w:snapToGrid w:val="0"/>
              <w:spacing w:line="360" w:lineRule="auto"/>
              <w:ind w:firstLine="480" w:firstLineChars="200"/>
              <w:rPr>
                <w:color w:val="auto"/>
                <w:sz w:val="24"/>
              </w:rPr>
            </w:pPr>
            <w:r>
              <w:rPr>
                <w:rFonts w:hint="eastAsia"/>
                <w:color w:val="auto"/>
                <w:sz w:val="24"/>
              </w:rPr>
              <w:t>③声环境</w:t>
            </w:r>
          </w:p>
          <w:p w14:paraId="6FE2520C">
            <w:pPr>
              <w:adjustRightInd w:val="0"/>
              <w:snapToGrid w:val="0"/>
              <w:spacing w:line="360" w:lineRule="auto"/>
              <w:ind w:firstLine="480" w:firstLineChars="200"/>
              <w:rPr>
                <w:color w:val="auto"/>
                <w:sz w:val="24"/>
              </w:rPr>
            </w:pPr>
            <w:r>
              <w:rPr>
                <w:color w:val="auto"/>
                <w:sz w:val="24"/>
              </w:rPr>
              <w:t>根据《202</w:t>
            </w:r>
            <w:r>
              <w:rPr>
                <w:rFonts w:hint="eastAsia"/>
                <w:color w:val="auto"/>
                <w:sz w:val="24"/>
              </w:rPr>
              <w:t>3</w:t>
            </w:r>
            <w:r>
              <w:rPr>
                <w:color w:val="auto"/>
                <w:sz w:val="24"/>
              </w:rPr>
              <w:t>年淮安市生态环境状况公报》显示，202</w:t>
            </w:r>
            <w:r>
              <w:rPr>
                <w:rFonts w:hint="eastAsia"/>
                <w:color w:val="auto"/>
                <w:sz w:val="24"/>
              </w:rPr>
              <w:t>3</w:t>
            </w:r>
            <w:r>
              <w:rPr>
                <w:color w:val="auto"/>
                <w:sz w:val="24"/>
              </w:rPr>
              <w:t>年，</w:t>
            </w:r>
            <w:r>
              <w:rPr>
                <w:rFonts w:hint="eastAsia"/>
                <w:color w:val="auto"/>
                <w:sz w:val="24"/>
              </w:rPr>
              <w:t>淮安市声环境总体较好，全市各功能区昼夜噪声均达标。全市区域环境昼间噪声均值为55.1dB（A），夜间均值为45.3dB（A），同比均有所改善；全市昼间交通噪声均值为65.4dB（A），夜间交通噪声均值为55.4dB（A），均保持稳定，处于“好”水平。根据园区规划，项目所在地声环境功能属于3类区。</w:t>
            </w:r>
          </w:p>
          <w:p w14:paraId="258F921E">
            <w:pPr>
              <w:adjustRightInd w:val="0"/>
              <w:snapToGrid w:val="0"/>
              <w:spacing w:line="360" w:lineRule="auto"/>
              <w:ind w:firstLine="480" w:firstLineChars="200"/>
              <w:jc w:val="left"/>
              <w:rPr>
                <w:rFonts w:ascii="Times New Roman" w:hAnsi="Times New Roman"/>
                <w:b/>
                <w:color w:val="auto"/>
                <w:kern w:val="0"/>
                <w:sz w:val="24"/>
                <w:lang w:val="zh-CN"/>
              </w:rPr>
            </w:pPr>
            <w:r>
              <w:rPr>
                <w:rFonts w:hint="eastAsia"/>
                <w:color w:val="auto"/>
                <w:sz w:val="24"/>
                <w:lang w:eastAsia="zh-CN"/>
              </w:rPr>
              <w:t>④</w:t>
            </w:r>
            <w:r>
              <w:rPr>
                <w:rFonts w:ascii="Times New Roman" w:hAnsi="Times New Roman"/>
                <w:color w:val="auto"/>
                <w:kern w:val="0"/>
                <w:sz w:val="24"/>
                <w:lang w:val="zh-CN"/>
              </w:rPr>
              <w:t>生态环境</w:t>
            </w:r>
          </w:p>
          <w:p w14:paraId="40A8DCA1">
            <w:pPr>
              <w:adjustRightInd w:val="0"/>
              <w:snapToGrid w:val="0"/>
              <w:spacing w:line="360" w:lineRule="auto"/>
              <w:ind w:firstLine="480" w:firstLineChars="200"/>
              <w:rPr>
                <w:rFonts w:ascii="Times New Roman" w:hAnsi="Times New Roman"/>
                <w:color w:val="auto"/>
                <w:kern w:val="0"/>
                <w:sz w:val="24"/>
                <w:lang w:val="zh-CN"/>
              </w:rPr>
            </w:pPr>
            <w:r>
              <w:rPr>
                <w:rFonts w:ascii="Times New Roman" w:hAnsi="Times New Roman"/>
                <w:color w:val="auto"/>
                <w:kern w:val="0"/>
                <w:sz w:val="24"/>
                <w:lang w:val="zh-CN"/>
              </w:rPr>
              <w:t>根据《建设项目环境影响报告表编制技术指南污染影响类》（试行），“产业园区外建设项目新增用地且用地范围内含有生态环境保护目标时，应进行生态现状调查。”</w:t>
            </w:r>
          </w:p>
          <w:p w14:paraId="45E25EAD">
            <w:pPr>
              <w:adjustRightInd w:val="0"/>
              <w:snapToGrid w:val="0"/>
              <w:spacing w:line="360" w:lineRule="auto"/>
              <w:ind w:firstLine="480" w:firstLineChars="200"/>
              <w:rPr>
                <w:rFonts w:ascii="Times New Roman" w:hAnsi="Times New Roman"/>
                <w:color w:val="auto"/>
                <w:kern w:val="0"/>
                <w:sz w:val="24"/>
                <w:lang w:val="zh-CN"/>
              </w:rPr>
            </w:pPr>
            <w:r>
              <w:rPr>
                <w:rFonts w:hint="eastAsia"/>
                <w:color w:val="auto"/>
                <w:sz w:val="24"/>
                <w:lang w:eastAsia="zh-CN"/>
              </w:rPr>
              <w:t>本项目位于</w:t>
            </w:r>
            <w:r>
              <w:rPr>
                <w:rFonts w:hint="eastAsia"/>
                <w:color w:val="auto"/>
                <w:sz w:val="24"/>
              </w:rPr>
              <w:t>江苏涟水经济开发区涟古路北侧、兴隆路西侧</w:t>
            </w:r>
            <w:r>
              <w:rPr>
                <w:rFonts w:hint="eastAsia"/>
                <w:color w:val="auto"/>
                <w:sz w:val="24"/>
                <w:lang w:eastAsia="zh-CN"/>
              </w:rPr>
              <w:t>，</w:t>
            </w:r>
            <w:r>
              <w:rPr>
                <w:rFonts w:ascii="Times New Roman" w:hAnsi="Times New Roman"/>
                <w:color w:val="auto"/>
                <w:kern w:val="0"/>
                <w:sz w:val="24"/>
                <w:lang w:val="zh-CN"/>
              </w:rPr>
              <w:t>不需</w:t>
            </w:r>
            <w:r>
              <w:rPr>
                <w:rFonts w:ascii="Times New Roman" w:hAnsi="Times New Roman"/>
                <w:color w:val="auto"/>
                <w:sz w:val="24"/>
              </w:rPr>
              <w:t>进行</w:t>
            </w:r>
            <w:r>
              <w:rPr>
                <w:rFonts w:ascii="Times New Roman" w:hAnsi="Times New Roman"/>
                <w:color w:val="auto"/>
                <w:kern w:val="0"/>
                <w:sz w:val="24"/>
                <w:lang w:val="zh-CN"/>
              </w:rPr>
              <w:t>生态现状调查。</w:t>
            </w:r>
          </w:p>
          <w:p w14:paraId="1C39AB7F">
            <w:pPr>
              <w:adjustRightInd w:val="0"/>
              <w:snapToGrid w:val="0"/>
              <w:spacing w:line="360" w:lineRule="auto"/>
              <w:ind w:firstLine="480" w:firstLineChars="200"/>
              <w:jc w:val="left"/>
              <w:rPr>
                <w:rFonts w:ascii="Times New Roman" w:hAnsi="Times New Roman"/>
                <w:color w:val="auto"/>
                <w:kern w:val="0"/>
                <w:sz w:val="24"/>
                <w:lang w:val="zh-CN"/>
              </w:rPr>
            </w:pPr>
            <w:r>
              <w:rPr>
                <w:rFonts w:hint="eastAsia" w:ascii="Times New Roman" w:hAnsi="Times New Roman"/>
                <w:color w:val="auto"/>
                <w:kern w:val="0"/>
                <w:sz w:val="24"/>
                <w:lang w:val="zh-CN"/>
              </w:rPr>
              <w:t>⑤</w:t>
            </w:r>
            <w:r>
              <w:rPr>
                <w:rFonts w:ascii="Times New Roman" w:hAnsi="Times New Roman"/>
                <w:color w:val="auto"/>
                <w:kern w:val="0"/>
                <w:sz w:val="24"/>
                <w:lang w:val="zh-CN"/>
              </w:rPr>
              <w:t>电磁辐射</w:t>
            </w:r>
          </w:p>
          <w:p w14:paraId="4DA8AAE6">
            <w:pPr>
              <w:adjustRightInd w:val="0"/>
              <w:snapToGrid w:val="0"/>
              <w:spacing w:line="360" w:lineRule="auto"/>
              <w:ind w:firstLine="480" w:firstLineChars="200"/>
              <w:rPr>
                <w:rFonts w:hint="eastAsia" w:ascii="Times New Roman" w:hAnsi="Times New Roman"/>
                <w:color w:val="auto"/>
                <w:kern w:val="0"/>
                <w:sz w:val="24"/>
                <w:lang w:val="zh-CN" w:eastAsia="zh-CN"/>
              </w:rPr>
            </w:pPr>
            <w:r>
              <w:rPr>
                <w:rFonts w:ascii="Times New Roman" w:hAnsi="Times New Roman"/>
                <w:color w:val="auto"/>
                <w:kern w:val="0"/>
                <w:sz w:val="24"/>
                <w:lang w:val="zh-CN"/>
              </w:rPr>
              <w:t>项目不涉及电磁辐射影响，不需开展现状开展电磁辐射现状监测与评价。</w:t>
            </w:r>
          </w:p>
          <w:p w14:paraId="79D96AE8">
            <w:pPr>
              <w:adjustRightInd w:val="0"/>
              <w:snapToGrid w:val="0"/>
              <w:spacing w:line="360" w:lineRule="auto"/>
              <w:ind w:firstLine="480" w:firstLineChars="200"/>
              <w:rPr>
                <w:color w:val="auto"/>
                <w:sz w:val="24"/>
              </w:rPr>
            </w:pPr>
            <w:r>
              <w:rPr>
                <w:rFonts w:hint="eastAsia"/>
                <w:color w:val="auto"/>
                <w:sz w:val="24"/>
              </w:rPr>
              <w:t>本</w:t>
            </w:r>
            <w:r>
              <w:rPr>
                <w:color w:val="auto"/>
                <w:sz w:val="24"/>
              </w:rPr>
              <w:t>项目</w:t>
            </w:r>
            <w:r>
              <w:rPr>
                <w:rFonts w:hint="eastAsia"/>
                <w:color w:val="auto"/>
                <w:sz w:val="24"/>
              </w:rPr>
              <w:t>建设后产生的</w:t>
            </w:r>
            <w:r>
              <w:rPr>
                <w:color w:val="auto"/>
                <w:sz w:val="24"/>
              </w:rPr>
              <w:t>废气、废水、噪声、固体废弃物等</w:t>
            </w:r>
            <w:r>
              <w:rPr>
                <w:rFonts w:hint="eastAsia"/>
                <w:color w:val="auto"/>
                <w:sz w:val="24"/>
              </w:rPr>
              <w:t>污染物</w:t>
            </w:r>
            <w:r>
              <w:rPr>
                <w:color w:val="auto"/>
                <w:sz w:val="24"/>
              </w:rPr>
              <w:t>经有效处理后，对环境影响较小，不会改变环境质量现状。</w:t>
            </w:r>
          </w:p>
          <w:p w14:paraId="764663DE">
            <w:pPr>
              <w:adjustRightInd w:val="0"/>
              <w:snapToGrid w:val="0"/>
              <w:spacing w:line="360" w:lineRule="auto"/>
              <w:ind w:firstLine="480"/>
              <w:rPr>
                <w:color w:val="auto"/>
                <w:sz w:val="24"/>
              </w:rPr>
            </w:pPr>
            <w:r>
              <w:rPr>
                <w:bCs/>
                <w:color w:val="auto"/>
                <w:sz w:val="24"/>
              </w:rPr>
              <w:t>因此</w:t>
            </w:r>
            <w:r>
              <w:rPr>
                <w:rFonts w:hint="eastAsia"/>
                <w:bCs/>
                <w:color w:val="auto"/>
                <w:sz w:val="24"/>
                <w:lang w:eastAsia="zh-CN"/>
              </w:rPr>
              <w:t>，</w:t>
            </w:r>
            <w:r>
              <w:rPr>
                <w:bCs/>
                <w:color w:val="auto"/>
                <w:sz w:val="24"/>
              </w:rPr>
              <w:t>项目的建设符合环境质量底线要求。</w:t>
            </w:r>
          </w:p>
          <w:p w14:paraId="413C4281">
            <w:pPr>
              <w:adjustRightInd w:val="0"/>
              <w:snapToGrid w:val="0"/>
              <w:spacing w:line="360" w:lineRule="auto"/>
              <w:ind w:firstLine="482" w:firstLineChars="200"/>
              <w:rPr>
                <w:b/>
                <w:color w:val="auto"/>
                <w:sz w:val="24"/>
              </w:rPr>
            </w:pPr>
            <w:r>
              <w:rPr>
                <w:rFonts w:hint="eastAsia"/>
                <w:b/>
                <w:color w:val="auto"/>
                <w:sz w:val="24"/>
              </w:rPr>
              <w:t>3.</w:t>
            </w:r>
            <w:r>
              <w:rPr>
                <w:b/>
                <w:color w:val="auto"/>
                <w:sz w:val="24"/>
              </w:rPr>
              <w:t>资源利用上线</w:t>
            </w:r>
          </w:p>
          <w:p w14:paraId="37EFA28C">
            <w:pPr>
              <w:adjustRightInd w:val="0"/>
              <w:snapToGrid w:val="0"/>
              <w:spacing w:line="360" w:lineRule="auto"/>
              <w:ind w:firstLine="480" w:firstLineChars="200"/>
              <w:rPr>
                <w:color w:val="auto"/>
                <w:sz w:val="24"/>
              </w:rPr>
            </w:pPr>
            <w:r>
              <w:rPr>
                <w:color w:val="auto"/>
                <w:sz w:val="24"/>
              </w:rPr>
              <w:t>目前涟水新港电子产业科技园尚未制定资源利用上线相关文件，本次评价从项目原辅料及能源利用方面分析其相符性。建设项目为</w:t>
            </w:r>
            <w:r>
              <w:rPr>
                <w:rFonts w:hint="eastAsia"/>
                <w:color w:val="auto"/>
                <w:sz w:val="24"/>
              </w:rPr>
              <w:t>电机、变频器生产项目</w:t>
            </w:r>
            <w:r>
              <w:rPr>
                <w:color w:val="auto"/>
                <w:sz w:val="24"/>
              </w:rPr>
              <w:t>，</w:t>
            </w:r>
            <w:r>
              <w:rPr>
                <w:rFonts w:hint="eastAsia"/>
                <w:color w:val="auto"/>
                <w:sz w:val="24"/>
                <w:lang w:eastAsia="zh-CN"/>
              </w:rPr>
              <w:t>在运营过程中消耗一定量的电、水等资源，用水来自市政自来水管网供水，不会达到资源利用底线；项目用电由市政电网供给，不会达到资源利用上线；项目占地约</w:t>
            </w:r>
            <w:r>
              <w:rPr>
                <w:rFonts w:hint="eastAsia"/>
                <w:color w:val="auto"/>
                <w:sz w:val="24"/>
                <w:lang w:val="en-US" w:eastAsia="zh-CN"/>
              </w:rPr>
              <w:t>22890m</w:t>
            </w:r>
            <w:r>
              <w:rPr>
                <w:rFonts w:hint="eastAsia"/>
                <w:color w:val="auto"/>
                <w:sz w:val="24"/>
                <w:vertAlign w:val="superscript"/>
                <w:lang w:val="en-US" w:eastAsia="zh-CN"/>
              </w:rPr>
              <w:t>2</w:t>
            </w:r>
            <w:r>
              <w:rPr>
                <w:rFonts w:hint="eastAsia"/>
                <w:color w:val="auto"/>
                <w:sz w:val="24"/>
                <w:lang w:eastAsia="zh-CN"/>
              </w:rPr>
              <w:t>，不占用基本农田，不影响区域土地资源总量，因此，建设项目</w:t>
            </w:r>
            <w:r>
              <w:rPr>
                <w:color w:val="auto"/>
                <w:sz w:val="24"/>
              </w:rPr>
              <w:t>不会突破当地资源利用上线</w:t>
            </w:r>
            <w:r>
              <w:rPr>
                <w:rFonts w:hint="eastAsia"/>
                <w:color w:val="auto"/>
                <w:sz w:val="24"/>
              </w:rPr>
              <w:t>。</w:t>
            </w:r>
          </w:p>
          <w:p w14:paraId="0EBF0EF1">
            <w:pPr>
              <w:adjustRightInd w:val="0"/>
              <w:snapToGrid w:val="0"/>
              <w:spacing w:line="360" w:lineRule="auto"/>
              <w:ind w:firstLine="482" w:firstLineChars="200"/>
              <w:rPr>
                <w:b/>
                <w:color w:val="auto"/>
                <w:sz w:val="24"/>
              </w:rPr>
            </w:pPr>
            <w:r>
              <w:rPr>
                <w:rFonts w:hint="eastAsia"/>
                <w:b/>
                <w:color w:val="auto"/>
                <w:sz w:val="24"/>
              </w:rPr>
              <w:t>4.</w:t>
            </w:r>
            <w:r>
              <w:rPr>
                <w:b/>
                <w:color w:val="auto"/>
                <w:sz w:val="24"/>
              </w:rPr>
              <w:t>环境准入负面清单</w:t>
            </w:r>
          </w:p>
          <w:p w14:paraId="26394606">
            <w:pPr>
              <w:adjustRightInd w:val="0"/>
              <w:snapToGrid w:val="0"/>
              <w:spacing w:line="360" w:lineRule="auto"/>
              <w:ind w:firstLine="480"/>
              <w:rPr>
                <w:color w:val="auto"/>
                <w:sz w:val="24"/>
              </w:rPr>
            </w:pPr>
            <w:r>
              <w:rPr>
                <w:rFonts w:hint="eastAsia"/>
                <w:color w:val="auto"/>
                <w:sz w:val="24"/>
              </w:rPr>
              <w:t>本次评价对照国家及地方产业政策进行说明</w:t>
            </w:r>
            <w:r>
              <w:rPr>
                <w:color w:val="auto"/>
                <w:sz w:val="24"/>
              </w:rPr>
              <w:t>，见表1-</w:t>
            </w:r>
            <w:r>
              <w:rPr>
                <w:rFonts w:hint="eastAsia"/>
                <w:color w:val="auto"/>
                <w:sz w:val="24"/>
              </w:rPr>
              <w:t>8</w:t>
            </w:r>
            <w:r>
              <w:rPr>
                <w:color w:val="auto"/>
                <w:sz w:val="24"/>
              </w:rPr>
              <w:t>。</w:t>
            </w:r>
          </w:p>
          <w:p w14:paraId="4E3FF77C">
            <w:pPr>
              <w:adjustRightInd w:val="0"/>
              <w:snapToGrid w:val="0"/>
              <w:ind w:firstLine="482"/>
              <w:jc w:val="center"/>
              <w:rPr>
                <w:b/>
                <w:color w:val="auto"/>
                <w:sz w:val="24"/>
                <w:lang w:val="zh-CN"/>
              </w:rPr>
            </w:pPr>
            <w:r>
              <w:rPr>
                <w:b/>
                <w:color w:val="auto"/>
                <w:sz w:val="24"/>
                <w:lang w:val="zh-CN"/>
              </w:rPr>
              <w:t>表1-</w:t>
            </w:r>
            <w:r>
              <w:rPr>
                <w:rFonts w:hint="eastAsia"/>
                <w:b/>
                <w:color w:val="auto"/>
                <w:sz w:val="24"/>
              </w:rPr>
              <w:t>8</w:t>
            </w:r>
            <w:r>
              <w:rPr>
                <w:b/>
                <w:color w:val="auto"/>
                <w:sz w:val="24"/>
              </w:rPr>
              <w:t xml:space="preserve"> </w:t>
            </w:r>
            <w:r>
              <w:rPr>
                <w:b/>
                <w:color w:val="auto"/>
                <w:sz w:val="24"/>
                <w:lang w:val="zh-CN"/>
              </w:rPr>
              <w:t>区域环境准入负面清单</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28"/>
              <w:gridCol w:w="4123"/>
              <w:gridCol w:w="2847"/>
              <w:gridCol w:w="534"/>
            </w:tblGrid>
            <w:tr w14:paraId="4DDA71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8" w:type="dxa"/>
                  <w:vAlign w:val="center"/>
                </w:tcPr>
                <w:p w14:paraId="6125C387">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kern w:val="0"/>
                      <w:szCs w:val="21"/>
                    </w:rPr>
                  </w:pPr>
                  <w:r>
                    <w:rPr>
                      <w:b/>
                      <w:bCs/>
                      <w:color w:val="auto"/>
                      <w:kern w:val="0"/>
                      <w:szCs w:val="21"/>
                    </w:rPr>
                    <w:t>序号</w:t>
                  </w:r>
                </w:p>
              </w:tc>
              <w:tc>
                <w:tcPr>
                  <w:tcW w:w="4123" w:type="dxa"/>
                  <w:vAlign w:val="center"/>
                </w:tcPr>
                <w:p w14:paraId="7C902FFA">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kern w:val="0"/>
                      <w:szCs w:val="21"/>
                    </w:rPr>
                  </w:pPr>
                  <w:r>
                    <w:rPr>
                      <w:b/>
                      <w:bCs/>
                      <w:color w:val="auto"/>
                      <w:kern w:val="0"/>
                      <w:szCs w:val="21"/>
                    </w:rPr>
                    <w:t>文件</w:t>
                  </w:r>
                </w:p>
              </w:tc>
              <w:tc>
                <w:tcPr>
                  <w:tcW w:w="2847" w:type="dxa"/>
                  <w:vAlign w:val="center"/>
                </w:tcPr>
                <w:p w14:paraId="2D6D4467">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kern w:val="0"/>
                      <w:szCs w:val="21"/>
                    </w:rPr>
                  </w:pPr>
                  <w:r>
                    <w:rPr>
                      <w:b/>
                      <w:bCs/>
                      <w:color w:val="auto"/>
                      <w:kern w:val="0"/>
                      <w:szCs w:val="21"/>
                    </w:rPr>
                    <w:t>相符性分析</w:t>
                  </w:r>
                </w:p>
              </w:tc>
              <w:tc>
                <w:tcPr>
                  <w:tcW w:w="534" w:type="dxa"/>
                  <w:vAlign w:val="center"/>
                </w:tcPr>
                <w:p w14:paraId="276933EC">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kern w:val="0"/>
                      <w:szCs w:val="21"/>
                    </w:rPr>
                  </w:pPr>
                  <w:r>
                    <w:rPr>
                      <w:b/>
                      <w:bCs/>
                      <w:color w:val="auto"/>
                      <w:kern w:val="0"/>
                      <w:szCs w:val="21"/>
                    </w:rPr>
                    <w:t>判定</w:t>
                  </w:r>
                </w:p>
                <w:p w14:paraId="46A1ECBF">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kern w:val="0"/>
                      <w:szCs w:val="21"/>
                    </w:rPr>
                  </w:pPr>
                  <w:r>
                    <w:rPr>
                      <w:b/>
                      <w:bCs/>
                      <w:color w:val="auto"/>
                      <w:kern w:val="0"/>
                      <w:szCs w:val="21"/>
                    </w:rPr>
                    <w:t>结果</w:t>
                  </w:r>
                </w:p>
              </w:tc>
            </w:tr>
            <w:tr w14:paraId="0C44CE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8" w:type="dxa"/>
                  <w:vAlign w:val="center"/>
                </w:tcPr>
                <w:p w14:paraId="78C7A9C5">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1</w:t>
                  </w:r>
                </w:p>
              </w:tc>
              <w:tc>
                <w:tcPr>
                  <w:tcW w:w="4123" w:type="dxa"/>
                  <w:vAlign w:val="center"/>
                </w:tcPr>
                <w:p w14:paraId="7B9C5D05">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《产业结构调整指导目录（2024年本）》</w:t>
                  </w:r>
                </w:p>
              </w:tc>
              <w:tc>
                <w:tcPr>
                  <w:tcW w:w="2847" w:type="dxa"/>
                  <w:vAlign w:val="center"/>
                </w:tcPr>
                <w:p w14:paraId="726DFED7">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 xml:space="preserve">不属于限制类、淘汰类、禁止类项目 </w:t>
                  </w:r>
                </w:p>
              </w:tc>
              <w:tc>
                <w:tcPr>
                  <w:tcW w:w="534" w:type="dxa"/>
                  <w:vAlign w:val="center"/>
                </w:tcPr>
                <w:p w14:paraId="59141225">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符合</w:t>
                  </w:r>
                </w:p>
              </w:tc>
            </w:tr>
            <w:tr w14:paraId="142E63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28" w:type="dxa"/>
                  <w:vAlign w:val="center"/>
                </w:tcPr>
                <w:p w14:paraId="3047D987">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2</w:t>
                  </w:r>
                </w:p>
              </w:tc>
              <w:tc>
                <w:tcPr>
                  <w:tcW w:w="4123" w:type="dxa"/>
                  <w:vAlign w:val="center"/>
                </w:tcPr>
                <w:p w14:paraId="700AEFCF">
                  <w:pPr>
                    <w:keepNext w:val="0"/>
                    <w:keepLines w:val="0"/>
                    <w:pageBreakBefore w:val="0"/>
                    <w:widowControl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《关于加快全省化工钢铁煤电行业转型升级高质量发展的实施意见》（苏办发</w:t>
                  </w:r>
                  <w:r>
                    <w:rPr>
                      <w:rFonts w:hint="eastAsia"/>
                      <w:color w:val="auto"/>
                      <w:szCs w:val="21"/>
                      <w:lang w:eastAsia="zh-CN"/>
                    </w:rPr>
                    <w:t>〔2018〕32号</w:t>
                  </w:r>
                  <w:r>
                    <w:rPr>
                      <w:rFonts w:hint="eastAsia"/>
                      <w:color w:val="auto"/>
                      <w:szCs w:val="21"/>
                    </w:rPr>
                    <w:t>）附件3“江苏省产业结构调整限制、淘汰和禁止目录”</w:t>
                  </w:r>
                </w:p>
              </w:tc>
              <w:tc>
                <w:tcPr>
                  <w:tcW w:w="2847" w:type="dxa"/>
                  <w:vAlign w:val="center"/>
                </w:tcPr>
                <w:p w14:paraId="5BDCD14A">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kern w:val="0"/>
                      <w:szCs w:val="21"/>
                    </w:rPr>
                    <w:t>不属于限制类、淘汰类、禁止类项目</w:t>
                  </w:r>
                </w:p>
              </w:tc>
              <w:tc>
                <w:tcPr>
                  <w:tcW w:w="534" w:type="dxa"/>
                  <w:vAlign w:val="center"/>
                </w:tcPr>
                <w:p w14:paraId="09E4FE15">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szCs w:val="21"/>
                    </w:rPr>
                    <w:t>符合</w:t>
                  </w:r>
                </w:p>
              </w:tc>
            </w:tr>
            <w:tr w14:paraId="524DC5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8" w:type="dxa"/>
                  <w:shd w:val="clear" w:color="auto" w:fill="auto"/>
                  <w:vAlign w:val="center"/>
                </w:tcPr>
                <w:p w14:paraId="018AF1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kern w:val="0"/>
                      <w:sz w:val="21"/>
                      <w:szCs w:val="21"/>
                      <w:lang w:val="en-US" w:eastAsia="zh-CN" w:bidi="ar-SA"/>
                    </w:rPr>
                  </w:pPr>
                  <w:r>
                    <w:rPr>
                      <w:rFonts w:hint="eastAsia"/>
                      <w:color w:val="auto"/>
                      <w:kern w:val="0"/>
                      <w:szCs w:val="21"/>
                    </w:rPr>
                    <w:t>3</w:t>
                  </w:r>
                </w:p>
              </w:tc>
              <w:tc>
                <w:tcPr>
                  <w:tcW w:w="4123" w:type="dxa"/>
                  <w:vAlign w:val="center"/>
                </w:tcPr>
                <w:p w14:paraId="4A43F781">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《市场准入负面清单（202</w:t>
                  </w:r>
                  <w:r>
                    <w:rPr>
                      <w:rFonts w:hint="eastAsia"/>
                      <w:color w:val="auto"/>
                      <w:szCs w:val="21"/>
                      <w:lang w:val="en-US" w:eastAsia="zh-CN"/>
                    </w:rPr>
                    <w:t>5</w:t>
                  </w:r>
                  <w:r>
                    <w:rPr>
                      <w:color w:val="auto"/>
                      <w:szCs w:val="21"/>
                    </w:rPr>
                    <w:t>年版）》</w:t>
                  </w:r>
                </w:p>
              </w:tc>
              <w:tc>
                <w:tcPr>
                  <w:tcW w:w="2847" w:type="dxa"/>
                  <w:vAlign w:val="center"/>
                </w:tcPr>
                <w:p w14:paraId="638860B3">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不属于市场禁止准入项</w:t>
                  </w:r>
                  <w:r>
                    <w:rPr>
                      <w:rFonts w:hint="eastAsia"/>
                      <w:color w:val="auto"/>
                      <w:szCs w:val="21"/>
                    </w:rPr>
                    <w:t>目</w:t>
                  </w:r>
                </w:p>
              </w:tc>
              <w:tc>
                <w:tcPr>
                  <w:tcW w:w="534" w:type="dxa"/>
                  <w:vAlign w:val="center"/>
                </w:tcPr>
                <w:p w14:paraId="78AE5B9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符合</w:t>
                  </w:r>
                </w:p>
              </w:tc>
            </w:tr>
            <w:tr w14:paraId="7F3340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8" w:type="dxa"/>
                  <w:shd w:val="clear" w:color="auto" w:fill="auto"/>
                  <w:vAlign w:val="center"/>
                </w:tcPr>
                <w:p w14:paraId="04B8D4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color w:val="auto"/>
                      <w:szCs w:val="21"/>
                    </w:rPr>
                    <w:t>4</w:t>
                  </w:r>
                </w:p>
              </w:tc>
              <w:tc>
                <w:tcPr>
                  <w:tcW w:w="4123" w:type="dxa"/>
                  <w:vAlign w:val="center"/>
                </w:tcPr>
                <w:p w14:paraId="59FE1161">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《环境保护综合名录（2021年版）》</w:t>
                  </w:r>
                </w:p>
              </w:tc>
              <w:tc>
                <w:tcPr>
                  <w:tcW w:w="2847" w:type="dxa"/>
                  <w:vAlign w:val="center"/>
                </w:tcPr>
                <w:p w14:paraId="775BA15E">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不属于高污染、高环境风险产品项目</w:t>
                  </w:r>
                </w:p>
              </w:tc>
              <w:tc>
                <w:tcPr>
                  <w:tcW w:w="534" w:type="dxa"/>
                  <w:vAlign w:val="center"/>
                </w:tcPr>
                <w:p w14:paraId="29796353">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符合</w:t>
                  </w:r>
                </w:p>
              </w:tc>
            </w:tr>
            <w:tr w14:paraId="74440C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8" w:type="dxa"/>
                  <w:shd w:val="clear" w:color="auto" w:fill="auto"/>
                  <w:vAlign w:val="center"/>
                </w:tcPr>
                <w:p w14:paraId="588636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color w:val="auto"/>
                      <w:szCs w:val="21"/>
                    </w:rPr>
                    <w:t>5</w:t>
                  </w:r>
                </w:p>
              </w:tc>
              <w:tc>
                <w:tcPr>
                  <w:tcW w:w="4123" w:type="dxa"/>
                  <w:vAlign w:val="center"/>
                </w:tcPr>
                <w:p w14:paraId="1B155B94">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《长江经济带发展负面清单指南（试行，2022年版）》（长江办</w:t>
                  </w:r>
                  <w:r>
                    <w:rPr>
                      <w:rFonts w:hint="eastAsia"/>
                      <w:color w:val="auto"/>
                      <w:szCs w:val="21"/>
                      <w:lang w:eastAsia="zh-CN"/>
                    </w:rPr>
                    <w:t>〔2022〕7号</w:t>
                  </w:r>
                  <w:r>
                    <w:rPr>
                      <w:rFonts w:hint="eastAsia"/>
                      <w:color w:val="auto"/>
                      <w:szCs w:val="21"/>
                    </w:rPr>
                    <w:t>）</w:t>
                  </w:r>
                </w:p>
              </w:tc>
              <w:tc>
                <w:tcPr>
                  <w:tcW w:w="2847" w:type="dxa"/>
                  <w:vAlign w:val="center"/>
                </w:tcPr>
                <w:p w14:paraId="4622C21B">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不属于负面清单中禁止类项目</w:t>
                  </w:r>
                </w:p>
              </w:tc>
              <w:tc>
                <w:tcPr>
                  <w:tcW w:w="534" w:type="dxa"/>
                  <w:vAlign w:val="center"/>
                </w:tcPr>
                <w:p w14:paraId="3BEAF82D">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符合</w:t>
                  </w:r>
                </w:p>
              </w:tc>
            </w:tr>
            <w:tr w14:paraId="488F1F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8" w:type="dxa"/>
                  <w:shd w:val="clear" w:color="auto" w:fill="auto"/>
                  <w:vAlign w:val="center"/>
                </w:tcPr>
                <w:p w14:paraId="180C202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color w:val="auto"/>
                      <w:szCs w:val="21"/>
                    </w:rPr>
                    <w:t>6</w:t>
                  </w:r>
                </w:p>
              </w:tc>
              <w:tc>
                <w:tcPr>
                  <w:tcW w:w="4123" w:type="dxa"/>
                  <w:vAlign w:val="center"/>
                </w:tcPr>
                <w:p w14:paraId="024480CA">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w:t>
                  </w:r>
                  <w:r>
                    <w:rPr>
                      <w:rFonts w:hint="eastAsia"/>
                      <w:color w:val="auto"/>
                      <w:szCs w:val="21"/>
                      <w:lang w:eastAsia="zh-CN"/>
                    </w:rPr>
                    <w:t>〈</w:t>
                  </w:r>
                  <w:r>
                    <w:rPr>
                      <w:rFonts w:hint="eastAsia"/>
                      <w:color w:val="auto"/>
                      <w:szCs w:val="21"/>
                    </w:rPr>
                    <w:t>长江经济带发展负面清单指南（试行，2022年版）</w:t>
                  </w:r>
                  <w:r>
                    <w:rPr>
                      <w:rFonts w:hint="eastAsia"/>
                      <w:color w:val="auto"/>
                      <w:szCs w:val="21"/>
                      <w:lang w:eastAsia="zh-CN"/>
                    </w:rPr>
                    <w:t>〉</w:t>
                  </w:r>
                  <w:r>
                    <w:rPr>
                      <w:rFonts w:hint="eastAsia"/>
                      <w:color w:val="auto"/>
                      <w:szCs w:val="21"/>
                    </w:rPr>
                    <w:t>江苏省实施细则》（苏长江办发</w:t>
                  </w:r>
                  <w:r>
                    <w:rPr>
                      <w:rFonts w:hint="eastAsia"/>
                      <w:color w:val="auto"/>
                      <w:szCs w:val="21"/>
                      <w:lang w:eastAsia="zh-CN"/>
                    </w:rPr>
                    <w:t>〔2022〕55号</w:t>
                  </w:r>
                  <w:r>
                    <w:rPr>
                      <w:rFonts w:hint="eastAsia"/>
                      <w:color w:val="auto"/>
                      <w:szCs w:val="21"/>
                    </w:rPr>
                    <w:t>）</w:t>
                  </w:r>
                </w:p>
              </w:tc>
              <w:tc>
                <w:tcPr>
                  <w:tcW w:w="2847" w:type="dxa"/>
                  <w:vAlign w:val="center"/>
                </w:tcPr>
                <w:p w14:paraId="010E75DA">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不属于负面清单中禁止类项目</w:t>
                  </w:r>
                </w:p>
              </w:tc>
              <w:tc>
                <w:tcPr>
                  <w:tcW w:w="534" w:type="dxa"/>
                  <w:vAlign w:val="center"/>
                </w:tcPr>
                <w:p w14:paraId="53350362">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符合</w:t>
                  </w:r>
                </w:p>
              </w:tc>
            </w:tr>
          </w:tbl>
          <w:p w14:paraId="0EB5EB8E">
            <w:pPr>
              <w:pStyle w:val="55"/>
              <w:spacing w:before="120" w:beforeLines="50"/>
              <w:ind w:firstLine="482"/>
              <w:jc w:val="center"/>
              <w:rPr>
                <w:b/>
                <w:bCs/>
                <w:color w:val="auto"/>
                <w:sz w:val="24"/>
                <w:szCs w:val="24"/>
              </w:rPr>
            </w:pPr>
            <w:r>
              <w:rPr>
                <w:b/>
                <w:bCs/>
                <w:color w:val="auto"/>
                <w:sz w:val="24"/>
                <w:szCs w:val="24"/>
              </w:rPr>
              <w:t>表1-</w:t>
            </w:r>
            <w:r>
              <w:rPr>
                <w:rFonts w:hint="eastAsia"/>
                <w:b/>
                <w:bCs/>
                <w:color w:val="auto"/>
                <w:sz w:val="24"/>
                <w:szCs w:val="24"/>
              </w:rPr>
              <w:t>8</w:t>
            </w:r>
            <w:r>
              <w:rPr>
                <w:b/>
                <w:bCs/>
                <w:color w:val="auto"/>
                <w:sz w:val="24"/>
                <w:szCs w:val="24"/>
              </w:rPr>
              <w:t>涟水新港电子产业科技园生态环境准入清单</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1"/>
              <w:gridCol w:w="373"/>
              <w:gridCol w:w="4240"/>
              <w:gridCol w:w="2523"/>
              <w:gridCol w:w="315"/>
            </w:tblGrid>
            <w:tr w14:paraId="7CAC5D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4" w:type="dxa"/>
                  <w:gridSpan w:val="3"/>
                  <w:tcBorders>
                    <w:tl2br w:val="nil"/>
                    <w:tr2bl w:val="nil"/>
                  </w:tcBorders>
                  <w:vAlign w:val="center"/>
                </w:tcPr>
                <w:p w14:paraId="61FD3292">
                  <w:pPr>
                    <w:keepNext w:val="0"/>
                    <w:keepLines w:val="0"/>
                    <w:pageBreakBefore w:val="0"/>
                    <w:kinsoku/>
                    <w:wordWrap/>
                    <w:overflowPunct/>
                    <w:topLinePunct w:val="0"/>
                    <w:autoSpaceDE/>
                    <w:autoSpaceDN/>
                    <w:bidi w:val="0"/>
                    <w:adjustRightInd w:val="0"/>
                    <w:snapToGrid w:val="0"/>
                    <w:jc w:val="center"/>
                    <w:textAlignment w:val="auto"/>
                    <w:rPr>
                      <w:b/>
                      <w:bCs/>
                      <w:color w:val="auto"/>
                      <w:szCs w:val="21"/>
                    </w:rPr>
                  </w:pPr>
                  <w:r>
                    <w:rPr>
                      <w:b/>
                      <w:bCs/>
                      <w:color w:val="auto"/>
                      <w:szCs w:val="21"/>
                    </w:rPr>
                    <w:t>项目种类</w:t>
                  </w:r>
                </w:p>
              </w:tc>
              <w:tc>
                <w:tcPr>
                  <w:tcW w:w="2523" w:type="dxa"/>
                  <w:tcBorders>
                    <w:tl2br w:val="nil"/>
                    <w:tr2bl w:val="nil"/>
                  </w:tcBorders>
                  <w:vAlign w:val="center"/>
                </w:tcPr>
                <w:p w14:paraId="662BE38D">
                  <w:pPr>
                    <w:keepNext w:val="0"/>
                    <w:keepLines w:val="0"/>
                    <w:pageBreakBefore w:val="0"/>
                    <w:kinsoku/>
                    <w:wordWrap/>
                    <w:overflowPunct/>
                    <w:topLinePunct w:val="0"/>
                    <w:autoSpaceDE/>
                    <w:autoSpaceDN/>
                    <w:bidi w:val="0"/>
                    <w:adjustRightInd w:val="0"/>
                    <w:snapToGrid w:val="0"/>
                    <w:jc w:val="center"/>
                    <w:textAlignment w:val="auto"/>
                    <w:rPr>
                      <w:b/>
                      <w:bCs/>
                      <w:color w:val="auto"/>
                      <w:szCs w:val="21"/>
                    </w:rPr>
                  </w:pPr>
                  <w:r>
                    <w:rPr>
                      <w:b/>
                      <w:bCs/>
                      <w:color w:val="auto"/>
                      <w:szCs w:val="21"/>
                    </w:rPr>
                    <w:t>项目情况</w:t>
                  </w:r>
                </w:p>
              </w:tc>
              <w:tc>
                <w:tcPr>
                  <w:tcW w:w="315" w:type="dxa"/>
                  <w:tcBorders>
                    <w:tl2br w:val="nil"/>
                    <w:tr2bl w:val="nil"/>
                  </w:tcBorders>
                  <w:vAlign w:val="center"/>
                </w:tcPr>
                <w:p w14:paraId="69E609E2">
                  <w:pPr>
                    <w:keepNext w:val="0"/>
                    <w:keepLines w:val="0"/>
                    <w:pageBreakBefore w:val="0"/>
                    <w:kinsoku/>
                    <w:wordWrap/>
                    <w:overflowPunct/>
                    <w:topLinePunct w:val="0"/>
                    <w:autoSpaceDE/>
                    <w:autoSpaceDN/>
                    <w:bidi w:val="0"/>
                    <w:adjustRightInd w:val="0"/>
                    <w:snapToGrid w:val="0"/>
                    <w:jc w:val="center"/>
                    <w:textAlignment w:val="auto"/>
                    <w:rPr>
                      <w:b/>
                      <w:bCs/>
                      <w:color w:val="auto"/>
                      <w:szCs w:val="21"/>
                    </w:rPr>
                  </w:pPr>
                  <w:r>
                    <w:rPr>
                      <w:b/>
                      <w:bCs/>
                      <w:color w:val="auto"/>
                      <w:szCs w:val="21"/>
                    </w:rPr>
                    <w:t>判定结果</w:t>
                  </w:r>
                </w:p>
              </w:tc>
            </w:tr>
            <w:tr w14:paraId="4D5C6A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dxa"/>
                  <w:vMerge w:val="restart"/>
                  <w:tcBorders>
                    <w:tl2br w:val="nil"/>
                    <w:tr2bl w:val="nil"/>
                  </w:tcBorders>
                  <w:vAlign w:val="center"/>
                </w:tcPr>
                <w:p w14:paraId="3C9DB3CB">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产业准入</w:t>
                  </w:r>
                </w:p>
              </w:tc>
              <w:tc>
                <w:tcPr>
                  <w:tcW w:w="373" w:type="dxa"/>
                  <w:vMerge w:val="restart"/>
                  <w:tcBorders>
                    <w:tl2br w:val="nil"/>
                    <w:tr2bl w:val="nil"/>
                  </w:tcBorders>
                  <w:vAlign w:val="center"/>
                </w:tcPr>
                <w:p w14:paraId="13D8DA90">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优先引入</w:t>
                  </w:r>
                </w:p>
              </w:tc>
              <w:tc>
                <w:tcPr>
                  <w:tcW w:w="4240" w:type="dxa"/>
                  <w:tcBorders>
                    <w:tl2br w:val="nil"/>
                    <w:tr2bl w:val="nil"/>
                  </w:tcBorders>
                  <w:vAlign w:val="center"/>
                </w:tcPr>
                <w:p w14:paraId="6EAE9E51">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1、符合国家及地方产业政策，包括《产业结构调整指导目录</w:t>
                  </w:r>
                  <w:r>
                    <w:rPr>
                      <w:rFonts w:hint="eastAsia"/>
                      <w:color w:val="auto"/>
                      <w:szCs w:val="21"/>
                    </w:rPr>
                    <w:t>》《</w:t>
                  </w:r>
                  <w:r>
                    <w:rPr>
                      <w:color w:val="auto"/>
                      <w:szCs w:val="21"/>
                    </w:rPr>
                    <w:t>外商投资产业指导目录</w:t>
                  </w:r>
                  <w:r>
                    <w:rPr>
                      <w:rFonts w:hint="eastAsia"/>
                      <w:color w:val="auto"/>
                      <w:szCs w:val="21"/>
                    </w:rPr>
                    <w:t>》《</w:t>
                  </w:r>
                  <w:r>
                    <w:rPr>
                      <w:color w:val="auto"/>
                      <w:szCs w:val="21"/>
                    </w:rPr>
                    <w:t>江苏省人民政府发布核准的投资项目目录》。</w:t>
                  </w:r>
                </w:p>
              </w:tc>
              <w:tc>
                <w:tcPr>
                  <w:tcW w:w="2523" w:type="dxa"/>
                  <w:vMerge w:val="restart"/>
                  <w:tcBorders>
                    <w:tl2br w:val="nil"/>
                    <w:tr2bl w:val="nil"/>
                  </w:tcBorders>
                  <w:vAlign w:val="center"/>
                </w:tcPr>
                <w:p w14:paraId="2D24C088">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对照《产业结构调整指导目录（2024年本）》，项目</w:t>
                  </w:r>
                  <w:r>
                    <w:rPr>
                      <w:rFonts w:hint="eastAsia"/>
                      <w:color w:val="auto"/>
                      <w:szCs w:val="21"/>
                    </w:rPr>
                    <w:t>为</w:t>
                  </w:r>
                  <w:r>
                    <w:rPr>
                      <w:rFonts w:hint="eastAsia"/>
                      <w:color w:val="auto"/>
                      <w:sz w:val="21"/>
                      <w:szCs w:val="21"/>
                    </w:rPr>
                    <w:t>电机、变频器生产</w:t>
                  </w:r>
                  <w:r>
                    <w:rPr>
                      <w:rFonts w:hint="eastAsia"/>
                      <w:color w:val="auto"/>
                      <w:sz w:val="21"/>
                      <w:szCs w:val="21"/>
                      <w:lang w:eastAsia="zh-CN"/>
                    </w:rPr>
                    <w:t>项目</w:t>
                  </w:r>
                  <w:r>
                    <w:rPr>
                      <w:color w:val="auto"/>
                      <w:szCs w:val="21"/>
                    </w:rPr>
                    <w:t>，不属于目录中鼓励、限</w:t>
                  </w:r>
                  <w:r>
                    <w:rPr>
                      <w:rFonts w:hint="eastAsia"/>
                      <w:color w:val="auto"/>
                      <w:szCs w:val="21"/>
                    </w:rPr>
                    <w:t>制</w:t>
                  </w:r>
                  <w:r>
                    <w:rPr>
                      <w:color w:val="auto"/>
                      <w:szCs w:val="21"/>
                    </w:rPr>
                    <w:t>、淘汰类，</w:t>
                  </w:r>
                  <w:r>
                    <w:rPr>
                      <w:rFonts w:hint="eastAsia"/>
                      <w:color w:val="auto"/>
                      <w:szCs w:val="21"/>
                    </w:rPr>
                    <w:t>属于</w:t>
                  </w:r>
                  <w:r>
                    <w:rPr>
                      <w:color w:val="auto"/>
                      <w:szCs w:val="21"/>
                    </w:rPr>
                    <w:t>允许类</w:t>
                  </w:r>
                </w:p>
              </w:tc>
              <w:tc>
                <w:tcPr>
                  <w:tcW w:w="315" w:type="dxa"/>
                  <w:vMerge w:val="restart"/>
                  <w:tcBorders>
                    <w:tl2br w:val="nil"/>
                    <w:tr2bl w:val="nil"/>
                  </w:tcBorders>
                  <w:vAlign w:val="center"/>
                </w:tcPr>
                <w:p w14:paraId="0F750D33">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rFonts w:hint="eastAsia"/>
                      <w:color w:val="auto"/>
                      <w:szCs w:val="21"/>
                    </w:rPr>
                    <w:t>符合</w:t>
                  </w:r>
                </w:p>
              </w:tc>
            </w:tr>
            <w:tr w14:paraId="65B819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dxa"/>
                  <w:vMerge w:val="continue"/>
                  <w:tcBorders>
                    <w:tl2br w:val="nil"/>
                    <w:tr2bl w:val="nil"/>
                  </w:tcBorders>
                  <w:vAlign w:val="center"/>
                </w:tcPr>
                <w:p w14:paraId="3EF4BA1A">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373" w:type="dxa"/>
                  <w:vMerge w:val="continue"/>
                  <w:tcBorders>
                    <w:tl2br w:val="nil"/>
                    <w:tr2bl w:val="nil"/>
                  </w:tcBorders>
                  <w:vAlign w:val="center"/>
                </w:tcPr>
                <w:p w14:paraId="4CDEA996">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4240" w:type="dxa"/>
                  <w:tcBorders>
                    <w:tl2br w:val="nil"/>
                    <w:tr2bl w:val="nil"/>
                  </w:tcBorders>
                  <w:vAlign w:val="center"/>
                </w:tcPr>
                <w:p w14:paraId="27A4139D">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2、符合所属行业有关发展规划，符合电子信息行业规范条件。</w:t>
                  </w:r>
                </w:p>
              </w:tc>
              <w:tc>
                <w:tcPr>
                  <w:tcW w:w="2523" w:type="dxa"/>
                  <w:vMerge w:val="continue"/>
                  <w:tcBorders>
                    <w:tl2br w:val="nil"/>
                    <w:tr2bl w:val="nil"/>
                  </w:tcBorders>
                  <w:vAlign w:val="center"/>
                </w:tcPr>
                <w:p w14:paraId="523FA44C">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315" w:type="dxa"/>
                  <w:vMerge w:val="continue"/>
                  <w:tcBorders>
                    <w:tl2br w:val="nil"/>
                    <w:tr2bl w:val="nil"/>
                  </w:tcBorders>
                  <w:vAlign w:val="center"/>
                </w:tcPr>
                <w:p w14:paraId="0CF6B8B2">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r>
            <w:tr w14:paraId="0C6F03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dxa"/>
                  <w:vMerge w:val="continue"/>
                  <w:tcBorders>
                    <w:tl2br w:val="nil"/>
                    <w:tr2bl w:val="nil"/>
                  </w:tcBorders>
                  <w:vAlign w:val="center"/>
                </w:tcPr>
                <w:p w14:paraId="54C90921">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373" w:type="dxa"/>
                  <w:vMerge w:val="continue"/>
                  <w:tcBorders>
                    <w:tl2br w:val="nil"/>
                    <w:tr2bl w:val="nil"/>
                  </w:tcBorders>
                  <w:vAlign w:val="center"/>
                </w:tcPr>
                <w:p w14:paraId="4B76791A">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4240" w:type="dxa"/>
                  <w:tcBorders>
                    <w:tl2br w:val="nil"/>
                    <w:tr2bl w:val="nil"/>
                  </w:tcBorders>
                  <w:vAlign w:val="center"/>
                </w:tcPr>
                <w:p w14:paraId="7530B7C0">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3、符合涟水新港电子产业科技园规划产业定位（计算机、通信和其他电子设备制造业（代码C39），以智能终端、新型电子元器件、新型电子材料等领域高端应用需求为导向，优先发展计算机制造（代码C391）、智能消费设备制造（代码C396）、电子器件制造（代码C397）、电子元件及电子专用材料制造（代码C398）、其他电子设备制造（代码C399）、互联网和相关服务（代码I64）、软件和信息技术服务业（代码I65）、专业技术服务业（代码I74）、科技推广和应用服务业（代码I75））。</w:t>
                  </w:r>
                </w:p>
              </w:tc>
              <w:tc>
                <w:tcPr>
                  <w:tcW w:w="2523" w:type="dxa"/>
                  <w:tcBorders>
                    <w:tl2br w:val="nil"/>
                    <w:tr2bl w:val="nil"/>
                  </w:tcBorders>
                  <w:vAlign w:val="center"/>
                </w:tcPr>
                <w:p w14:paraId="4087D2FC">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rFonts w:hint="eastAsia"/>
                      <w:color w:val="auto"/>
                      <w:szCs w:val="21"/>
                    </w:rPr>
                    <w:t>本项目为电机、变频器生产，不属于园区禁止项目，</w:t>
                  </w:r>
                  <w:r>
                    <w:rPr>
                      <w:color w:val="auto"/>
                      <w:szCs w:val="21"/>
                    </w:rPr>
                    <w:t>符合园区产业定位</w:t>
                  </w:r>
                </w:p>
              </w:tc>
              <w:tc>
                <w:tcPr>
                  <w:tcW w:w="315" w:type="dxa"/>
                  <w:vMerge w:val="continue"/>
                  <w:tcBorders>
                    <w:tl2br w:val="nil"/>
                    <w:tr2bl w:val="nil"/>
                  </w:tcBorders>
                  <w:vAlign w:val="center"/>
                </w:tcPr>
                <w:p w14:paraId="1C9F9828">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r>
            <w:tr w14:paraId="29C3E3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dxa"/>
                  <w:vMerge w:val="continue"/>
                  <w:tcBorders>
                    <w:tl2br w:val="nil"/>
                    <w:tr2bl w:val="nil"/>
                  </w:tcBorders>
                  <w:vAlign w:val="center"/>
                </w:tcPr>
                <w:p w14:paraId="21F87AFB">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373" w:type="dxa"/>
                  <w:vMerge w:val="restart"/>
                  <w:tcBorders>
                    <w:tl2br w:val="nil"/>
                    <w:tr2bl w:val="nil"/>
                  </w:tcBorders>
                  <w:vAlign w:val="center"/>
                </w:tcPr>
                <w:p w14:paraId="50C29829">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禁止引入</w:t>
                  </w:r>
                </w:p>
              </w:tc>
              <w:tc>
                <w:tcPr>
                  <w:tcW w:w="4240" w:type="dxa"/>
                  <w:tcBorders>
                    <w:tl2br w:val="nil"/>
                    <w:tr2bl w:val="nil"/>
                  </w:tcBorders>
                  <w:vAlign w:val="center"/>
                </w:tcPr>
                <w:p w14:paraId="2E4F0C0A">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1、禁止专业电镀项目。</w:t>
                  </w:r>
                </w:p>
              </w:tc>
              <w:tc>
                <w:tcPr>
                  <w:tcW w:w="2523" w:type="dxa"/>
                  <w:tcBorders>
                    <w:tl2br w:val="nil"/>
                    <w:tr2bl w:val="nil"/>
                  </w:tcBorders>
                  <w:vAlign w:val="center"/>
                </w:tcPr>
                <w:p w14:paraId="3324127B">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本项目不涉及电镀</w:t>
                  </w:r>
                </w:p>
              </w:tc>
              <w:tc>
                <w:tcPr>
                  <w:tcW w:w="315" w:type="dxa"/>
                  <w:vMerge w:val="restart"/>
                  <w:tcBorders>
                    <w:tl2br w:val="nil"/>
                    <w:tr2bl w:val="nil"/>
                  </w:tcBorders>
                  <w:vAlign w:val="center"/>
                </w:tcPr>
                <w:p w14:paraId="5D9B50B1">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rFonts w:hint="eastAsia"/>
                      <w:color w:val="auto"/>
                      <w:szCs w:val="21"/>
                    </w:rPr>
                    <w:t>不属于禁止引入</w:t>
                  </w:r>
                </w:p>
              </w:tc>
            </w:tr>
            <w:tr w14:paraId="7E02B2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dxa"/>
                  <w:vMerge w:val="continue"/>
                  <w:tcBorders>
                    <w:tl2br w:val="nil"/>
                    <w:tr2bl w:val="nil"/>
                  </w:tcBorders>
                  <w:vAlign w:val="center"/>
                </w:tcPr>
                <w:p w14:paraId="0747AE05">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373" w:type="dxa"/>
                  <w:vMerge w:val="continue"/>
                  <w:tcBorders>
                    <w:tl2br w:val="nil"/>
                    <w:tr2bl w:val="nil"/>
                  </w:tcBorders>
                  <w:vAlign w:val="center"/>
                </w:tcPr>
                <w:p w14:paraId="3B6F7197">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4240" w:type="dxa"/>
                  <w:tcBorders>
                    <w:tl2br w:val="nil"/>
                    <w:tr2bl w:val="nil"/>
                  </w:tcBorders>
                  <w:vAlign w:val="center"/>
                </w:tcPr>
                <w:p w14:paraId="51964A71">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2、《产业结构调整指导目录（2019年本）》（2021年修订）、《江苏省工业和信息产业结构调整指导目录（2012年本）》（2013年修正）、《江苏省工业和信息产业结构调整限制淘汰目录和能耗限额》</w:t>
                  </w:r>
                  <w:r>
                    <w:rPr>
                      <w:rFonts w:hint="eastAsia"/>
                      <w:color w:val="auto"/>
                      <w:szCs w:val="21"/>
                    </w:rPr>
                    <w:t>等</w:t>
                  </w:r>
                  <w:r>
                    <w:rPr>
                      <w:color w:val="auto"/>
                      <w:szCs w:val="21"/>
                    </w:rPr>
                    <w:t>淘汰类或负面清单项目；列入《外商投资准入特别管理措施（负面清单）（2021年版）》的产业；采用落后的、淘汰的生产工艺或生产设备，清洁生产达不到国内先进水平的项目；《长江经济带发展负面清单指南（试行，2022年版）》列明的禁止建设的产业以及江苏省产业政策中明确列入淘汰的项目。</w:t>
                  </w:r>
                </w:p>
              </w:tc>
              <w:tc>
                <w:tcPr>
                  <w:tcW w:w="2523" w:type="dxa"/>
                  <w:vMerge w:val="restart"/>
                  <w:tcBorders>
                    <w:tl2br w:val="nil"/>
                    <w:tr2bl w:val="nil"/>
                  </w:tcBorders>
                  <w:vAlign w:val="center"/>
                </w:tcPr>
                <w:p w14:paraId="59B490FF">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对照《产业结构调整指导目录（2024年本）》，项目属于</w:t>
                  </w:r>
                  <w:r>
                    <w:rPr>
                      <w:rFonts w:hint="eastAsia"/>
                      <w:color w:val="auto"/>
                      <w:szCs w:val="21"/>
                    </w:rPr>
                    <w:t>电机、变频器生产</w:t>
                  </w:r>
                  <w:r>
                    <w:rPr>
                      <w:color w:val="auto"/>
                      <w:szCs w:val="21"/>
                    </w:rPr>
                    <w:t>，不属于鼓励类、限制类、淘汰类项目。对照《工业重点领域能效标杆水平和基准水平》（2023年版）及《环境保护综合名录（2021年版）》，不属于高耗能高排放项目</w:t>
                  </w:r>
                </w:p>
              </w:tc>
              <w:tc>
                <w:tcPr>
                  <w:tcW w:w="315" w:type="dxa"/>
                  <w:vMerge w:val="continue"/>
                  <w:tcBorders>
                    <w:tl2br w:val="nil"/>
                    <w:tr2bl w:val="nil"/>
                  </w:tcBorders>
                  <w:vAlign w:val="center"/>
                </w:tcPr>
                <w:p w14:paraId="4FFF9789">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r>
            <w:tr w14:paraId="13D353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dxa"/>
                  <w:vMerge w:val="continue"/>
                  <w:tcBorders>
                    <w:tl2br w:val="nil"/>
                    <w:tr2bl w:val="nil"/>
                  </w:tcBorders>
                  <w:vAlign w:val="center"/>
                </w:tcPr>
                <w:p w14:paraId="3C479C1B">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373" w:type="dxa"/>
                  <w:vMerge w:val="continue"/>
                  <w:tcBorders>
                    <w:tl2br w:val="nil"/>
                    <w:tr2bl w:val="nil"/>
                  </w:tcBorders>
                  <w:vAlign w:val="center"/>
                </w:tcPr>
                <w:p w14:paraId="791D83D9">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4240" w:type="dxa"/>
                  <w:tcBorders>
                    <w:tl2br w:val="nil"/>
                    <w:tr2bl w:val="nil"/>
                  </w:tcBorders>
                  <w:vAlign w:val="center"/>
                </w:tcPr>
                <w:p w14:paraId="660B43A9">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3、不符合国家、江苏省有关法律法规规定，严重浪费资源、污染环境、不具备安全生产条件，需要淘汰的落后工艺技术、装备及产品。</w:t>
                  </w:r>
                </w:p>
              </w:tc>
              <w:tc>
                <w:tcPr>
                  <w:tcW w:w="2523" w:type="dxa"/>
                  <w:vMerge w:val="continue"/>
                  <w:tcBorders>
                    <w:tl2br w:val="nil"/>
                    <w:tr2bl w:val="nil"/>
                  </w:tcBorders>
                  <w:vAlign w:val="center"/>
                </w:tcPr>
                <w:p w14:paraId="0C9644D4">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315" w:type="dxa"/>
                  <w:vMerge w:val="continue"/>
                  <w:tcBorders>
                    <w:tl2br w:val="nil"/>
                    <w:tr2bl w:val="nil"/>
                  </w:tcBorders>
                  <w:vAlign w:val="center"/>
                </w:tcPr>
                <w:p w14:paraId="3D9DB4FF">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r>
            <w:tr w14:paraId="02BDB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dxa"/>
                  <w:vMerge w:val="continue"/>
                  <w:tcBorders>
                    <w:tl2br w:val="nil"/>
                    <w:tr2bl w:val="nil"/>
                  </w:tcBorders>
                  <w:vAlign w:val="center"/>
                </w:tcPr>
                <w:p w14:paraId="3717A687">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373" w:type="dxa"/>
                  <w:vMerge w:val="continue"/>
                  <w:tcBorders>
                    <w:tl2br w:val="nil"/>
                    <w:tr2bl w:val="nil"/>
                  </w:tcBorders>
                  <w:vAlign w:val="center"/>
                </w:tcPr>
                <w:p w14:paraId="7EABDCEE">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4240" w:type="dxa"/>
                  <w:tcBorders>
                    <w:tl2br w:val="nil"/>
                    <w:tr2bl w:val="nil"/>
                  </w:tcBorders>
                  <w:vAlign w:val="center"/>
                </w:tcPr>
                <w:p w14:paraId="2CAC3CB8">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4、使用高VOCs含量的</w:t>
                  </w:r>
                  <w:r>
                    <w:rPr>
                      <w:rFonts w:hint="eastAsia"/>
                      <w:color w:val="auto"/>
                      <w:szCs w:val="21"/>
                    </w:rPr>
                    <w:t>胶黏剂</w:t>
                  </w:r>
                  <w:r>
                    <w:rPr>
                      <w:color w:val="auto"/>
                      <w:szCs w:val="21"/>
                    </w:rPr>
                    <w:t>等项目。</w:t>
                  </w:r>
                </w:p>
              </w:tc>
              <w:tc>
                <w:tcPr>
                  <w:tcW w:w="2523" w:type="dxa"/>
                  <w:tcBorders>
                    <w:tl2br w:val="nil"/>
                    <w:tr2bl w:val="nil"/>
                  </w:tcBorders>
                  <w:vAlign w:val="center"/>
                </w:tcPr>
                <w:p w14:paraId="56B54B61">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本项目不涉及</w:t>
                  </w:r>
                  <w:r>
                    <w:rPr>
                      <w:rFonts w:hint="eastAsia"/>
                      <w:color w:val="auto"/>
                      <w:szCs w:val="21"/>
                    </w:rPr>
                    <w:t>胶黏剂</w:t>
                  </w:r>
                  <w:r>
                    <w:rPr>
                      <w:color w:val="auto"/>
                      <w:szCs w:val="21"/>
                    </w:rPr>
                    <w:t>的使用</w:t>
                  </w:r>
                </w:p>
              </w:tc>
              <w:tc>
                <w:tcPr>
                  <w:tcW w:w="315" w:type="dxa"/>
                  <w:vMerge w:val="continue"/>
                  <w:tcBorders>
                    <w:tl2br w:val="nil"/>
                    <w:tr2bl w:val="nil"/>
                  </w:tcBorders>
                  <w:vAlign w:val="center"/>
                </w:tcPr>
                <w:p w14:paraId="348B6715">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r>
            <w:tr w14:paraId="151449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dxa"/>
                  <w:gridSpan w:val="2"/>
                  <w:vMerge w:val="restart"/>
                  <w:tcBorders>
                    <w:tl2br w:val="nil"/>
                    <w:tr2bl w:val="nil"/>
                  </w:tcBorders>
                  <w:vAlign w:val="center"/>
                </w:tcPr>
                <w:p w14:paraId="0C72F3E8">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空间布局约束</w:t>
                  </w:r>
                </w:p>
              </w:tc>
              <w:tc>
                <w:tcPr>
                  <w:tcW w:w="4240" w:type="dxa"/>
                  <w:tcBorders>
                    <w:tl2br w:val="nil"/>
                    <w:tr2bl w:val="nil"/>
                  </w:tcBorders>
                  <w:vAlign w:val="center"/>
                </w:tcPr>
                <w:p w14:paraId="0D6C75D6">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1、开发内防护绿地和水域，提出限制占用的管理要求。</w:t>
                  </w:r>
                </w:p>
              </w:tc>
              <w:tc>
                <w:tcPr>
                  <w:tcW w:w="2523" w:type="dxa"/>
                  <w:tcBorders>
                    <w:tl2br w:val="nil"/>
                    <w:tr2bl w:val="nil"/>
                  </w:tcBorders>
                  <w:vAlign w:val="center"/>
                </w:tcPr>
                <w:p w14:paraId="00C89CE6">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本项目位于</w:t>
                  </w:r>
                  <w:r>
                    <w:rPr>
                      <w:rFonts w:hint="eastAsia"/>
                      <w:color w:val="auto"/>
                      <w:szCs w:val="21"/>
                    </w:rPr>
                    <w:t>江苏涟水经济开发区涟古路北侧，兴隆路西侧</w:t>
                  </w:r>
                  <w:r>
                    <w:rPr>
                      <w:color w:val="auto"/>
                      <w:szCs w:val="21"/>
                    </w:rPr>
                    <w:t>，属于</w:t>
                  </w:r>
                  <w:r>
                    <w:rPr>
                      <w:rFonts w:hint="eastAsia"/>
                      <w:color w:val="auto"/>
                      <w:szCs w:val="21"/>
                      <w:lang w:eastAsia="zh-CN"/>
                    </w:rPr>
                    <w:t>涟水</w:t>
                  </w:r>
                  <w:r>
                    <w:rPr>
                      <w:color w:val="auto"/>
                      <w:szCs w:val="21"/>
                    </w:rPr>
                    <w:t>新港电子产业科技园范围，不占用绿地及水域</w:t>
                  </w:r>
                </w:p>
              </w:tc>
              <w:tc>
                <w:tcPr>
                  <w:tcW w:w="315" w:type="dxa"/>
                  <w:vMerge w:val="restart"/>
                  <w:tcBorders>
                    <w:tl2br w:val="nil"/>
                    <w:tr2bl w:val="nil"/>
                  </w:tcBorders>
                  <w:vAlign w:val="center"/>
                </w:tcPr>
                <w:p w14:paraId="0BB9C003">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符合</w:t>
                  </w:r>
                </w:p>
              </w:tc>
            </w:tr>
            <w:tr w14:paraId="20DEFF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dxa"/>
                  <w:gridSpan w:val="2"/>
                  <w:vMerge w:val="continue"/>
                  <w:tcBorders>
                    <w:tl2br w:val="nil"/>
                    <w:tr2bl w:val="nil"/>
                  </w:tcBorders>
                  <w:vAlign w:val="center"/>
                </w:tcPr>
                <w:p w14:paraId="1B7A7742">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4240" w:type="dxa"/>
                  <w:tcBorders>
                    <w:tl2br w:val="nil"/>
                    <w:tr2bl w:val="nil"/>
                  </w:tcBorders>
                  <w:vAlign w:val="center"/>
                </w:tcPr>
                <w:p w14:paraId="048F4955">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2、本次规划范围属于《江苏省</w:t>
                  </w:r>
                  <w:r>
                    <w:rPr>
                      <w:rFonts w:hint="eastAsia" w:ascii="宋体" w:hAnsi="宋体" w:cs="宋体"/>
                      <w:color w:val="auto"/>
                      <w:szCs w:val="21"/>
                    </w:rPr>
                    <w:t>“三线一单”</w:t>
                  </w:r>
                  <w:r>
                    <w:rPr>
                      <w:color w:val="auto"/>
                      <w:szCs w:val="21"/>
                    </w:rPr>
                    <w:t>生态环境分区管控方案》重点管控单元、《淮安市</w:t>
                  </w:r>
                  <w:r>
                    <w:rPr>
                      <w:rFonts w:hint="eastAsia" w:ascii="宋体" w:hAnsi="宋体" w:cs="宋体"/>
                      <w:color w:val="auto"/>
                      <w:szCs w:val="21"/>
                    </w:rPr>
                    <w:t>“三线一单”</w:t>
                  </w:r>
                  <w:r>
                    <w:rPr>
                      <w:color w:val="auto"/>
                      <w:szCs w:val="21"/>
                    </w:rPr>
                    <w:t>生态环境分区管控方案》重点管控单元，按照相关管控方案执行。</w:t>
                  </w:r>
                </w:p>
              </w:tc>
              <w:tc>
                <w:tcPr>
                  <w:tcW w:w="2523" w:type="dxa"/>
                  <w:tcBorders>
                    <w:tl2br w:val="nil"/>
                    <w:tr2bl w:val="nil"/>
                  </w:tcBorders>
                  <w:vAlign w:val="center"/>
                </w:tcPr>
                <w:p w14:paraId="7543DE01">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根据前文分析，本项目满足江苏省及淮安市生态管控要求</w:t>
                  </w:r>
                </w:p>
              </w:tc>
              <w:tc>
                <w:tcPr>
                  <w:tcW w:w="315" w:type="dxa"/>
                  <w:vMerge w:val="continue"/>
                  <w:tcBorders>
                    <w:tl2br w:val="nil"/>
                    <w:tr2bl w:val="nil"/>
                  </w:tcBorders>
                  <w:vAlign w:val="center"/>
                </w:tcPr>
                <w:p w14:paraId="6968E14A">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r>
            <w:tr w14:paraId="43C6CE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dxa"/>
                  <w:gridSpan w:val="2"/>
                  <w:vMerge w:val="continue"/>
                  <w:tcBorders>
                    <w:tl2br w:val="nil"/>
                    <w:tr2bl w:val="nil"/>
                  </w:tcBorders>
                  <w:vAlign w:val="center"/>
                </w:tcPr>
                <w:p w14:paraId="3271C203">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4240" w:type="dxa"/>
                  <w:tcBorders>
                    <w:tl2br w:val="nil"/>
                    <w:tr2bl w:val="nil"/>
                  </w:tcBorders>
                  <w:vAlign w:val="center"/>
                </w:tcPr>
                <w:p w14:paraId="0EC21C8B">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3、东侧、北侧靠近居民区域应发展无污染、低污染型产业。</w:t>
                  </w:r>
                </w:p>
              </w:tc>
              <w:tc>
                <w:tcPr>
                  <w:tcW w:w="2523" w:type="dxa"/>
                  <w:tcBorders>
                    <w:tl2br w:val="nil"/>
                    <w:tr2bl w:val="nil"/>
                  </w:tcBorders>
                  <w:vAlign w:val="center"/>
                </w:tcPr>
                <w:p w14:paraId="1DCFA8D2">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项目距离最近的</w:t>
                  </w:r>
                  <w:r>
                    <w:rPr>
                      <w:rFonts w:hint="eastAsia"/>
                      <w:color w:val="auto"/>
                      <w:szCs w:val="21"/>
                      <w:lang w:eastAsia="zh-CN"/>
                    </w:rPr>
                    <w:t>贾庄</w:t>
                  </w:r>
                  <w:r>
                    <w:rPr>
                      <w:color w:val="auto"/>
                      <w:szCs w:val="21"/>
                    </w:rPr>
                    <w:t>约</w:t>
                  </w:r>
                  <w:r>
                    <w:rPr>
                      <w:rFonts w:hint="eastAsia"/>
                      <w:color w:val="auto"/>
                      <w:szCs w:val="21"/>
                      <w:lang w:val="en-US" w:eastAsia="zh-CN"/>
                    </w:rPr>
                    <w:t>120</w:t>
                  </w:r>
                  <w:r>
                    <w:rPr>
                      <w:color w:val="auto"/>
                      <w:szCs w:val="21"/>
                    </w:rPr>
                    <w:t>m，不在项目卫生防护距离之内</w:t>
                  </w:r>
                </w:p>
              </w:tc>
              <w:tc>
                <w:tcPr>
                  <w:tcW w:w="315" w:type="dxa"/>
                  <w:vMerge w:val="continue"/>
                  <w:tcBorders>
                    <w:tl2br w:val="nil"/>
                    <w:tr2bl w:val="nil"/>
                  </w:tcBorders>
                  <w:vAlign w:val="center"/>
                </w:tcPr>
                <w:p w14:paraId="0984084C">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r>
            <w:tr w14:paraId="35F0B1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dxa"/>
                  <w:vMerge w:val="restart"/>
                  <w:tcBorders>
                    <w:tl2br w:val="nil"/>
                    <w:tr2bl w:val="nil"/>
                  </w:tcBorders>
                  <w:vAlign w:val="center"/>
                </w:tcPr>
                <w:p w14:paraId="2AE96C4B">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污染</w:t>
                  </w:r>
                </w:p>
                <w:p w14:paraId="162493B3">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物排</w:t>
                  </w:r>
                </w:p>
                <w:p w14:paraId="07824D5F">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放管</w:t>
                  </w:r>
                </w:p>
                <w:p w14:paraId="3AF269F4">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控</w:t>
                  </w:r>
                </w:p>
              </w:tc>
              <w:tc>
                <w:tcPr>
                  <w:tcW w:w="373" w:type="dxa"/>
                  <w:vMerge w:val="restart"/>
                  <w:tcBorders>
                    <w:tl2br w:val="nil"/>
                    <w:tr2bl w:val="nil"/>
                  </w:tcBorders>
                  <w:vAlign w:val="center"/>
                </w:tcPr>
                <w:p w14:paraId="0CD3C1FA">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总体要求</w:t>
                  </w:r>
                </w:p>
              </w:tc>
              <w:tc>
                <w:tcPr>
                  <w:tcW w:w="4240" w:type="dxa"/>
                  <w:tcBorders>
                    <w:tl2br w:val="nil"/>
                    <w:tr2bl w:val="nil"/>
                  </w:tcBorders>
                  <w:vAlign w:val="center"/>
                </w:tcPr>
                <w:p w14:paraId="10EBBAA1">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1、工业项目排放污染物必须达到国家和地方规定的污染物排放标准。</w:t>
                  </w:r>
                </w:p>
              </w:tc>
              <w:tc>
                <w:tcPr>
                  <w:tcW w:w="2523" w:type="dxa"/>
                  <w:vMerge w:val="restart"/>
                  <w:tcBorders>
                    <w:tl2br w:val="nil"/>
                    <w:tr2bl w:val="nil"/>
                  </w:tcBorders>
                  <w:vAlign w:val="center"/>
                </w:tcPr>
                <w:p w14:paraId="6C369C9A">
                  <w:pPr>
                    <w:keepNext w:val="0"/>
                    <w:keepLines w:val="0"/>
                    <w:pageBreakBefore w:val="0"/>
                    <w:widowControl/>
                    <w:kinsoku/>
                    <w:wordWrap/>
                    <w:overflowPunct/>
                    <w:topLinePunct w:val="0"/>
                    <w:autoSpaceDE/>
                    <w:autoSpaceDN/>
                    <w:bidi w:val="0"/>
                    <w:adjustRightInd w:val="0"/>
                    <w:snapToGrid w:val="0"/>
                    <w:jc w:val="center"/>
                    <w:textAlignment w:val="auto"/>
                    <w:rPr>
                      <w:color w:val="auto"/>
                      <w:szCs w:val="21"/>
                    </w:rPr>
                  </w:pPr>
                  <w:r>
                    <w:rPr>
                      <w:rFonts w:hint="eastAsia"/>
                      <w:bCs/>
                      <w:color w:val="auto"/>
                      <w:szCs w:val="21"/>
                      <w:lang w:eastAsia="zh-CN"/>
                    </w:rPr>
                    <w:t>项目</w:t>
                  </w:r>
                  <w:r>
                    <w:rPr>
                      <w:rFonts w:hint="eastAsia"/>
                      <w:bCs/>
                      <w:color w:val="auto"/>
                      <w:szCs w:val="21"/>
                    </w:rPr>
                    <w:t>配件下料</w:t>
                  </w:r>
                  <w:r>
                    <w:rPr>
                      <w:rFonts w:hint="eastAsia"/>
                      <w:color w:val="auto"/>
                      <w:kern w:val="0"/>
                      <w:szCs w:val="21"/>
                    </w:rPr>
                    <w:t>工序产生的颗粒物有组织排放执行《大气污染物综合排放标准》（DB32/4041-2021）表1排放限值；浸漆</w:t>
                  </w:r>
                  <w:r>
                    <w:rPr>
                      <w:rFonts w:hint="eastAsia"/>
                      <w:color w:val="auto"/>
                      <w:kern w:val="0"/>
                      <w:szCs w:val="21"/>
                      <w:lang w:eastAsia="zh-CN"/>
                    </w:rPr>
                    <w:t>、</w:t>
                  </w:r>
                  <w:r>
                    <w:rPr>
                      <w:rFonts w:hint="eastAsia"/>
                      <w:color w:val="auto"/>
                      <w:kern w:val="0"/>
                      <w:szCs w:val="21"/>
                    </w:rPr>
                    <w:t>烘干</w:t>
                  </w:r>
                  <w:r>
                    <w:rPr>
                      <w:rFonts w:hint="eastAsia"/>
                      <w:color w:val="auto"/>
                      <w:kern w:val="0"/>
                      <w:szCs w:val="21"/>
                      <w:lang w:eastAsia="zh-CN"/>
                    </w:rPr>
                    <w:t>、擦拭</w:t>
                  </w:r>
                  <w:r>
                    <w:rPr>
                      <w:rFonts w:hint="eastAsia"/>
                      <w:color w:val="auto"/>
                      <w:kern w:val="0"/>
                      <w:szCs w:val="21"/>
                    </w:rPr>
                    <w:t>工序产生的NMHC，喷漆工序产生的NMHC、颗粒物有组织排放执行《工业涂装工序大气污染物排放标准》（DB32/4439-2022）表1中排放限值；厂界NMHC、颗粒物无组织废气排放执行《大气污染物综合排放标准》（DB32/4041-2021）表3中排放限值，厂区内NMHC排放执行</w:t>
                  </w:r>
                  <w:r>
                    <w:rPr>
                      <w:color w:val="auto"/>
                      <w:kern w:val="0"/>
                      <w:szCs w:val="21"/>
                    </w:rPr>
                    <w:t>《</w:t>
                  </w:r>
                  <w:r>
                    <w:rPr>
                      <w:rFonts w:hint="eastAsia"/>
                      <w:color w:val="auto"/>
                      <w:kern w:val="0"/>
                      <w:szCs w:val="21"/>
                    </w:rPr>
                    <w:t>工业涂装工序大气污染物</w:t>
                  </w:r>
                  <w:r>
                    <w:rPr>
                      <w:color w:val="auto"/>
                      <w:kern w:val="0"/>
                      <w:szCs w:val="21"/>
                    </w:rPr>
                    <w:t>排放标准》（</w:t>
                  </w:r>
                  <w:r>
                    <w:rPr>
                      <w:rFonts w:hint="eastAsia"/>
                      <w:color w:val="auto"/>
                      <w:kern w:val="0"/>
                      <w:szCs w:val="21"/>
                    </w:rPr>
                    <w:t>D</w:t>
                  </w:r>
                  <w:r>
                    <w:rPr>
                      <w:color w:val="auto"/>
                      <w:kern w:val="0"/>
                      <w:szCs w:val="21"/>
                    </w:rPr>
                    <w:t>B</w:t>
                  </w:r>
                  <w:r>
                    <w:rPr>
                      <w:rFonts w:hint="eastAsia"/>
                      <w:color w:val="auto"/>
                      <w:kern w:val="0"/>
                      <w:szCs w:val="21"/>
                    </w:rPr>
                    <w:t>32/4439-2022</w:t>
                  </w:r>
                  <w:r>
                    <w:rPr>
                      <w:color w:val="auto"/>
                      <w:kern w:val="0"/>
                      <w:szCs w:val="21"/>
                    </w:rPr>
                    <w:t>）</w:t>
                  </w:r>
                  <w:r>
                    <w:rPr>
                      <w:rFonts w:hint="eastAsia"/>
                      <w:color w:val="auto"/>
                      <w:kern w:val="0"/>
                      <w:szCs w:val="21"/>
                    </w:rPr>
                    <w:t>表3中排放限值</w:t>
                  </w:r>
                  <w:r>
                    <w:rPr>
                      <w:color w:val="auto"/>
                      <w:kern w:val="0"/>
                      <w:szCs w:val="21"/>
                      <w:lang w:bidi="ar"/>
                    </w:rPr>
                    <w:t>；</w:t>
                  </w:r>
                  <w:r>
                    <w:rPr>
                      <w:color w:val="auto"/>
                      <w:szCs w:val="21"/>
                    </w:rPr>
                    <w:t>项目属于</w:t>
                  </w:r>
                  <w:r>
                    <w:rPr>
                      <w:rFonts w:hint="eastAsia"/>
                      <w:color w:val="auto"/>
                      <w:sz w:val="21"/>
                      <w:szCs w:val="21"/>
                    </w:rPr>
                    <w:t>电机、变频器生产</w:t>
                  </w:r>
                  <w:r>
                    <w:rPr>
                      <w:rFonts w:hint="eastAsia"/>
                      <w:color w:val="auto"/>
                      <w:sz w:val="21"/>
                      <w:szCs w:val="21"/>
                      <w:lang w:eastAsia="zh-CN"/>
                    </w:rPr>
                    <w:t>项目</w:t>
                  </w:r>
                  <w:r>
                    <w:rPr>
                      <w:color w:val="auto"/>
                      <w:szCs w:val="21"/>
                    </w:rPr>
                    <w:t>，不属于目录中鼓励、</w:t>
                  </w:r>
                  <w:r>
                    <w:rPr>
                      <w:rFonts w:hint="eastAsia"/>
                      <w:color w:val="auto"/>
                      <w:szCs w:val="21"/>
                    </w:rPr>
                    <w:t>限制</w:t>
                  </w:r>
                  <w:r>
                    <w:rPr>
                      <w:color w:val="auto"/>
                      <w:szCs w:val="21"/>
                    </w:rPr>
                    <w:t>、淘汰类，为允许类</w:t>
                  </w:r>
                </w:p>
              </w:tc>
              <w:tc>
                <w:tcPr>
                  <w:tcW w:w="315" w:type="dxa"/>
                  <w:vMerge w:val="restart"/>
                  <w:tcBorders>
                    <w:tl2br w:val="nil"/>
                    <w:tr2bl w:val="nil"/>
                  </w:tcBorders>
                  <w:vAlign w:val="center"/>
                </w:tcPr>
                <w:p w14:paraId="645FB88E">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符合</w:t>
                  </w:r>
                </w:p>
              </w:tc>
            </w:tr>
            <w:tr w14:paraId="368472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dxa"/>
                  <w:vMerge w:val="continue"/>
                  <w:tcBorders>
                    <w:tl2br w:val="nil"/>
                    <w:tr2bl w:val="nil"/>
                  </w:tcBorders>
                  <w:vAlign w:val="center"/>
                </w:tcPr>
                <w:p w14:paraId="70202324">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373" w:type="dxa"/>
                  <w:vMerge w:val="continue"/>
                  <w:tcBorders>
                    <w:tl2br w:val="nil"/>
                    <w:tr2bl w:val="nil"/>
                  </w:tcBorders>
                  <w:vAlign w:val="center"/>
                </w:tcPr>
                <w:p w14:paraId="01DDDF93">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4240" w:type="dxa"/>
                  <w:tcBorders>
                    <w:tl2br w:val="nil"/>
                    <w:tr2bl w:val="nil"/>
                  </w:tcBorders>
                  <w:vAlign w:val="center"/>
                </w:tcPr>
                <w:p w14:paraId="78BB48C5">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2、新建企业生产技术和工艺、水耗能耗物耗</w:t>
                  </w:r>
                  <w:r>
                    <w:rPr>
                      <w:rFonts w:hint="eastAsia"/>
                      <w:color w:val="auto"/>
                      <w:szCs w:val="21"/>
                    </w:rPr>
                    <w:t>、生</w:t>
                  </w:r>
                  <w:r>
                    <w:rPr>
                      <w:color w:val="auto"/>
                      <w:szCs w:val="21"/>
                    </w:rPr>
                    <w:t>产排污情况及环境管理等方面应达到国内先进水平（有清洁生产标准的不得低于国内清洁生产先进水平，有国家效率指南的执行国家先进/标杆水平）。</w:t>
                  </w:r>
                </w:p>
              </w:tc>
              <w:tc>
                <w:tcPr>
                  <w:tcW w:w="2523" w:type="dxa"/>
                  <w:vMerge w:val="continue"/>
                  <w:tcBorders>
                    <w:tl2br w:val="nil"/>
                    <w:tr2bl w:val="nil"/>
                  </w:tcBorders>
                  <w:vAlign w:val="center"/>
                </w:tcPr>
                <w:p w14:paraId="0C95A1EE">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315" w:type="dxa"/>
                  <w:vMerge w:val="continue"/>
                  <w:tcBorders>
                    <w:tl2br w:val="nil"/>
                    <w:tr2bl w:val="nil"/>
                  </w:tcBorders>
                  <w:vAlign w:val="center"/>
                </w:tcPr>
                <w:p w14:paraId="4D87E9D9">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r>
            <w:tr w14:paraId="3BB086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dxa"/>
                  <w:vMerge w:val="continue"/>
                  <w:tcBorders>
                    <w:tl2br w:val="nil"/>
                    <w:tr2bl w:val="nil"/>
                  </w:tcBorders>
                  <w:vAlign w:val="center"/>
                </w:tcPr>
                <w:p w14:paraId="06BB9FBC">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373" w:type="dxa"/>
                  <w:vMerge w:val="continue"/>
                  <w:tcBorders>
                    <w:tl2br w:val="nil"/>
                    <w:tr2bl w:val="nil"/>
                  </w:tcBorders>
                  <w:vAlign w:val="center"/>
                </w:tcPr>
                <w:p w14:paraId="24B2DC50">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4240" w:type="dxa"/>
                  <w:tcBorders>
                    <w:tl2br w:val="nil"/>
                    <w:tr2bl w:val="nil"/>
                  </w:tcBorders>
                  <w:vAlign w:val="center"/>
                </w:tcPr>
                <w:p w14:paraId="31823353">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3、对列入《优先控制化学品名录（第一批）</w:t>
                  </w:r>
                  <w:r>
                    <w:rPr>
                      <w:rFonts w:hint="eastAsia"/>
                      <w:color w:val="auto"/>
                      <w:szCs w:val="21"/>
                    </w:rPr>
                    <w:t>》《</w:t>
                  </w:r>
                  <w:r>
                    <w:rPr>
                      <w:color w:val="auto"/>
                      <w:szCs w:val="21"/>
                    </w:rPr>
                    <w:t>优先控制化学品名录（第二批）》的化学品，应当针对其产生环境与健康风险的主要环节，采取风险管控措施。</w:t>
                  </w:r>
                </w:p>
              </w:tc>
              <w:tc>
                <w:tcPr>
                  <w:tcW w:w="2523" w:type="dxa"/>
                  <w:tcBorders>
                    <w:tl2br w:val="nil"/>
                    <w:tr2bl w:val="nil"/>
                  </w:tcBorders>
                  <w:vAlign w:val="center"/>
                </w:tcPr>
                <w:p w14:paraId="6E4727AA">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本项目不涉及</w:t>
                  </w:r>
                </w:p>
              </w:tc>
              <w:tc>
                <w:tcPr>
                  <w:tcW w:w="315" w:type="dxa"/>
                  <w:vMerge w:val="continue"/>
                  <w:tcBorders>
                    <w:tl2br w:val="nil"/>
                    <w:tr2bl w:val="nil"/>
                  </w:tcBorders>
                  <w:vAlign w:val="center"/>
                </w:tcPr>
                <w:p w14:paraId="58A3560F">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r>
            <w:tr w14:paraId="55E7C2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dxa"/>
                  <w:vMerge w:val="continue"/>
                  <w:tcBorders>
                    <w:tl2br w:val="nil"/>
                    <w:tr2bl w:val="nil"/>
                  </w:tcBorders>
                  <w:vAlign w:val="center"/>
                </w:tcPr>
                <w:p w14:paraId="7E0AB532">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373" w:type="dxa"/>
                  <w:vMerge w:val="restart"/>
                  <w:tcBorders>
                    <w:tl2br w:val="nil"/>
                    <w:tr2bl w:val="nil"/>
                  </w:tcBorders>
                  <w:vAlign w:val="center"/>
                </w:tcPr>
                <w:p w14:paraId="58C62467">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环境质量</w:t>
                  </w:r>
                </w:p>
              </w:tc>
              <w:tc>
                <w:tcPr>
                  <w:tcW w:w="4240" w:type="dxa"/>
                  <w:tcBorders>
                    <w:tl2br w:val="nil"/>
                    <w:tr2bl w:val="nil"/>
                  </w:tcBorders>
                  <w:vAlign w:val="center"/>
                </w:tcPr>
                <w:p w14:paraId="36918D19">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1、大气环境质量达到《环境空气质量标准》二级标准、《环境影响评价技术导则大气环境》（HJ2.2-2018）附录D其他污染物空气质量浓度参考限值等。</w:t>
                  </w:r>
                </w:p>
              </w:tc>
              <w:tc>
                <w:tcPr>
                  <w:tcW w:w="2523" w:type="dxa"/>
                  <w:vMerge w:val="restart"/>
                  <w:tcBorders>
                    <w:tl2br w:val="nil"/>
                    <w:tr2bl w:val="nil"/>
                  </w:tcBorders>
                  <w:vAlign w:val="center"/>
                </w:tcPr>
                <w:p w14:paraId="5D4743CF">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根据《2023年淮安市生态环境状况公报》，根据《2023年淮安市生态环境状况公报》，可吸入颗粒物（PM</w:t>
                  </w:r>
                  <w:r>
                    <w:rPr>
                      <w:color w:val="auto"/>
                      <w:szCs w:val="21"/>
                      <w:vertAlign w:val="subscript"/>
                    </w:rPr>
                    <w:t>10</w:t>
                  </w:r>
                  <w:r>
                    <w:rPr>
                      <w:color w:val="auto"/>
                      <w:szCs w:val="21"/>
                    </w:rPr>
                    <w:t>）、二氧化硫（SO</w:t>
                  </w:r>
                  <w:r>
                    <w:rPr>
                      <w:color w:val="auto"/>
                      <w:szCs w:val="21"/>
                      <w:vertAlign w:val="subscript"/>
                    </w:rPr>
                    <w:t>2</w:t>
                  </w:r>
                  <w:r>
                    <w:rPr>
                      <w:color w:val="auto"/>
                      <w:szCs w:val="21"/>
                    </w:rPr>
                    <w:t>）、二氧化氮（NO</w:t>
                  </w:r>
                  <w:r>
                    <w:rPr>
                      <w:color w:val="auto"/>
                      <w:szCs w:val="21"/>
                      <w:vertAlign w:val="subscript"/>
                    </w:rPr>
                    <w:t>2</w:t>
                  </w:r>
                  <w:r>
                    <w:rPr>
                      <w:color w:val="auto"/>
                      <w:szCs w:val="21"/>
                    </w:rPr>
                    <w:t>）、一氧化碳（CO）和臭氧（O</w:t>
                  </w:r>
                  <w:r>
                    <w:rPr>
                      <w:color w:val="auto"/>
                      <w:szCs w:val="21"/>
                      <w:vertAlign w:val="subscript"/>
                    </w:rPr>
                    <w:t>3</w:t>
                  </w:r>
                  <w:r>
                    <w:rPr>
                      <w:color w:val="auto"/>
                      <w:szCs w:val="21"/>
                    </w:rPr>
                    <w:t>）污染物浓度达到国家二级标准，随着《淮安市2024年大气污染防治工作计划》（淮污防攻坚指办</w:t>
                  </w:r>
                  <w:r>
                    <w:rPr>
                      <w:rFonts w:hint="eastAsia"/>
                      <w:color w:val="auto"/>
                      <w:szCs w:val="21"/>
                    </w:rPr>
                    <w:t>〔2024〕50号</w:t>
                  </w:r>
                  <w:r>
                    <w:rPr>
                      <w:color w:val="auto"/>
                      <w:szCs w:val="21"/>
                    </w:rPr>
                    <w:t>）等防治计划的落实，预期淮安市环境空气质量状况会进一步改善</w:t>
                  </w:r>
                  <w:r>
                    <w:rPr>
                      <w:rFonts w:hint="eastAsia"/>
                      <w:color w:val="auto"/>
                      <w:szCs w:val="21"/>
                    </w:rPr>
                    <w:t>；根据已批复的《新港电子产业科技园开发建设规划环境影响报告书》，项目建设用地满足</w:t>
                  </w:r>
                  <w:r>
                    <w:rPr>
                      <w:color w:val="auto"/>
                      <w:szCs w:val="21"/>
                    </w:rPr>
                    <w:t>《土壤环境质量建设用地土壤污染风险管控标准》（GB36600-2018）筛选值中的第一类、第二类用地标准</w:t>
                  </w:r>
                </w:p>
              </w:tc>
              <w:tc>
                <w:tcPr>
                  <w:tcW w:w="315" w:type="dxa"/>
                  <w:vMerge w:val="continue"/>
                  <w:tcBorders>
                    <w:tl2br w:val="nil"/>
                    <w:tr2bl w:val="nil"/>
                  </w:tcBorders>
                  <w:vAlign w:val="center"/>
                </w:tcPr>
                <w:p w14:paraId="5A3B77EC">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r>
            <w:tr w14:paraId="7F66C5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dxa"/>
                  <w:vMerge w:val="continue"/>
                  <w:tcBorders>
                    <w:tl2br w:val="nil"/>
                    <w:tr2bl w:val="nil"/>
                  </w:tcBorders>
                  <w:vAlign w:val="center"/>
                </w:tcPr>
                <w:p w14:paraId="2F9D1496">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373" w:type="dxa"/>
                  <w:vMerge w:val="continue"/>
                  <w:tcBorders>
                    <w:tl2br w:val="nil"/>
                    <w:tr2bl w:val="nil"/>
                  </w:tcBorders>
                  <w:vAlign w:val="center"/>
                </w:tcPr>
                <w:p w14:paraId="31499463">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4240" w:type="dxa"/>
                  <w:tcBorders>
                    <w:tl2br w:val="nil"/>
                    <w:tr2bl w:val="nil"/>
                  </w:tcBorders>
                  <w:vAlign w:val="center"/>
                </w:tcPr>
                <w:p w14:paraId="16749868">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2、建设用地满足《土壤环境质量建设用地土壤污染风险管控标准》（GB36600-2018）筛选值中的第一类、第二类用地标准。</w:t>
                  </w:r>
                </w:p>
              </w:tc>
              <w:tc>
                <w:tcPr>
                  <w:tcW w:w="2523" w:type="dxa"/>
                  <w:vMerge w:val="continue"/>
                  <w:tcBorders>
                    <w:tl2br w:val="nil"/>
                    <w:tr2bl w:val="nil"/>
                  </w:tcBorders>
                  <w:vAlign w:val="center"/>
                </w:tcPr>
                <w:p w14:paraId="7D508909">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315" w:type="dxa"/>
                  <w:vMerge w:val="continue"/>
                  <w:tcBorders>
                    <w:tl2br w:val="nil"/>
                    <w:tr2bl w:val="nil"/>
                  </w:tcBorders>
                  <w:vAlign w:val="center"/>
                </w:tcPr>
                <w:p w14:paraId="3F837941">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r>
            <w:tr w14:paraId="17B27B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dxa"/>
                  <w:vMerge w:val="continue"/>
                  <w:tcBorders>
                    <w:tl2br w:val="nil"/>
                    <w:tr2bl w:val="nil"/>
                  </w:tcBorders>
                  <w:vAlign w:val="center"/>
                </w:tcPr>
                <w:p w14:paraId="6841624C">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373" w:type="dxa"/>
                  <w:vMerge w:val="restart"/>
                  <w:tcBorders>
                    <w:tl2br w:val="nil"/>
                    <w:tr2bl w:val="nil"/>
                  </w:tcBorders>
                  <w:vAlign w:val="center"/>
                </w:tcPr>
                <w:p w14:paraId="36639DC5">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污染物排放总量</w:t>
                  </w:r>
                </w:p>
              </w:tc>
              <w:tc>
                <w:tcPr>
                  <w:tcW w:w="4240" w:type="dxa"/>
                  <w:tcBorders>
                    <w:tl2br w:val="nil"/>
                    <w:tr2bl w:val="nil"/>
                  </w:tcBorders>
                  <w:vAlign w:val="center"/>
                </w:tcPr>
                <w:p w14:paraId="717CD011">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1、园区规划实施过程中将对铅、汞、镉、铬和砷五种重点重金属污染物排放量实施总量控制，入区项目涉及</w:t>
                  </w:r>
                  <w:r>
                    <w:rPr>
                      <w:rFonts w:hint="eastAsia"/>
                      <w:color w:val="auto"/>
                      <w:szCs w:val="21"/>
                    </w:rPr>
                    <w:t>重点</w:t>
                  </w:r>
                  <w:r>
                    <w:rPr>
                      <w:color w:val="auto"/>
                      <w:szCs w:val="21"/>
                    </w:rPr>
                    <w:t>污染物排放的企业，应按《关于进一步加强重金属污染防控的意见》（环固体</w:t>
                  </w:r>
                  <w:r>
                    <w:rPr>
                      <w:rFonts w:hint="eastAsia"/>
                      <w:color w:val="auto"/>
                      <w:szCs w:val="21"/>
                    </w:rPr>
                    <w:t>〔2022〕17号</w:t>
                  </w:r>
                  <w:r>
                    <w:rPr>
                      <w:color w:val="auto"/>
                      <w:szCs w:val="21"/>
                    </w:rPr>
                    <w:t>）、《省生态环境厅印发关于进一步加强重金属污染防控工作的实施方案的通知》（苏环办</w:t>
                  </w:r>
                  <w:r>
                    <w:rPr>
                      <w:rFonts w:hint="eastAsia"/>
                      <w:color w:val="auto"/>
                      <w:szCs w:val="21"/>
                    </w:rPr>
                    <w:t>〔2022〕155号</w:t>
                  </w:r>
                  <w:r>
                    <w:rPr>
                      <w:color w:val="auto"/>
                      <w:szCs w:val="21"/>
                    </w:rPr>
                    <w:t>）要求明确重点重金属污染物排放总量及来源。</w:t>
                  </w:r>
                </w:p>
              </w:tc>
              <w:tc>
                <w:tcPr>
                  <w:tcW w:w="2523" w:type="dxa"/>
                  <w:vMerge w:val="restart"/>
                  <w:tcBorders>
                    <w:tl2br w:val="nil"/>
                    <w:tr2bl w:val="nil"/>
                  </w:tcBorders>
                  <w:vAlign w:val="center"/>
                </w:tcPr>
                <w:p w14:paraId="7AEE0D50">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本项目不涉及重金属，项目新增的废气污染物颗粒物、</w:t>
                  </w:r>
                  <w:r>
                    <w:rPr>
                      <w:rFonts w:hint="eastAsia"/>
                      <w:color w:val="auto"/>
                      <w:szCs w:val="21"/>
                    </w:rPr>
                    <w:t>NMHC</w:t>
                  </w:r>
                  <w:r>
                    <w:rPr>
                      <w:color w:val="auto"/>
                      <w:szCs w:val="21"/>
                    </w:rPr>
                    <w:t>及废水污染物</w:t>
                  </w:r>
                  <w:r>
                    <w:rPr>
                      <w:color w:val="auto"/>
                      <w:sz w:val="21"/>
                      <w:szCs w:val="21"/>
                    </w:rPr>
                    <w:t>COD、</w:t>
                  </w:r>
                  <w:r>
                    <w:rPr>
                      <w:rFonts w:hint="eastAsia"/>
                      <w:color w:val="auto"/>
                      <w:sz w:val="21"/>
                      <w:szCs w:val="21"/>
                    </w:rPr>
                    <w:t>SS、</w:t>
                  </w:r>
                  <w:r>
                    <w:rPr>
                      <w:rFonts w:hint="eastAsia"/>
                      <w:color w:val="auto"/>
                      <w:sz w:val="21"/>
                      <w:szCs w:val="21"/>
                      <w:lang w:val="en-US" w:eastAsia="zh-CN"/>
                    </w:rPr>
                    <w:t>NH</w:t>
                  </w:r>
                  <w:r>
                    <w:rPr>
                      <w:rFonts w:hint="eastAsia"/>
                      <w:color w:val="auto"/>
                      <w:sz w:val="21"/>
                      <w:szCs w:val="21"/>
                      <w:vertAlign w:val="subscript"/>
                      <w:lang w:val="en-US" w:eastAsia="zh-CN"/>
                    </w:rPr>
                    <w:t>3</w:t>
                  </w:r>
                  <w:r>
                    <w:rPr>
                      <w:rFonts w:hint="eastAsia"/>
                      <w:color w:val="auto"/>
                      <w:sz w:val="21"/>
                      <w:szCs w:val="21"/>
                      <w:lang w:val="en-US" w:eastAsia="zh-CN"/>
                    </w:rPr>
                    <w:t>-N</w:t>
                  </w:r>
                  <w:r>
                    <w:rPr>
                      <w:color w:val="auto"/>
                      <w:sz w:val="21"/>
                      <w:szCs w:val="21"/>
                    </w:rPr>
                    <w:t>、</w:t>
                  </w:r>
                  <w:r>
                    <w:rPr>
                      <w:rFonts w:hint="eastAsia"/>
                      <w:color w:val="auto"/>
                      <w:sz w:val="21"/>
                      <w:szCs w:val="21"/>
                      <w:lang w:val="en-US" w:eastAsia="zh-CN"/>
                    </w:rPr>
                    <w:t>TP</w:t>
                  </w:r>
                  <w:r>
                    <w:rPr>
                      <w:rFonts w:hint="eastAsia"/>
                      <w:color w:val="auto"/>
                      <w:sz w:val="21"/>
                      <w:szCs w:val="21"/>
                    </w:rPr>
                    <w:t>、</w:t>
                  </w:r>
                  <w:r>
                    <w:rPr>
                      <w:rFonts w:hint="eastAsia"/>
                      <w:color w:val="auto"/>
                      <w:sz w:val="21"/>
                      <w:szCs w:val="21"/>
                      <w:lang w:val="en-US" w:eastAsia="zh-CN"/>
                    </w:rPr>
                    <w:t>TN</w:t>
                  </w:r>
                  <w:r>
                    <w:rPr>
                      <w:color w:val="auto"/>
                      <w:szCs w:val="21"/>
                    </w:rPr>
                    <w:t>由淮安市涟水生态环境局从境内企业削减总量中替代平衡。项目将按要求严格落实污染物排放总量控制制度，把主要污染物排放总量指标作为建设项目环境影响评价审批的前置条件。在环境影响评价文件审批前，须取得主要污染物排放总量指标；项目危险废物委托有资质单位安全处置，一般固废委外综合利用</w:t>
                  </w:r>
                  <w:r>
                    <w:rPr>
                      <w:rFonts w:hint="eastAsia"/>
                      <w:color w:val="auto"/>
                      <w:szCs w:val="21"/>
                      <w:lang w:eastAsia="zh-CN"/>
                    </w:rPr>
                    <w:t>，生活垃圾委托</w:t>
                  </w:r>
                  <w:r>
                    <w:rPr>
                      <w:color w:val="auto"/>
                      <w:szCs w:val="21"/>
                    </w:rPr>
                    <w:t>环卫清运，实现固废零排放</w:t>
                  </w:r>
                </w:p>
              </w:tc>
              <w:tc>
                <w:tcPr>
                  <w:tcW w:w="315" w:type="dxa"/>
                  <w:vMerge w:val="continue"/>
                  <w:tcBorders>
                    <w:tl2br w:val="nil"/>
                    <w:tr2bl w:val="nil"/>
                  </w:tcBorders>
                  <w:vAlign w:val="center"/>
                </w:tcPr>
                <w:p w14:paraId="34774A0B">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r>
            <w:tr w14:paraId="6E73C4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dxa"/>
                  <w:vMerge w:val="continue"/>
                  <w:tcBorders>
                    <w:tl2br w:val="nil"/>
                    <w:tr2bl w:val="nil"/>
                  </w:tcBorders>
                  <w:vAlign w:val="center"/>
                </w:tcPr>
                <w:p w14:paraId="57149269">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373" w:type="dxa"/>
                  <w:vMerge w:val="continue"/>
                  <w:tcBorders>
                    <w:tl2br w:val="nil"/>
                    <w:tr2bl w:val="nil"/>
                  </w:tcBorders>
                  <w:vAlign w:val="center"/>
                </w:tcPr>
                <w:p w14:paraId="21B0F90C">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4240" w:type="dxa"/>
                  <w:tcBorders>
                    <w:tl2br w:val="nil"/>
                    <w:tr2bl w:val="nil"/>
                  </w:tcBorders>
                  <w:vAlign w:val="center"/>
                </w:tcPr>
                <w:p w14:paraId="67646933">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2、废气污染物：近期SO</w:t>
                  </w:r>
                  <w:r>
                    <w:rPr>
                      <w:color w:val="auto"/>
                      <w:szCs w:val="21"/>
                      <w:vertAlign w:val="subscript"/>
                    </w:rPr>
                    <w:t>2</w:t>
                  </w:r>
                  <w:r>
                    <w:rPr>
                      <w:color w:val="auto"/>
                      <w:szCs w:val="21"/>
                    </w:rPr>
                    <w:t>0.23t/a、NOx9.68t/a、颗粒物21.31t/a、VOCs29.76t/a；远期SO</w:t>
                  </w:r>
                  <w:r>
                    <w:rPr>
                      <w:color w:val="auto"/>
                      <w:szCs w:val="21"/>
                      <w:vertAlign w:val="subscript"/>
                    </w:rPr>
                    <w:t>2</w:t>
                  </w:r>
                  <w:r>
                    <w:rPr>
                      <w:color w:val="auto"/>
                      <w:szCs w:val="21"/>
                    </w:rPr>
                    <w:t>0.38t/a、NOx13.6t/a、颗粒物33.83t/a、VOCs42.22t/a。</w:t>
                  </w:r>
                </w:p>
              </w:tc>
              <w:tc>
                <w:tcPr>
                  <w:tcW w:w="2523" w:type="dxa"/>
                  <w:vMerge w:val="continue"/>
                  <w:tcBorders>
                    <w:tl2br w:val="nil"/>
                    <w:tr2bl w:val="nil"/>
                  </w:tcBorders>
                  <w:vAlign w:val="center"/>
                </w:tcPr>
                <w:p w14:paraId="12A7BDD6">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315" w:type="dxa"/>
                  <w:vMerge w:val="continue"/>
                  <w:tcBorders>
                    <w:tl2br w:val="nil"/>
                    <w:tr2bl w:val="nil"/>
                  </w:tcBorders>
                  <w:vAlign w:val="center"/>
                </w:tcPr>
                <w:p w14:paraId="3177316F">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r>
            <w:tr w14:paraId="31B216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dxa"/>
                  <w:vMerge w:val="continue"/>
                  <w:tcBorders>
                    <w:tl2br w:val="nil"/>
                    <w:tr2bl w:val="nil"/>
                  </w:tcBorders>
                  <w:vAlign w:val="center"/>
                </w:tcPr>
                <w:p w14:paraId="5CAB267E">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373" w:type="dxa"/>
                  <w:vMerge w:val="continue"/>
                  <w:tcBorders>
                    <w:tl2br w:val="nil"/>
                    <w:tr2bl w:val="nil"/>
                  </w:tcBorders>
                  <w:vAlign w:val="center"/>
                </w:tcPr>
                <w:p w14:paraId="2C7E03FF">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4240" w:type="dxa"/>
                  <w:tcBorders>
                    <w:tl2br w:val="nil"/>
                    <w:tr2bl w:val="nil"/>
                  </w:tcBorders>
                  <w:vAlign w:val="center"/>
                </w:tcPr>
                <w:p w14:paraId="4B60D5AC">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3、废水污染物：近期排放量：污水141.99万t/a，COD71t/a、氨氮7.1t/a、总磷0.05t/a、总氮19.77t/a；远期排放量：污水202.27万t/a，COD101.14t/a、氨氮10.11t/a、总磷0.09t/a、总氮27.64t/a。</w:t>
                  </w:r>
                </w:p>
              </w:tc>
              <w:tc>
                <w:tcPr>
                  <w:tcW w:w="2523" w:type="dxa"/>
                  <w:vMerge w:val="continue"/>
                  <w:tcBorders>
                    <w:tl2br w:val="nil"/>
                    <w:tr2bl w:val="nil"/>
                  </w:tcBorders>
                  <w:vAlign w:val="center"/>
                </w:tcPr>
                <w:p w14:paraId="50CEC902">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315" w:type="dxa"/>
                  <w:vMerge w:val="continue"/>
                  <w:tcBorders>
                    <w:tl2br w:val="nil"/>
                    <w:tr2bl w:val="nil"/>
                  </w:tcBorders>
                  <w:vAlign w:val="center"/>
                </w:tcPr>
                <w:p w14:paraId="140A27E3">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r>
            <w:tr w14:paraId="125DCC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dxa"/>
                  <w:vMerge w:val="continue"/>
                  <w:tcBorders>
                    <w:tl2br w:val="nil"/>
                    <w:tr2bl w:val="nil"/>
                  </w:tcBorders>
                  <w:vAlign w:val="center"/>
                </w:tcPr>
                <w:p w14:paraId="34A795E7">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373" w:type="dxa"/>
                  <w:vMerge w:val="continue"/>
                  <w:tcBorders>
                    <w:tl2br w:val="nil"/>
                    <w:tr2bl w:val="nil"/>
                  </w:tcBorders>
                  <w:vAlign w:val="center"/>
                </w:tcPr>
                <w:p w14:paraId="0945B9EB">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4240" w:type="dxa"/>
                  <w:tcBorders>
                    <w:tl2br w:val="nil"/>
                    <w:tr2bl w:val="nil"/>
                  </w:tcBorders>
                  <w:vAlign w:val="center"/>
                </w:tcPr>
                <w:p w14:paraId="47F057AA">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4、固体废物：近期产生量：一般工业固废5928.7t/a、危废废物30335.49t/a、生活垃圾1200t/a；远期产生量：一般工业固废8211.48t/a、危废废物41323.97t/a、生活垃圾2100t/a。</w:t>
                  </w:r>
                </w:p>
              </w:tc>
              <w:tc>
                <w:tcPr>
                  <w:tcW w:w="2523" w:type="dxa"/>
                  <w:vMerge w:val="continue"/>
                  <w:tcBorders>
                    <w:tl2br w:val="nil"/>
                    <w:tr2bl w:val="nil"/>
                  </w:tcBorders>
                  <w:vAlign w:val="center"/>
                </w:tcPr>
                <w:p w14:paraId="099AA9F9">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315" w:type="dxa"/>
                  <w:vMerge w:val="continue"/>
                  <w:tcBorders>
                    <w:tl2br w:val="nil"/>
                    <w:tr2bl w:val="nil"/>
                  </w:tcBorders>
                  <w:vAlign w:val="center"/>
                </w:tcPr>
                <w:p w14:paraId="0CC38576">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r>
            <w:tr w14:paraId="51801C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dxa"/>
                  <w:vMerge w:val="continue"/>
                  <w:tcBorders>
                    <w:tl2br w:val="nil"/>
                    <w:tr2bl w:val="nil"/>
                  </w:tcBorders>
                  <w:vAlign w:val="center"/>
                </w:tcPr>
                <w:p w14:paraId="69661865">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373" w:type="dxa"/>
                  <w:vMerge w:val="continue"/>
                  <w:tcBorders>
                    <w:tl2br w:val="nil"/>
                    <w:tr2bl w:val="nil"/>
                  </w:tcBorders>
                  <w:vAlign w:val="center"/>
                </w:tcPr>
                <w:p w14:paraId="427EBCF5">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4240" w:type="dxa"/>
                  <w:tcBorders>
                    <w:tl2br w:val="nil"/>
                    <w:tr2bl w:val="nil"/>
                  </w:tcBorders>
                  <w:vAlign w:val="center"/>
                </w:tcPr>
                <w:p w14:paraId="4BB4007B">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5、入驻园区的企业必须取得污染物排放总量指标，园区污染物总量达到限值后，不得引进排放同类污染物的企业，园区同类企业不得进行改、扩建（对环境或总量削减有改善除外</w:t>
                  </w:r>
                  <w:r>
                    <w:rPr>
                      <w:rFonts w:hint="eastAsia"/>
                      <w:color w:val="auto"/>
                      <w:szCs w:val="21"/>
                    </w:rPr>
                    <w:t>）</w:t>
                  </w:r>
                  <w:r>
                    <w:rPr>
                      <w:color w:val="auto"/>
                      <w:szCs w:val="21"/>
                    </w:rPr>
                    <w:t>。</w:t>
                  </w:r>
                </w:p>
              </w:tc>
              <w:tc>
                <w:tcPr>
                  <w:tcW w:w="2523" w:type="dxa"/>
                  <w:vMerge w:val="continue"/>
                  <w:tcBorders>
                    <w:tl2br w:val="nil"/>
                    <w:tr2bl w:val="nil"/>
                  </w:tcBorders>
                  <w:vAlign w:val="center"/>
                </w:tcPr>
                <w:p w14:paraId="4ADA6BF1">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315" w:type="dxa"/>
                  <w:vMerge w:val="continue"/>
                  <w:tcBorders>
                    <w:tl2br w:val="nil"/>
                    <w:tr2bl w:val="nil"/>
                  </w:tcBorders>
                  <w:vAlign w:val="center"/>
                </w:tcPr>
                <w:p w14:paraId="0C625C3A">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r>
            <w:tr w14:paraId="57F2C3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dxa"/>
                  <w:gridSpan w:val="2"/>
                  <w:vMerge w:val="restart"/>
                  <w:tcBorders>
                    <w:tl2br w:val="nil"/>
                    <w:tr2bl w:val="nil"/>
                  </w:tcBorders>
                  <w:vAlign w:val="center"/>
                </w:tcPr>
                <w:p w14:paraId="09F306D1">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环境风险防控</w:t>
                  </w:r>
                </w:p>
              </w:tc>
              <w:tc>
                <w:tcPr>
                  <w:tcW w:w="4240" w:type="dxa"/>
                  <w:tcBorders>
                    <w:tl2br w:val="nil"/>
                    <w:tr2bl w:val="nil"/>
                  </w:tcBorders>
                  <w:vAlign w:val="center"/>
                </w:tcPr>
                <w:p w14:paraId="0FC85176">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1、园区和企业编制环境风险应急预案，对重点风险源编制环境风险评估报告。区内涉重金属企业应完善“单元</w:t>
                  </w:r>
                  <w:r>
                    <w:rPr>
                      <w:rFonts w:hint="eastAsia"/>
                      <w:color w:val="auto"/>
                      <w:szCs w:val="21"/>
                    </w:rPr>
                    <w:t>－</w:t>
                  </w:r>
                  <w:r>
                    <w:rPr>
                      <w:color w:val="auto"/>
                      <w:szCs w:val="21"/>
                    </w:rPr>
                    <w:t>厂区</w:t>
                  </w:r>
                  <w:r>
                    <w:rPr>
                      <w:rFonts w:hint="eastAsia"/>
                      <w:color w:val="auto"/>
                      <w:szCs w:val="21"/>
                    </w:rPr>
                    <w:t>－</w:t>
                  </w:r>
                  <w:r>
                    <w:rPr>
                      <w:color w:val="auto"/>
                      <w:szCs w:val="21"/>
                    </w:rPr>
                    <w:t>开发区”环境风险防控三级措施，按时对应急预案进行更新与备案。</w:t>
                  </w:r>
                </w:p>
              </w:tc>
              <w:tc>
                <w:tcPr>
                  <w:tcW w:w="2523" w:type="dxa"/>
                  <w:tcBorders>
                    <w:tl2br w:val="nil"/>
                    <w:tr2bl w:val="nil"/>
                  </w:tcBorders>
                  <w:vAlign w:val="center"/>
                </w:tcPr>
                <w:p w14:paraId="5C133660">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项目配备应急消防设施，定期开展应急演练，熟练应急物资的使用</w:t>
                  </w:r>
                </w:p>
              </w:tc>
              <w:tc>
                <w:tcPr>
                  <w:tcW w:w="315" w:type="dxa"/>
                  <w:vMerge w:val="continue"/>
                  <w:tcBorders>
                    <w:tl2br w:val="nil"/>
                    <w:tr2bl w:val="nil"/>
                  </w:tcBorders>
                  <w:vAlign w:val="center"/>
                </w:tcPr>
                <w:p w14:paraId="4E428929">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r>
            <w:tr w14:paraId="4262D8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dxa"/>
                  <w:gridSpan w:val="2"/>
                  <w:vMerge w:val="continue"/>
                  <w:tcBorders>
                    <w:tl2br w:val="nil"/>
                    <w:tr2bl w:val="nil"/>
                  </w:tcBorders>
                  <w:vAlign w:val="center"/>
                </w:tcPr>
                <w:p w14:paraId="08AA8CC8">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4240" w:type="dxa"/>
                  <w:tcBorders>
                    <w:tl2br w:val="nil"/>
                    <w:tr2bl w:val="nil"/>
                  </w:tcBorders>
                  <w:vAlign w:val="center"/>
                </w:tcPr>
                <w:p w14:paraId="23865B2D">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2、建立有毒有害气体预警体系，建立重点监控区域预警和应急机制，涉及有毒有害气体的企业全部安装毒害气体监控预警装置并与当地生态环境主管部门或园区管理平台联网，加强监控。</w:t>
                  </w:r>
                </w:p>
              </w:tc>
              <w:tc>
                <w:tcPr>
                  <w:tcW w:w="2523" w:type="dxa"/>
                  <w:tcBorders>
                    <w:tl2br w:val="nil"/>
                    <w:tr2bl w:val="nil"/>
                  </w:tcBorders>
                  <w:vAlign w:val="center"/>
                </w:tcPr>
                <w:p w14:paraId="25D648DD">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本项目不涉及有毒有害物质</w:t>
                  </w:r>
                </w:p>
              </w:tc>
              <w:tc>
                <w:tcPr>
                  <w:tcW w:w="315" w:type="dxa"/>
                  <w:vMerge w:val="continue"/>
                  <w:tcBorders>
                    <w:tl2br w:val="nil"/>
                    <w:tr2bl w:val="nil"/>
                  </w:tcBorders>
                  <w:vAlign w:val="center"/>
                </w:tcPr>
                <w:p w14:paraId="6DB2F6D4">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r>
            <w:tr w14:paraId="65F647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dxa"/>
                  <w:gridSpan w:val="2"/>
                  <w:vMerge w:val="continue"/>
                  <w:tcBorders>
                    <w:tl2br w:val="nil"/>
                    <w:tr2bl w:val="nil"/>
                  </w:tcBorders>
                  <w:vAlign w:val="center"/>
                </w:tcPr>
                <w:p w14:paraId="0458563B">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4240" w:type="dxa"/>
                  <w:tcBorders>
                    <w:tl2br w:val="nil"/>
                    <w:tr2bl w:val="nil"/>
                  </w:tcBorders>
                  <w:vAlign w:val="center"/>
                </w:tcPr>
                <w:p w14:paraId="48D302AD">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3、建立突发水污染事件应急防范体系，编制三级防控体系建设方案，建设突发水污染事件三级防控体系建设。</w:t>
                  </w:r>
                </w:p>
              </w:tc>
              <w:tc>
                <w:tcPr>
                  <w:tcW w:w="2523" w:type="dxa"/>
                  <w:tcBorders>
                    <w:tl2br w:val="nil"/>
                    <w:tr2bl w:val="nil"/>
                  </w:tcBorders>
                  <w:vAlign w:val="center"/>
                </w:tcPr>
                <w:p w14:paraId="7D0143D4">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本项目按要求执行</w:t>
                  </w:r>
                </w:p>
              </w:tc>
              <w:tc>
                <w:tcPr>
                  <w:tcW w:w="315" w:type="dxa"/>
                  <w:vMerge w:val="continue"/>
                  <w:tcBorders>
                    <w:tl2br w:val="nil"/>
                    <w:tr2bl w:val="nil"/>
                  </w:tcBorders>
                  <w:vAlign w:val="center"/>
                </w:tcPr>
                <w:p w14:paraId="6882A533">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r>
            <w:tr w14:paraId="616A6F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dxa"/>
                  <w:gridSpan w:val="2"/>
                  <w:vMerge w:val="continue"/>
                  <w:tcBorders>
                    <w:tl2br w:val="nil"/>
                    <w:tr2bl w:val="nil"/>
                  </w:tcBorders>
                  <w:vAlign w:val="center"/>
                </w:tcPr>
                <w:p w14:paraId="24394AE2">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4240" w:type="dxa"/>
                  <w:tcBorders>
                    <w:tl2br w:val="nil"/>
                    <w:tr2bl w:val="nil"/>
                  </w:tcBorders>
                  <w:vAlign w:val="center"/>
                </w:tcPr>
                <w:p w14:paraId="57B5B46D">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4、建立突发环境事件隐患排查整改及突发环境事件应急管理长效机制。将园区突发环境事件隐患排查及整改、环境应急物资管理、环境应急演练拉练、环境应急预案备案及修编等工作，纳入园区管理平台进行信息化管理。园区要做好污染防治过程中的安全防范，组织对园区建设的重点环保治理设施和项目开展安全风险评估和隐患排查治理，督促园区内企业对污染防治设施开展安全风险评估和隐患排查治理。</w:t>
                  </w:r>
                </w:p>
              </w:tc>
              <w:tc>
                <w:tcPr>
                  <w:tcW w:w="2523" w:type="dxa"/>
                  <w:tcBorders>
                    <w:tl2br w:val="nil"/>
                    <w:tr2bl w:val="nil"/>
                  </w:tcBorders>
                  <w:vAlign w:val="center"/>
                </w:tcPr>
                <w:p w14:paraId="7866AE3E">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项目配备应急消防设施，定期开展应急演练，熟练应急物资的使用</w:t>
                  </w:r>
                </w:p>
              </w:tc>
              <w:tc>
                <w:tcPr>
                  <w:tcW w:w="315" w:type="dxa"/>
                  <w:vMerge w:val="continue"/>
                  <w:tcBorders>
                    <w:tl2br w:val="nil"/>
                    <w:tr2bl w:val="nil"/>
                  </w:tcBorders>
                  <w:vAlign w:val="center"/>
                </w:tcPr>
                <w:p w14:paraId="10440900">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r>
            <w:tr w14:paraId="066B22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dxa"/>
                  <w:gridSpan w:val="2"/>
                  <w:vMerge w:val="continue"/>
                  <w:tcBorders>
                    <w:tl2br w:val="nil"/>
                    <w:tr2bl w:val="nil"/>
                  </w:tcBorders>
                  <w:vAlign w:val="center"/>
                </w:tcPr>
                <w:p w14:paraId="4C6F28FE">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4240" w:type="dxa"/>
                  <w:tcBorders>
                    <w:tl2br w:val="nil"/>
                    <w:tr2bl w:val="nil"/>
                  </w:tcBorders>
                  <w:vAlign w:val="center"/>
                </w:tcPr>
                <w:p w14:paraId="259ACF90">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5、布局管控，园区内部的功能布局应充分考虑风险源对区内及周边环境的影响，储罐区应远离村镇集中区、区内人群聚集的办公楼、周边村庄及河流，以减少对其他项目的影响；园区内不同企业风险源之间应尽量远离，防止其中某一风险源发生风险事故引起其他风险源爆发带来的连锁反应，降低风险事故发生的范围。</w:t>
                  </w:r>
                </w:p>
              </w:tc>
              <w:tc>
                <w:tcPr>
                  <w:tcW w:w="2523" w:type="dxa"/>
                  <w:tcBorders>
                    <w:tl2br w:val="nil"/>
                    <w:tr2bl w:val="nil"/>
                  </w:tcBorders>
                  <w:vAlign w:val="center"/>
                </w:tcPr>
                <w:p w14:paraId="3DC7DFB7">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本项目建成后</w:t>
                  </w:r>
                  <w:r>
                    <w:rPr>
                      <w:rFonts w:hint="eastAsia"/>
                      <w:color w:val="auto"/>
                      <w:szCs w:val="21"/>
                    </w:rPr>
                    <w:t>以</w:t>
                  </w:r>
                  <w:r>
                    <w:rPr>
                      <w:rFonts w:hint="eastAsia"/>
                      <w:color w:val="auto"/>
                      <w:sz w:val="21"/>
                      <w:szCs w:val="21"/>
                      <w:lang w:val="en-US" w:eastAsia="zh-CN"/>
                    </w:rPr>
                    <w:t>厂界为起点</w:t>
                  </w:r>
                  <w:r>
                    <w:rPr>
                      <w:rFonts w:hint="eastAsia"/>
                      <w:color w:val="auto"/>
                      <w:szCs w:val="21"/>
                    </w:rPr>
                    <w:t>设置50米卫生防护</w:t>
                  </w:r>
                  <w:r>
                    <w:rPr>
                      <w:color w:val="auto"/>
                      <w:szCs w:val="21"/>
                    </w:rPr>
                    <w:t>距离，项目卫生防护距离范围内没有居民等环境敏感点</w:t>
                  </w:r>
                </w:p>
              </w:tc>
              <w:tc>
                <w:tcPr>
                  <w:tcW w:w="315" w:type="dxa"/>
                  <w:vMerge w:val="continue"/>
                  <w:tcBorders>
                    <w:tl2br w:val="nil"/>
                    <w:tr2bl w:val="nil"/>
                  </w:tcBorders>
                  <w:vAlign w:val="center"/>
                </w:tcPr>
                <w:p w14:paraId="1162F400">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r>
            <w:tr w14:paraId="11FA95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dxa"/>
                  <w:gridSpan w:val="2"/>
                  <w:vMerge w:val="continue"/>
                  <w:tcBorders>
                    <w:tl2br w:val="nil"/>
                    <w:tr2bl w:val="nil"/>
                  </w:tcBorders>
                  <w:vAlign w:val="center"/>
                </w:tcPr>
                <w:p w14:paraId="4E19CCEB">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4240" w:type="dxa"/>
                  <w:tcBorders>
                    <w:tl2br w:val="nil"/>
                    <w:tr2bl w:val="nil"/>
                  </w:tcBorders>
                  <w:vAlign w:val="center"/>
                </w:tcPr>
                <w:p w14:paraId="3EBEF306">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6、对建设用地污染风险重点管控区内关闭搬迁、拟变更土地利用方式和土地使用权人的重点行业企业用地，由土地使用权人负责开展土壤环境状况调查评估。暂不开发利用或现阶段不具备治理与修复条件的污染地块，实施以防止污染扩散为目的的风险管控。</w:t>
                  </w:r>
                </w:p>
              </w:tc>
              <w:tc>
                <w:tcPr>
                  <w:tcW w:w="2523" w:type="dxa"/>
                  <w:vMerge w:val="restart"/>
                  <w:tcBorders>
                    <w:tl2br w:val="nil"/>
                    <w:tr2bl w:val="nil"/>
                  </w:tcBorders>
                  <w:vAlign w:val="center"/>
                </w:tcPr>
                <w:p w14:paraId="2EE55D03">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本项目不涉及</w:t>
                  </w:r>
                </w:p>
              </w:tc>
              <w:tc>
                <w:tcPr>
                  <w:tcW w:w="315" w:type="dxa"/>
                  <w:vMerge w:val="continue"/>
                  <w:tcBorders>
                    <w:tl2br w:val="nil"/>
                    <w:tr2bl w:val="nil"/>
                  </w:tcBorders>
                  <w:vAlign w:val="center"/>
                </w:tcPr>
                <w:p w14:paraId="6E3527CF">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r>
            <w:tr w14:paraId="00CE82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dxa"/>
                  <w:gridSpan w:val="2"/>
                  <w:vMerge w:val="continue"/>
                  <w:tcBorders>
                    <w:tl2br w:val="nil"/>
                    <w:tr2bl w:val="nil"/>
                  </w:tcBorders>
                  <w:vAlign w:val="center"/>
                </w:tcPr>
                <w:p w14:paraId="0F9B0458">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4240" w:type="dxa"/>
                  <w:tcBorders>
                    <w:tl2br w:val="nil"/>
                    <w:tr2bl w:val="nil"/>
                  </w:tcBorders>
                  <w:vAlign w:val="center"/>
                </w:tcPr>
                <w:p w14:paraId="41DAA60A">
                  <w:pPr>
                    <w:keepNext w:val="0"/>
                    <w:keepLines w:val="0"/>
                    <w:pageBreakBefore w:val="0"/>
                    <w:kinsoku/>
                    <w:wordWrap/>
                    <w:overflowPunct/>
                    <w:topLinePunct w:val="0"/>
                    <w:autoSpaceDE/>
                    <w:autoSpaceDN/>
                    <w:bidi w:val="0"/>
                    <w:adjustRightInd w:val="0"/>
                    <w:snapToGrid w:val="0"/>
                    <w:jc w:val="center"/>
                    <w:textAlignment w:val="auto"/>
                    <w:rPr>
                      <w:color w:val="auto"/>
                      <w:szCs w:val="21"/>
                    </w:rPr>
                  </w:pPr>
                  <w:r>
                    <w:rPr>
                      <w:color w:val="auto"/>
                      <w:szCs w:val="21"/>
                    </w:rPr>
                    <w:t>7、禁止无法落实危险废物处置途径的项目入园。</w:t>
                  </w:r>
                </w:p>
              </w:tc>
              <w:tc>
                <w:tcPr>
                  <w:tcW w:w="2523" w:type="dxa"/>
                  <w:vMerge w:val="continue"/>
                  <w:tcBorders>
                    <w:tl2br w:val="nil"/>
                    <w:tr2bl w:val="nil"/>
                  </w:tcBorders>
                  <w:vAlign w:val="center"/>
                </w:tcPr>
                <w:p w14:paraId="71E21325">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c>
                <w:tcPr>
                  <w:tcW w:w="315" w:type="dxa"/>
                  <w:vMerge w:val="continue"/>
                  <w:tcBorders>
                    <w:tl2br w:val="nil"/>
                    <w:tr2bl w:val="nil"/>
                  </w:tcBorders>
                  <w:vAlign w:val="center"/>
                </w:tcPr>
                <w:p w14:paraId="74B9FA0B">
                  <w:pPr>
                    <w:keepNext w:val="0"/>
                    <w:keepLines w:val="0"/>
                    <w:pageBreakBefore w:val="0"/>
                    <w:kinsoku/>
                    <w:wordWrap/>
                    <w:overflowPunct/>
                    <w:topLinePunct w:val="0"/>
                    <w:autoSpaceDE/>
                    <w:autoSpaceDN/>
                    <w:bidi w:val="0"/>
                    <w:adjustRightInd w:val="0"/>
                    <w:snapToGrid w:val="0"/>
                    <w:jc w:val="center"/>
                    <w:textAlignment w:val="auto"/>
                    <w:rPr>
                      <w:color w:val="auto"/>
                      <w:szCs w:val="21"/>
                    </w:rPr>
                  </w:pPr>
                </w:p>
              </w:tc>
            </w:tr>
          </w:tbl>
          <w:p w14:paraId="445A19AB">
            <w:pPr>
              <w:widowControl/>
              <w:adjustRightInd w:val="0"/>
              <w:snapToGrid w:val="0"/>
              <w:spacing w:before="120" w:beforeLines="50" w:line="360" w:lineRule="auto"/>
              <w:ind w:firstLine="482" w:firstLineChars="200"/>
              <w:jc w:val="left"/>
              <w:rPr>
                <w:color w:val="auto"/>
                <w:kern w:val="0"/>
                <w:sz w:val="24"/>
                <w:szCs w:val="20"/>
              </w:rPr>
            </w:pPr>
            <w:r>
              <w:rPr>
                <w:rFonts w:hint="eastAsia"/>
                <w:b/>
                <w:color w:val="auto"/>
                <w:sz w:val="24"/>
              </w:rPr>
              <w:t>5</w:t>
            </w:r>
            <w:r>
              <w:rPr>
                <w:b/>
                <w:color w:val="auto"/>
                <w:sz w:val="24"/>
              </w:rPr>
              <w:t>.</w:t>
            </w:r>
            <w:r>
              <w:rPr>
                <w:b/>
                <w:color w:val="auto"/>
                <w:kern w:val="0"/>
                <w:sz w:val="24"/>
                <w:szCs w:val="20"/>
              </w:rPr>
              <w:t>产业政策相符性分析</w:t>
            </w:r>
          </w:p>
          <w:p w14:paraId="6CEBC2BC">
            <w:pPr>
              <w:widowControl/>
              <w:adjustRightInd w:val="0"/>
              <w:snapToGrid w:val="0"/>
              <w:spacing w:line="360" w:lineRule="auto"/>
              <w:ind w:firstLine="480" w:firstLineChars="200"/>
              <w:jc w:val="left"/>
              <w:rPr>
                <w:color w:val="auto"/>
                <w:sz w:val="24"/>
              </w:rPr>
            </w:pPr>
            <w:r>
              <w:rPr>
                <w:color w:val="auto"/>
                <w:sz w:val="24"/>
              </w:rPr>
              <w:t>本项目为</w:t>
            </w:r>
            <w:r>
              <w:rPr>
                <w:rFonts w:hint="eastAsia"/>
                <w:color w:val="auto"/>
                <w:sz w:val="24"/>
                <w:lang w:eastAsia="zh-CN"/>
              </w:rPr>
              <w:t>涟水杰特电气有限公司</w:t>
            </w:r>
            <w:r>
              <w:rPr>
                <w:rFonts w:hint="eastAsia"/>
                <w:color w:val="auto"/>
                <w:sz w:val="24"/>
              </w:rPr>
              <w:t>年产3万台套新型电机、变频器生产项目</w:t>
            </w:r>
            <w:r>
              <w:rPr>
                <w:color w:val="auto"/>
                <w:sz w:val="24"/>
              </w:rPr>
              <w:t>，行业类别为</w:t>
            </w:r>
            <w:r>
              <w:rPr>
                <w:rFonts w:hint="eastAsia"/>
                <w:color w:val="auto"/>
                <w:sz w:val="24"/>
              </w:rPr>
              <w:t>“C3819其他电机制造、C3821变压器、整流器和电感器制造”</w:t>
            </w:r>
            <w:r>
              <w:rPr>
                <w:color w:val="auto"/>
                <w:sz w:val="24"/>
              </w:rPr>
              <w:t>，不属于《产业结构调整指导目录（20</w:t>
            </w:r>
            <w:r>
              <w:rPr>
                <w:rFonts w:hint="eastAsia"/>
                <w:color w:val="auto"/>
                <w:sz w:val="24"/>
              </w:rPr>
              <w:t>24</w:t>
            </w:r>
            <w:r>
              <w:rPr>
                <w:color w:val="auto"/>
                <w:sz w:val="24"/>
              </w:rPr>
              <w:t>年本）》中规定的</w:t>
            </w:r>
            <w:r>
              <w:rPr>
                <w:rFonts w:hint="eastAsia"/>
                <w:color w:val="auto"/>
                <w:sz w:val="24"/>
              </w:rPr>
              <w:t>“</w:t>
            </w:r>
            <w:r>
              <w:rPr>
                <w:color w:val="auto"/>
                <w:sz w:val="24"/>
              </w:rPr>
              <w:t>鼓励类</w:t>
            </w:r>
            <w:r>
              <w:rPr>
                <w:rFonts w:hint="eastAsia"/>
                <w:color w:val="auto"/>
                <w:sz w:val="24"/>
                <w:lang w:eastAsia="zh-CN"/>
              </w:rPr>
              <w:t>”“</w:t>
            </w:r>
            <w:r>
              <w:rPr>
                <w:color w:val="auto"/>
                <w:sz w:val="24"/>
              </w:rPr>
              <w:t>限制类</w:t>
            </w:r>
            <w:r>
              <w:rPr>
                <w:rFonts w:hint="eastAsia"/>
                <w:color w:val="auto"/>
                <w:sz w:val="24"/>
              </w:rPr>
              <w:t>”</w:t>
            </w:r>
            <w:r>
              <w:rPr>
                <w:color w:val="auto"/>
                <w:sz w:val="24"/>
              </w:rPr>
              <w:t>和</w:t>
            </w:r>
            <w:r>
              <w:rPr>
                <w:rFonts w:hint="eastAsia"/>
                <w:color w:val="auto"/>
                <w:sz w:val="24"/>
              </w:rPr>
              <w:t>“</w:t>
            </w:r>
            <w:r>
              <w:rPr>
                <w:color w:val="auto"/>
                <w:sz w:val="24"/>
              </w:rPr>
              <w:t>淘汰类</w:t>
            </w:r>
            <w:r>
              <w:rPr>
                <w:rFonts w:hint="eastAsia"/>
                <w:color w:val="auto"/>
                <w:sz w:val="24"/>
              </w:rPr>
              <w:t>”</w:t>
            </w:r>
            <w:r>
              <w:rPr>
                <w:color w:val="auto"/>
                <w:sz w:val="24"/>
              </w:rPr>
              <w:t>；也不属于《江苏省产业结构调整限制、淘汰和禁止目录》（苏办发〔2018〕32号附件3）中规定的</w:t>
            </w:r>
            <w:r>
              <w:rPr>
                <w:rFonts w:hint="eastAsia"/>
                <w:color w:val="auto"/>
                <w:sz w:val="24"/>
              </w:rPr>
              <w:t>“</w:t>
            </w:r>
            <w:r>
              <w:rPr>
                <w:color w:val="auto"/>
                <w:sz w:val="24"/>
              </w:rPr>
              <w:t>限制类</w:t>
            </w:r>
            <w:r>
              <w:rPr>
                <w:rFonts w:hint="eastAsia"/>
                <w:color w:val="auto"/>
                <w:sz w:val="24"/>
                <w:lang w:eastAsia="zh-CN"/>
              </w:rPr>
              <w:t>”“</w:t>
            </w:r>
            <w:r>
              <w:rPr>
                <w:color w:val="auto"/>
                <w:sz w:val="24"/>
              </w:rPr>
              <w:t>淘汰类</w:t>
            </w:r>
            <w:r>
              <w:rPr>
                <w:rFonts w:hint="eastAsia"/>
                <w:color w:val="auto"/>
                <w:sz w:val="24"/>
              </w:rPr>
              <w:t>”</w:t>
            </w:r>
            <w:r>
              <w:rPr>
                <w:color w:val="auto"/>
                <w:sz w:val="24"/>
              </w:rPr>
              <w:t>和</w:t>
            </w:r>
            <w:r>
              <w:rPr>
                <w:rFonts w:hint="eastAsia"/>
                <w:color w:val="auto"/>
                <w:sz w:val="24"/>
              </w:rPr>
              <w:t>“</w:t>
            </w:r>
            <w:r>
              <w:rPr>
                <w:color w:val="auto"/>
                <w:sz w:val="24"/>
              </w:rPr>
              <w:t>禁止类</w:t>
            </w:r>
            <w:r>
              <w:rPr>
                <w:rFonts w:hint="eastAsia"/>
                <w:color w:val="auto"/>
                <w:sz w:val="24"/>
              </w:rPr>
              <w:t>”</w:t>
            </w:r>
            <w:r>
              <w:rPr>
                <w:color w:val="auto"/>
                <w:sz w:val="24"/>
              </w:rPr>
              <w:t>；为允许类项目。</w:t>
            </w:r>
          </w:p>
          <w:p w14:paraId="7F48E2C5">
            <w:pPr>
              <w:widowControl/>
              <w:adjustRightInd w:val="0"/>
              <w:snapToGrid w:val="0"/>
              <w:spacing w:line="360" w:lineRule="auto"/>
              <w:ind w:firstLine="480" w:firstLineChars="200"/>
              <w:jc w:val="left"/>
              <w:rPr>
                <w:color w:val="auto"/>
                <w:sz w:val="24"/>
              </w:rPr>
            </w:pPr>
            <w:r>
              <w:rPr>
                <w:color w:val="auto"/>
                <w:sz w:val="24"/>
              </w:rPr>
              <w:t>本项目已取得江苏省投资项目备案证，备案证号：</w:t>
            </w:r>
            <w:r>
              <w:rPr>
                <w:rFonts w:hint="eastAsia"/>
                <w:color w:val="auto"/>
                <w:sz w:val="24"/>
              </w:rPr>
              <w:t>涟区开发备〔2025〕</w:t>
            </w:r>
            <w:r>
              <w:rPr>
                <w:rFonts w:hint="eastAsia"/>
                <w:color w:val="auto"/>
                <w:sz w:val="24"/>
                <w:lang w:val="en-US" w:eastAsia="zh-CN"/>
              </w:rPr>
              <w:t>33</w:t>
            </w:r>
            <w:r>
              <w:rPr>
                <w:rFonts w:hint="eastAsia"/>
                <w:color w:val="auto"/>
                <w:sz w:val="24"/>
              </w:rPr>
              <w:t>号</w:t>
            </w:r>
            <w:r>
              <w:rPr>
                <w:color w:val="auto"/>
                <w:sz w:val="24"/>
              </w:rPr>
              <w:t>。因此，项目的建设符合国家和地方产业政策。</w:t>
            </w:r>
          </w:p>
          <w:p w14:paraId="41089C9D">
            <w:pPr>
              <w:widowControl/>
              <w:adjustRightInd w:val="0"/>
              <w:snapToGrid w:val="0"/>
              <w:spacing w:line="360" w:lineRule="auto"/>
              <w:ind w:firstLine="482" w:firstLineChars="200"/>
              <w:jc w:val="left"/>
              <w:rPr>
                <w:b/>
                <w:bCs/>
                <w:color w:val="auto"/>
                <w:sz w:val="24"/>
              </w:rPr>
            </w:pPr>
            <w:r>
              <w:rPr>
                <w:rFonts w:hint="eastAsia"/>
                <w:b/>
                <w:bCs/>
                <w:color w:val="auto"/>
                <w:sz w:val="24"/>
              </w:rPr>
              <w:t>6</w:t>
            </w:r>
            <w:r>
              <w:rPr>
                <w:b/>
                <w:bCs/>
                <w:color w:val="auto"/>
                <w:sz w:val="24"/>
              </w:rPr>
              <w:t>.</w:t>
            </w:r>
            <w:r>
              <w:rPr>
                <w:rFonts w:hint="eastAsia"/>
                <w:b/>
                <w:bCs/>
                <w:color w:val="auto"/>
                <w:sz w:val="24"/>
              </w:rPr>
              <w:t>用地规划相符性分析</w:t>
            </w:r>
          </w:p>
          <w:p w14:paraId="1150ACCC">
            <w:pPr>
              <w:widowControl/>
              <w:adjustRightInd w:val="0"/>
              <w:snapToGrid w:val="0"/>
              <w:spacing w:line="360" w:lineRule="auto"/>
              <w:ind w:firstLine="480" w:firstLineChars="200"/>
              <w:jc w:val="left"/>
              <w:rPr>
                <w:color w:val="auto"/>
                <w:sz w:val="24"/>
              </w:rPr>
            </w:pPr>
            <w:r>
              <w:rPr>
                <w:color w:val="auto"/>
                <w:sz w:val="24"/>
              </w:rPr>
              <w:t>对照《关于发布实施</w:t>
            </w:r>
            <w:r>
              <w:rPr>
                <w:rFonts w:hint="eastAsia"/>
                <w:color w:val="auto"/>
                <w:sz w:val="24"/>
                <w:lang w:eastAsia="zh-CN"/>
              </w:rPr>
              <w:t>〈</w:t>
            </w:r>
            <w:r>
              <w:rPr>
                <w:color w:val="auto"/>
                <w:sz w:val="24"/>
              </w:rPr>
              <w:t>江苏省限制用地项目目录（2013年本）</w:t>
            </w:r>
            <w:r>
              <w:rPr>
                <w:rFonts w:hint="eastAsia"/>
                <w:color w:val="auto"/>
                <w:sz w:val="24"/>
                <w:lang w:eastAsia="zh-CN"/>
              </w:rPr>
              <w:t>〉</w:t>
            </w:r>
            <w:r>
              <w:rPr>
                <w:color w:val="auto"/>
                <w:sz w:val="24"/>
              </w:rPr>
              <w:t>和</w:t>
            </w:r>
            <w:r>
              <w:rPr>
                <w:rFonts w:hint="eastAsia"/>
                <w:color w:val="auto"/>
                <w:sz w:val="24"/>
                <w:lang w:eastAsia="zh-CN"/>
              </w:rPr>
              <w:t>〈</w:t>
            </w:r>
            <w:r>
              <w:rPr>
                <w:color w:val="auto"/>
                <w:sz w:val="24"/>
              </w:rPr>
              <w:t>江苏省禁止用地项目目录（2013年本）</w:t>
            </w:r>
            <w:r>
              <w:rPr>
                <w:rFonts w:hint="eastAsia"/>
                <w:color w:val="auto"/>
                <w:sz w:val="24"/>
                <w:lang w:eastAsia="zh-CN"/>
              </w:rPr>
              <w:t>〉</w:t>
            </w:r>
            <w:r>
              <w:rPr>
                <w:color w:val="auto"/>
                <w:sz w:val="24"/>
              </w:rPr>
              <w:t>的通知》（苏国土资发〔2013〕323号），本项目不属于限制和禁止用地项目。本项目用地位于</w:t>
            </w:r>
            <w:r>
              <w:rPr>
                <w:rFonts w:hint="eastAsia"/>
                <w:color w:val="auto"/>
                <w:sz w:val="24"/>
              </w:rPr>
              <w:t>淮安市江苏涟水经济开发区涟古路北侧、兴隆路西侧</w:t>
            </w:r>
            <w:r>
              <w:rPr>
                <w:color w:val="auto"/>
                <w:sz w:val="24"/>
              </w:rPr>
              <w:t>，项目用地性质为工业用地，符合相关要求。</w:t>
            </w:r>
          </w:p>
          <w:p w14:paraId="71FB90D4">
            <w:pPr>
              <w:tabs>
                <w:tab w:val="left" w:pos="1095"/>
              </w:tabs>
              <w:spacing w:line="360" w:lineRule="auto"/>
              <w:ind w:firstLine="482" w:firstLineChars="200"/>
              <w:rPr>
                <w:color w:val="auto"/>
                <w:sz w:val="24"/>
              </w:rPr>
            </w:pPr>
            <w:r>
              <w:rPr>
                <w:rFonts w:hint="eastAsia"/>
                <w:b/>
                <w:bCs/>
                <w:color w:val="auto"/>
                <w:sz w:val="24"/>
              </w:rPr>
              <w:t>7.与</w:t>
            </w:r>
            <w:r>
              <w:rPr>
                <w:rFonts w:hint="eastAsia"/>
                <w:b/>
                <w:color w:val="auto"/>
                <w:sz w:val="24"/>
              </w:rPr>
              <w:t>相关环保法规、指南等相符性分析</w:t>
            </w:r>
          </w:p>
          <w:p w14:paraId="11DBD11A">
            <w:pPr>
              <w:tabs>
                <w:tab w:val="left" w:pos="1095"/>
              </w:tabs>
              <w:spacing w:line="360" w:lineRule="auto"/>
              <w:ind w:firstLine="480" w:firstLineChars="200"/>
              <w:rPr>
                <w:color w:val="auto"/>
                <w:sz w:val="24"/>
              </w:rPr>
            </w:pPr>
            <w:r>
              <w:rPr>
                <w:rFonts w:hint="eastAsia"/>
                <w:color w:val="auto"/>
                <w:sz w:val="24"/>
              </w:rPr>
              <w:t>项目与国家、江苏省、淮安市</w:t>
            </w:r>
            <w:r>
              <w:rPr>
                <w:color w:val="auto"/>
                <w:sz w:val="24"/>
              </w:rPr>
              <w:t>相关环保法规、指南相符性分析</w:t>
            </w:r>
            <w:r>
              <w:rPr>
                <w:rFonts w:hint="eastAsia"/>
                <w:color w:val="auto"/>
                <w:sz w:val="24"/>
              </w:rPr>
              <w:t>，</w:t>
            </w:r>
            <w:r>
              <w:rPr>
                <w:color w:val="auto"/>
                <w:sz w:val="24"/>
              </w:rPr>
              <w:t>见表</w:t>
            </w:r>
            <w:r>
              <w:rPr>
                <w:rFonts w:hint="eastAsia"/>
                <w:color w:val="auto"/>
                <w:sz w:val="24"/>
              </w:rPr>
              <w:t>1-9。</w:t>
            </w:r>
          </w:p>
          <w:p w14:paraId="4B17C0C8">
            <w:pPr>
              <w:adjustRightInd w:val="0"/>
              <w:snapToGrid w:val="0"/>
              <w:ind w:firstLine="482"/>
              <w:jc w:val="center"/>
              <w:rPr>
                <w:b/>
                <w:bCs/>
                <w:color w:val="auto"/>
                <w:sz w:val="24"/>
              </w:rPr>
            </w:pPr>
            <w:r>
              <w:rPr>
                <w:b/>
                <w:bCs/>
                <w:color w:val="auto"/>
                <w:sz w:val="24"/>
              </w:rPr>
              <w:t>表1</w:t>
            </w:r>
            <w:r>
              <w:rPr>
                <w:rFonts w:hint="eastAsia"/>
                <w:b/>
                <w:bCs/>
                <w:color w:val="auto"/>
                <w:sz w:val="24"/>
              </w:rPr>
              <w:t>-9 项目与</w:t>
            </w:r>
            <w:r>
              <w:rPr>
                <w:b/>
                <w:bCs/>
                <w:color w:val="auto"/>
                <w:sz w:val="24"/>
              </w:rPr>
              <w:t>相关环保法规、指南等相符性分析表</w:t>
            </w:r>
          </w:p>
          <w:tbl>
            <w:tblPr>
              <w:tblStyle w:val="88"/>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883"/>
              <w:gridCol w:w="694"/>
              <w:gridCol w:w="3080"/>
              <w:gridCol w:w="2609"/>
              <w:gridCol w:w="564"/>
            </w:tblGrid>
            <w:tr w14:paraId="6C30CC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84" w:type="dxa"/>
                  <w:tcBorders>
                    <w:tl2br w:val="nil"/>
                    <w:tr2bl w:val="nil"/>
                  </w:tcBorders>
                  <w:vAlign w:val="center"/>
                </w:tcPr>
                <w:p w14:paraId="4DDD04A9">
                  <w:pPr>
                    <w:keepNext w:val="0"/>
                    <w:keepLines w:val="0"/>
                    <w:pageBreakBefore w:val="0"/>
                    <w:kinsoku/>
                    <w:wordWrap/>
                    <w:overflowPunct/>
                    <w:topLinePunct w:val="0"/>
                    <w:autoSpaceDE/>
                    <w:autoSpaceDN/>
                    <w:bidi w:val="0"/>
                    <w:adjustRightInd w:val="0"/>
                    <w:snapToGrid w:val="0"/>
                    <w:ind w:firstLine="0" w:firstLineChars="0"/>
                    <w:jc w:val="center"/>
                    <w:textAlignment w:val="auto"/>
                    <w:rPr>
                      <w:b/>
                      <w:color w:val="auto"/>
                      <w:szCs w:val="21"/>
                    </w:rPr>
                  </w:pPr>
                  <w:r>
                    <w:rPr>
                      <w:b/>
                      <w:color w:val="auto"/>
                      <w:szCs w:val="21"/>
                    </w:rPr>
                    <w:t>文件名称</w:t>
                  </w:r>
                </w:p>
              </w:tc>
              <w:tc>
                <w:tcPr>
                  <w:tcW w:w="3774" w:type="dxa"/>
                  <w:gridSpan w:val="2"/>
                  <w:tcBorders>
                    <w:tl2br w:val="nil"/>
                    <w:tr2bl w:val="nil"/>
                  </w:tcBorders>
                  <w:vAlign w:val="center"/>
                </w:tcPr>
                <w:p w14:paraId="59476D02">
                  <w:pPr>
                    <w:keepNext w:val="0"/>
                    <w:keepLines w:val="0"/>
                    <w:pageBreakBefore w:val="0"/>
                    <w:kinsoku/>
                    <w:wordWrap/>
                    <w:overflowPunct/>
                    <w:topLinePunct w:val="0"/>
                    <w:autoSpaceDE/>
                    <w:autoSpaceDN/>
                    <w:bidi w:val="0"/>
                    <w:adjustRightInd w:val="0"/>
                    <w:snapToGrid w:val="0"/>
                    <w:ind w:firstLine="0" w:firstLineChars="0"/>
                    <w:jc w:val="center"/>
                    <w:textAlignment w:val="auto"/>
                    <w:rPr>
                      <w:b/>
                      <w:color w:val="auto"/>
                      <w:szCs w:val="21"/>
                    </w:rPr>
                  </w:pPr>
                  <w:r>
                    <w:rPr>
                      <w:b/>
                      <w:color w:val="auto"/>
                      <w:szCs w:val="21"/>
                    </w:rPr>
                    <w:t>要求</w:t>
                  </w:r>
                </w:p>
              </w:tc>
              <w:tc>
                <w:tcPr>
                  <w:tcW w:w="2609" w:type="dxa"/>
                  <w:tcBorders>
                    <w:tl2br w:val="nil"/>
                    <w:tr2bl w:val="nil"/>
                  </w:tcBorders>
                  <w:vAlign w:val="center"/>
                </w:tcPr>
                <w:p w14:paraId="0F199C96">
                  <w:pPr>
                    <w:keepNext w:val="0"/>
                    <w:keepLines w:val="0"/>
                    <w:pageBreakBefore w:val="0"/>
                    <w:kinsoku/>
                    <w:wordWrap/>
                    <w:overflowPunct/>
                    <w:topLinePunct w:val="0"/>
                    <w:autoSpaceDE/>
                    <w:autoSpaceDN/>
                    <w:bidi w:val="0"/>
                    <w:adjustRightInd w:val="0"/>
                    <w:snapToGrid w:val="0"/>
                    <w:ind w:firstLine="0" w:firstLineChars="0"/>
                    <w:jc w:val="center"/>
                    <w:textAlignment w:val="auto"/>
                    <w:rPr>
                      <w:b/>
                      <w:color w:val="auto"/>
                      <w:szCs w:val="21"/>
                    </w:rPr>
                  </w:pPr>
                  <w:r>
                    <w:rPr>
                      <w:b/>
                      <w:color w:val="auto"/>
                      <w:szCs w:val="21"/>
                    </w:rPr>
                    <w:t>项目情况</w:t>
                  </w:r>
                </w:p>
              </w:tc>
              <w:tc>
                <w:tcPr>
                  <w:tcW w:w="564" w:type="dxa"/>
                  <w:tcBorders>
                    <w:tl2br w:val="nil"/>
                    <w:tr2bl w:val="nil"/>
                  </w:tcBorders>
                  <w:vAlign w:val="center"/>
                </w:tcPr>
                <w:p w14:paraId="7BCB814D">
                  <w:pPr>
                    <w:keepNext w:val="0"/>
                    <w:keepLines w:val="0"/>
                    <w:pageBreakBefore w:val="0"/>
                    <w:kinsoku/>
                    <w:wordWrap/>
                    <w:overflowPunct/>
                    <w:topLinePunct w:val="0"/>
                    <w:autoSpaceDE/>
                    <w:autoSpaceDN/>
                    <w:bidi w:val="0"/>
                    <w:adjustRightInd w:val="0"/>
                    <w:snapToGrid w:val="0"/>
                    <w:ind w:firstLine="0" w:firstLineChars="0"/>
                    <w:jc w:val="center"/>
                    <w:textAlignment w:val="auto"/>
                    <w:rPr>
                      <w:b/>
                      <w:color w:val="auto"/>
                      <w:szCs w:val="21"/>
                    </w:rPr>
                  </w:pPr>
                  <w:r>
                    <w:rPr>
                      <w:b/>
                      <w:color w:val="auto"/>
                      <w:szCs w:val="21"/>
                    </w:rPr>
                    <w:t>相符性判定</w:t>
                  </w:r>
                </w:p>
              </w:tc>
            </w:tr>
            <w:tr w14:paraId="17721F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84" w:type="dxa"/>
                  <w:vMerge w:val="restart"/>
                  <w:tcBorders>
                    <w:tl2br w:val="nil"/>
                    <w:tr2bl w:val="nil"/>
                  </w:tcBorders>
                  <w:vAlign w:val="center"/>
                </w:tcPr>
                <w:p w14:paraId="2AB102D7">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推动长江经济带发展领导小组办公室关于印发《长江经济带发展负面清单指南</w:t>
                  </w:r>
                  <w:r>
                    <w:rPr>
                      <w:rFonts w:hint="eastAsia"/>
                      <w:color w:val="auto"/>
                      <w:szCs w:val="21"/>
                    </w:rPr>
                    <w:t>（</w:t>
                  </w:r>
                  <w:r>
                    <w:rPr>
                      <w:color w:val="auto"/>
                      <w:szCs w:val="21"/>
                    </w:rPr>
                    <w:t>试行，2022年版</w:t>
                  </w:r>
                  <w:r>
                    <w:rPr>
                      <w:rFonts w:hint="eastAsia"/>
                      <w:color w:val="auto"/>
                      <w:szCs w:val="21"/>
                    </w:rPr>
                    <w:t>）</w:t>
                  </w:r>
                  <w:r>
                    <w:rPr>
                      <w:color w:val="auto"/>
                      <w:szCs w:val="21"/>
                    </w:rPr>
                    <w:t>》的通知（长江办</w:t>
                  </w:r>
                  <w:r>
                    <w:rPr>
                      <w:rFonts w:hint="eastAsia"/>
                      <w:color w:val="auto"/>
                      <w:szCs w:val="21"/>
                      <w:lang w:eastAsia="zh-CN"/>
                    </w:rPr>
                    <w:t>〔2022〕7号</w:t>
                  </w:r>
                  <w:r>
                    <w:rPr>
                      <w:color w:val="auto"/>
                      <w:szCs w:val="21"/>
                    </w:rPr>
                    <w:t>）</w:t>
                  </w:r>
                </w:p>
              </w:tc>
              <w:tc>
                <w:tcPr>
                  <w:tcW w:w="3774" w:type="dxa"/>
                  <w:gridSpan w:val="2"/>
                  <w:tcBorders>
                    <w:tl2br w:val="nil"/>
                    <w:tr2bl w:val="nil"/>
                  </w:tcBorders>
                  <w:vAlign w:val="center"/>
                </w:tcPr>
                <w:p w14:paraId="490B4FB3">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1.禁止建设不符合全国和省级港口布局规划以及港口总体规划的码头项目，禁止建设不符合《长江干线过江通道布局规划》的过</w:t>
                  </w:r>
                  <w:r>
                    <w:rPr>
                      <w:rFonts w:hint="eastAsia"/>
                      <w:color w:val="auto"/>
                      <w:szCs w:val="21"/>
                      <w:lang w:eastAsia="zh-CN"/>
                    </w:rPr>
                    <w:t>江</w:t>
                  </w:r>
                  <w:r>
                    <w:rPr>
                      <w:color w:val="auto"/>
                      <w:szCs w:val="21"/>
                    </w:rPr>
                    <w:t>通道项目。</w:t>
                  </w:r>
                </w:p>
              </w:tc>
              <w:tc>
                <w:tcPr>
                  <w:tcW w:w="2609" w:type="dxa"/>
                  <w:tcBorders>
                    <w:tl2br w:val="nil"/>
                    <w:tr2bl w:val="nil"/>
                  </w:tcBorders>
                  <w:vAlign w:val="center"/>
                </w:tcPr>
                <w:p w14:paraId="23D7DFA3">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项目为</w:t>
                  </w:r>
                  <w:r>
                    <w:rPr>
                      <w:rFonts w:hint="eastAsia"/>
                      <w:color w:val="auto"/>
                      <w:szCs w:val="21"/>
                    </w:rPr>
                    <w:t>年产3万台套新型电机、变频器生产项目</w:t>
                  </w:r>
                  <w:r>
                    <w:rPr>
                      <w:color w:val="auto"/>
                      <w:szCs w:val="21"/>
                    </w:rPr>
                    <w:t>，不涉及码头建设。</w:t>
                  </w:r>
                </w:p>
              </w:tc>
              <w:tc>
                <w:tcPr>
                  <w:tcW w:w="564" w:type="dxa"/>
                  <w:vMerge w:val="restart"/>
                  <w:tcBorders>
                    <w:tl2br w:val="nil"/>
                    <w:tr2bl w:val="nil"/>
                  </w:tcBorders>
                  <w:vAlign w:val="center"/>
                </w:tcPr>
                <w:p w14:paraId="517AB26F">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符合</w:t>
                  </w:r>
                </w:p>
              </w:tc>
            </w:tr>
            <w:tr w14:paraId="479DE8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84" w:type="dxa"/>
                  <w:vMerge w:val="continue"/>
                  <w:tcBorders>
                    <w:tl2br w:val="nil"/>
                    <w:tr2bl w:val="nil"/>
                  </w:tcBorders>
                  <w:vAlign w:val="center"/>
                </w:tcPr>
                <w:p w14:paraId="63A1D127">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3774" w:type="dxa"/>
                  <w:gridSpan w:val="2"/>
                  <w:tcBorders>
                    <w:tl2br w:val="nil"/>
                    <w:tr2bl w:val="nil"/>
                  </w:tcBorders>
                  <w:vAlign w:val="center"/>
                </w:tcPr>
                <w:p w14:paraId="0E615012">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2.禁止在自然保护区核心区、缓冲区的岸线和河段范围内投资建设旅游和生产经营项目。禁止在风景名胜区核心景区的岸线和河段范围内投资建设与风景名胜资源保护无关的项目。</w:t>
                  </w:r>
                </w:p>
              </w:tc>
              <w:tc>
                <w:tcPr>
                  <w:tcW w:w="2609" w:type="dxa"/>
                  <w:vMerge w:val="restart"/>
                  <w:tcBorders>
                    <w:tl2br w:val="nil"/>
                    <w:tr2bl w:val="nil"/>
                  </w:tcBorders>
                  <w:vAlign w:val="center"/>
                </w:tcPr>
                <w:p w14:paraId="4AD33330">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项目位于</w:t>
                  </w:r>
                  <w:r>
                    <w:rPr>
                      <w:rFonts w:hint="eastAsia"/>
                      <w:color w:val="auto"/>
                      <w:szCs w:val="21"/>
                    </w:rPr>
                    <w:t>淮安市江苏涟水经济开发区涟古路北侧、兴隆路西侧</w:t>
                  </w:r>
                  <w:r>
                    <w:rPr>
                      <w:color w:val="auto"/>
                      <w:szCs w:val="21"/>
                    </w:rPr>
                    <w:t>，用地性质为工业用地，不在自然保护区核心区、缓冲区、风景名胜区、饮用水源保护区、水产种质资源保护区、国家湿地公园、水产种质资源保护区内。</w:t>
                  </w:r>
                </w:p>
              </w:tc>
              <w:tc>
                <w:tcPr>
                  <w:tcW w:w="564" w:type="dxa"/>
                  <w:vMerge w:val="continue"/>
                  <w:tcBorders>
                    <w:tl2br w:val="nil"/>
                    <w:tr2bl w:val="nil"/>
                  </w:tcBorders>
                  <w:vAlign w:val="center"/>
                </w:tcPr>
                <w:p w14:paraId="093C0E59">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tr w14:paraId="371768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884" w:type="dxa"/>
                  <w:vMerge w:val="continue"/>
                  <w:tcBorders>
                    <w:tl2br w:val="nil"/>
                    <w:tr2bl w:val="nil"/>
                  </w:tcBorders>
                  <w:vAlign w:val="center"/>
                </w:tcPr>
                <w:p w14:paraId="38EA2031">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3774" w:type="dxa"/>
                  <w:gridSpan w:val="2"/>
                  <w:tcBorders>
                    <w:tl2br w:val="nil"/>
                    <w:tr2bl w:val="nil"/>
                  </w:tcBorders>
                  <w:vAlign w:val="center"/>
                </w:tcPr>
                <w:p w14:paraId="3E5B294B">
                  <w:pPr>
                    <w:keepNext w:val="0"/>
                    <w:keepLines w:val="0"/>
                    <w:pageBreakBefore w:val="0"/>
                    <w:kinsoku/>
                    <w:wordWrap/>
                    <w:overflowPunct/>
                    <w:topLinePunct w:val="0"/>
                    <w:autoSpaceDE/>
                    <w:autoSpaceDN/>
                    <w:bidi w:val="0"/>
                    <w:adjustRightInd w:val="0"/>
                    <w:snapToGrid w:val="0"/>
                    <w:ind w:firstLine="0" w:firstLineChars="0"/>
                    <w:jc w:val="center"/>
                    <w:textAlignment w:val="auto"/>
                    <w:rPr>
                      <w:b/>
                      <w:bCs/>
                      <w:color w:val="auto"/>
                      <w:szCs w:val="21"/>
                    </w:rPr>
                  </w:pPr>
                  <w:r>
                    <w:rPr>
                      <w:color w:val="auto"/>
                      <w:szCs w:val="21"/>
                    </w:rPr>
                    <w:t>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609" w:type="dxa"/>
                  <w:vMerge w:val="continue"/>
                  <w:tcBorders>
                    <w:tl2br w:val="nil"/>
                    <w:tr2bl w:val="nil"/>
                  </w:tcBorders>
                  <w:vAlign w:val="center"/>
                </w:tcPr>
                <w:p w14:paraId="1EE33C65">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564" w:type="dxa"/>
                  <w:vMerge w:val="continue"/>
                  <w:tcBorders>
                    <w:tl2br w:val="nil"/>
                    <w:tr2bl w:val="nil"/>
                  </w:tcBorders>
                  <w:vAlign w:val="center"/>
                </w:tcPr>
                <w:p w14:paraId="6F3091A5">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tr w14:paraId="1B186D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884" w:type="dxa"/>
                  <w:vMerge w:val="continue"/>
                  <w:tcBorders>
                    <w:tl2br w:val="nil"/>
                    <w:tr2bl w:val="nil"/>
                  </w:tcBorders>
                  <w:vAlign w:val="center"/>
                </w:tcPr>
                <w:p w14:paraId="7DD181EA">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3774" w:type="dxa"/>
                  <w:gridSpan w:val="2"/>
                  <w:tcBorders>
                    <w:tl2br w:val="nil"/>
                    <w:tr2bl w:val="nil"/>
                  </w:tcBorders>
                  <w:vAlign w:val="center"/>
                </w:tcPr>
                <w:p w14:paraId="6CE81B82">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4.禁止在水产种质资源保护区的岸线和河段范围内新建围湖造田、围海造地或围填海等投资建设项目。禁止在国家湿地公园的岸线和河段范围内挖沙、采矿，以及任何不符合主体功能定位的投资建设项目。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609" w:type="dxa"/>
                  <w:vMerge w:val="continue"/>
                  <w:tcBorders>
                    <w:tl2br w:val="nil"/>
                    <w:tr2bl w:val="nil"/>
                  </w:tcBorders>
                  <w:vAlign w:val="center"/>
                </w:tcPr>
                <w:p w14:paraId="01978EC0">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564" w:type="dxa"/>
                  <w:vMerge w:val="continue"/>
                  <w:tcBorders>
                    <w:tl2br w:val="nil"/>
                    <w:tr2bl w:val="nil"/>
                  </w:tcBorders>
                  <w:vAlign w:val="center"/>
                </w:tcPr>
                <w:p w14:paraId="7F13F9BC">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tr w14:paraId="3FA4B4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884" w:type="dxa"/>
                  <w:vMerge w:val="continue"/>
                  <w:tcBorders>
                    <w:tl2br w:val="nil"/>
                    <w:tr2bl w:val="nil"/>
                  </w:tcBorders>
                  <w:vAlign w:val="center"/>
                </w:tcPr>
                <w:p w14:paraId="59E0288F">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3774" w:type="dxa"/>
                  <w:gridSpan w:val="2"/>
                  <w:tcBorders>
                    <w:tl2br w:val="nil"/>
                    <w:tr2bl w:val="nil"/>
                  </w:tcBorders>
                  <w:vAlign w:val="center"/>
                </w:tcPr>
                <w:p w14:paraId="7A8348FA">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5.禁止违法利用、占用长江流</w:t>
                  </w:r>
                  <w:r>
                    <w:rPr>
                      <w:rFonts w:hint="eastAsia"/>
                      <w:color w:val="auto"/>
                      <w:szCs w:val="21"/>
                    </w:rPr>
                    <w:t>域</w:t>
                  </w:r>
                  <w:r>
                    <w:rPr>
                      <w:color w:val="auto"/>
                      <w:szCs w:val="21"/>
                    </w:rPr>
                    <w:t>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609" w:type="dxa"/>
                  <w:tcBorders>
                    <w:tl2br w:val="nil"/>
                    <w:tr2bl w:val="nil"/>
                  </w:tcBorders>
                  <w:vAlign w:val="center"/>
                </w:tcPr>
                <w:p w14:paraId="3335B356">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项目位于</w:t>
                  </w:r>
                  <w:r>
                    <w:rPr>
                      <w:rFonts w:hint="eastAsia"/>
                      <w:color w:val="auto"/>
                      <w:szCs w:val="21"/>
                    </w:rPr>
                    <w:t>淮安市江苏涟水经济开发区涟古路北侧、兴隆路西侧</w:t>
                  </w:r>
                  <w:r>
                    <w:rPr>
                      <w:color w:val="auto"/>
                      <w:szCs w:val="21"/>
                    </w:rPr>
                    <w:t>，</w:t>
                  </w:r>
                  <w:r>
                    <w:rPr>
                      <w:rFonts w:hint="eastAsia"/>
                      <w:color w:val="auto"/>
                      <w:szCs w:val="21"/>
                    </w:rPr>
                    <w:t>不在长江流域河湖岸线范围内</w:t>
                  </w:r>
                  <w:r>
                    <w:rPr>
                      <w:color w:val="auto"/>
                      <w:szCs w:val="21"/>
                    </w:rPr>
                    <w:t>。</w:t>
                  </w:r>
                </w:p>
              </w:tc>
              <w:tc>
                <w:tcPr>
                  <w:tcW w:w="564" w:type="dxa"/>
                  <w:vMerge w:val="continue"/>
                  <w:tcBorders>
                    <w:tl2br w:val="nil"/>
                    <w:tr2bl w:val="nil"/>
                  </w:tcBorders>
                  <w:vAlign w:val="center"/>
                </w:tcPr>
                <w:p w14:paraId="2AC8BFF6">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tr w14:paraId="4FF2A5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84" w:type="dxa"/>
                  <w:vMerge w:val="continue"/>
                  <w:tcBorders>
                    <w:tl2br w:val="nil"/>
                    <w:tr2bl w:val="nil"/>
                  </w:tcBorders>
                  <w:vAlign w:val="center"/>
                </w:tcPr>
                <w:p w14:paraId="2585EE24">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3774" w:type="dxa"/>
                  <w:gridSpan w:val="2"/>
                  <w:tcBorders>
                    <w:tl2br w:val="nil"/>
                    <w:tr2bl w:val="nil"/>
                  </w:tcBorders>
                  <w:vAlign w:val="center"/>
                </w:tcPr>
                <w:p w14:paraId="2EB2D7D1">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6.禁止未经许可在长江干支流及湖泊新设、改设或扩大排污口。</w:t>
                  </w:r>
                </w:p>
              </w:tc>
              <w:tc>
                <w:tcPr>
                  <w:tcW w:w="2609" w:type="dxa"/>
                  <w:vMerge w:val="restart"/>
                  <w:tcBorders>
                    <w:tl2br w:val="nil"/>
                    <w:tr2bl w:val="nil"/>
                  </w:tcBorders>
                  <w:vAlign w:val="center"/>
                </w:tcPr>
                <w:p w14:paraId="5AB30791">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项目不在长江干支流、重要湖泊岸线一公里范围内，且不涉及化工园区和化工项目，不涉及尾矿库、冶炼渣库和磷石膏库。</w:t>
                  </w:r>
                </w:p>
              </w:tc>
              <w:tc>
                <w:tcPr>
                  <w:tcW w:w="564" w:type="dxa"/>
                  <w:vMerge w:val="continue"/>
                  <w:tcBorders>
                    <w:tl2br w:val="nil"/>
                    <w:tr2bl w:val="nil"/>
                  </w:tcBorders>
                  <w:vAlign w:val="center"/>
                </w:tcPr>
                <w:p w14:paraId="0827B8E8">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tr w14:paraId="7D8700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884" w:type="dxa"/>
                  <w:vMerge w:val="continue"/>
                  <w:tcBorders>
                    <w:tl2br w:val="nil"/>
                    <w:tr2bl w:val="nil"/>
                  </w:tcBorders>
                  <w:vAlign w:val="center"/>
                </w:tcPr>
                <w:p w14:paraId="398994DC">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3774" w:type="dxa"/>
                  <w:gridSpan w:val="2"/>
                  <w:tcBorders>
                    <w:tl2br w:val="nil"/>
                    <w:tr2bl w:val="nil"/>
                  </w:tcBorders>
                  <w:vAlign w:val="center"/>
                </w:tcPr>
                <w:p w14:paraId="0737D833">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7.禁止在</w:t>
                  </w:r>
                  <w:r>
                    <w:rPr>
                      <w:rFonts w:hint="eastAsia"/>
                      <w:color w:val="auto"/>
                      <w:szCs w:val="21"/>
                    </w:rPr>
                    <w:t>“</w:t>
                  </w:r>
                  <w:r>
                    <w:rPr>
                      <w:color w:val="auto"/>
                      <w:szCs w:val="21"/>
                    </w:rPr>
                    <w:t>一江一口两湖七河</w:t>
                  </w:r>
                  <w:r>
                    <w:rPr>
                      <w:rFonts w:hint="eastAsia"/>
                      <w:color w:val="auto"/>
                      <w:szCs w:val="21"/>
                    </w:rPr>
                    <w:t>”</w:t>
                  </w:r>
                  <w:r>
                    <w:rPr>
                      <w:color w:val="auto"/>
                      <w:szCs w:val="21"/>
                    </w:rPr>
                    <w:t>和332个水生生物保护区开展生产性捕捞。</w:t>
                  </w:r>
                </w:p>
              </w:tc>
              <w:tc>
                <w:tcPr>
                  <w:tcW w:w="2609" w:type="dxa"/>
                  <w:vMerge w:val="continue"/>
                  <w:tcBorders>
                    <w:tl2br w:val="nil"/>
                    <w:tr2bl w:val="nil"/>
                  </w:tcBorders>
                  <w:vAlign w:val="center"/>
                </w:tcPr>
                <w:p w14:paraId="61D15E62">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564" w:type="dxa"/>
                  <w:vMerge w:val="continue"/>
                  <w:tcBorders>
                    <w:tl2br w:val="nil"/>
                    <w:tr2bl w:val="nil"/>
                  </w:tcBorders>
                  <w:vAlign w:val="center"/>
                </w:tcPr>
                <w:p w14:paraId="0AD066EB">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tr w14:paraId="4C28BB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1866" w:hRule="atLeast"/>
                <w:jc w:val="center"/>
              </w:trPr>
              <w:tc>
                <w:tcPr>
                  <w:tcW w:w="884" w:type="dxa"/>
                  <w:vMerge w:val="continue"/>
                  <w:tcBorders>
                    <w:tl2br w:val="nil"/>
                    <w:tr2bl w:val="nil"/>
                  </w:tcBorders>
                  <w:vAlign w:val="center"/>
                </w:tcPr>
                <w:p w14:paraId="0539D31C">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3774" w:type="dxa"/>
                  <w:gridSpan w:val="2"/>
                  <w:tcBorders>
                    <w:tl2br w:val="nil"/>
                    <w:tr2bl w:val="nil"/>
                  </w:tcBorders>
                  <w:vAlign w:val="center"/>
                </w:tcPr>
                <w:p w14:paraId="1350C84A">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8.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609" w:type="dxa"/>
                  <w:vMerge w:val="continue"/>
                  <w:tcBorders>
                    <w:tl2br w:val="nil"/>
                    <w:tr2bl w:val="nil"/>
                  </w:tcBorders>
                  <w:vAlign w:val="center"/>
                </w:tcPr>
                <w:p w14:paraId="7BF89238">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564" w:type="dxa"/>
                  <w:vMerge w:val="continue"/>
                  <w:tcBorders>
                    <w:tl2br w:val="nil"/>
                    <w:tr2bl w:val="nil"/>
                  </w:tcBorders>
                  <w:vAlign w:val="center"/>
                </w:tcPr>
                <w:p w14:paraId="51F527AF">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tr w14:paraId="2886C0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884" w:type="dxa"/>
                  <w:vMerge w:val="continue"/>
                  <w:tcBorders>
                    <w:tl2br w:val="nil"/>
                    <w:tr2bl w:val="nil"/>
                  </w:tcBorders>
                  <w:vAlign w:val="center"/>
                </w:tcPr>
                <w:p w14:paraId="68E67120">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3774" w:type="dxa"/>
                  <w:gridSpan w:val="2"/>
                  <w:tcBorders>
                    <w:tl2br w:val="nil"/>
                    <w:tr2bl w:val="nil"/>
                  </w:tcBorders>
                  <w:vAlign w:val="center"/>
                </w:tcPr>
                <w:p w14:paraId="79805711">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9.禁止在合规园区外新建、扩建钢铁、石化、化工、焦化、建材、有色、制浆造纸等高污染项目。</w:t>
                  </w:r>
                </w:p>
              </w:tc>
              <w:tc>
                <w:tcPr>
                  <w:tcW w:w="2609" w:type="dxa"/>
                  <w:tcBorders>
                    <w:tl2br w:val="nil"/>
                    <w:tr2bl w:val="nil"/>
                  </w:tcBorders>
                  <w:vAlign w:val="center"/>
                </w:tcPr>
                <w:p w14:paraId="0AF9914E">
                  <w:pPr>
                    <w:keepNext w:val="0"/>
                    <w:keepLines w:val="0"/>
                    <w:pageBreakBefore w:val="0"/>
                    <w:kinsoku/>
                    <w:wordWrap/>
                    <w:overflowPunct/>
                    <w:topLinePunct w:val="0"/>
                    <w:autoSpaceDE/>
                    <w:autoSpaceDN/>
                    <w:bidi w:val="0"/>
                    <w:adjustRightInd w:val="0"/>
                    <w:snapToGrid w:val="0"/>
                    <w:ind w:firstLine="0" w:firstLineChars="0"/>
                    <w:textAlignment w:val="auto"/>
                    <w:rPr>
                      <w:color w:val="auto"/>
                      <w:szCs w:val="21"/>
                    </w:rPr>
                  </w:pPr>
                  <w:r>
                    <w:rPr>
                      <w:color w:val="auto"/>
                      <w:szCs w:val="21"/>
                    </w:rPr>
                    <w:t>项目位于</w:t>
                  </w:r>
                  <w:r>
                    <w:rPr>
                      <w:rFonts w:hint="eastAsia"/>
                      <w:color w:val="auto"/>
                      <w:szCs w:val="21"/>
                    </w:rPr>
                    <w:t>淮安市江苏涟水经济开发区涟古路北侧、兴隆路西侧</w:t>
                  </w:r>
                  <w:r>
                    <w:rPr>
                      <w:color w:val="auto"/>
                      <w:szCs w:val="21"/>
                    </w:rPr>
                    <w:t>，且不属于高污染项目。</w:t>
                  </w:r>
                </w:p>
              </w:tc>
              <w:tc>
                <w:tcPr>
                  <w:tcW w:w="564" w:type="dxa"/>
                  <w:vMerge w:val="continue"/>
                  <w:tcBorders>
                    <w:tl2br w:val="nil"/>
                    <w:tr2bl w:val="nil"/>
                  </w:tcBorders>
                  <w:vAlign w:val="center"/>
                </w:tcPr>
                <w:p w14:paraId="20D6EF06">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tr w14:paraId="13300F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884" w:type="dxa"/>
                  <w:vMerge w:val="continue"/>
                  <w:tcBorders>
                    <w:tl2br w:val="nil"/>
                    <w:tr2bl w:val="nil"/>
                  </w:tcBorders>
                  <w:vAlign w:val="center"/>
                </w:tcPr>
                <w:p w14:paraId="1B13DF49">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3774" w:type="dxa"/>
                  <w:gridSpan w:val="2"/>
                  <w:tcBorders>
                    <w:tl2br w:val="nil"/>
                    <w:tr2bl w:val="nil"/>
                  </w:tcBorders>
                  <w:vAlign w:val="center"/>
                </w:tcPr>
                <w:p w14:paraId="2BA0B18E">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10.禁止新建、扩建不符合国家石化、现代煤化工等产业布局规划的项目。</w:t>
                  </w:r>
                </w:p>
              </w:tc>
              <w:tc>
                <w:tcPr>
                  <w:tcW w:w="2609" w:type="dxa"/>
                  <w:tcBorders>
                    <w:tl2br w:val="nil"/>
                    <w:tr2bl w:val="nil"/>
                  </w:tcBorders>
                  <w:vAlign w:val="center"/>
                </w:tcPr>
                <w:p w14:paraId="303D1062">
                  <w:pPr>
                    <w:keepNext w:val="0"/>
                    <w:keepLines w:val="0"/>
                    <w:pageBreakBefore w:val="0"/>
                    <w:kinsoku/>
                    <w:wordWrap/>
                    <w:overflowPunct/>
                    <w:topLinePunct w:val="0"/>
                    <w:autoSpaceDE/>
                    <w:autoSpaceDN/>
                    <w:bidi w:val="0"/>
                    <w:adjustRightInd w:val="0"/>
                    <w:snapToGrid w:val="0"/>
                    <w:ind w:firstLine="0" w:firstLineChars="0"/>
                    <w:textAlignment w:val="auto"/>
                    <w:rPr>
                      <w:color w:val="auto"/>
                      <w:szCs w:val="21"/>
                    </w:rPr>
                  </w:pPr>
                  <w:r>
                    <w:rPr>
                      <w:color w:val="auto"/>
                      <w:szCs w:val="21"/>
                    </w:rPr>
                    <w:t>本项目为</w:t>
                  </w:r>
                  <w:r>
                    <w:rPr>
                      <w:rFonts w:hint="eastAsia"/>
                      <w:color w:val="auto"/>
                      <w:szCs w:val="21"/>
                    </w:rPr>
                    <w:t>年产3万台套新型电机、变频器生产项目</w:t>
                  </w:r>
                  <w:r>
                    <w:rPr>
                      <w:color w:val="auto"/>
                      <w:szCs w:val="21"/>
                    </w:rPr>
                    <w:t>，不属于国家石化、现代煤化工等产业。</w:t>
                  </w:r>
                </w:p>
              </w:tc>
              <w:tc>
                <w:tcPr>
                  <w:tcW w:w="564" w:type="dxa"/>
                  <w:vMerge w:val="continue"/>
                  <w:tcBorders>
                    <w:tl2br w:val="nil"/>
                    <w:tr2bl w:val="nil"/>
                  </w:tcBorders>
                  <w:vAlign w:val="center"/>
                </w:tcPr>
                <w:p w14:paraId="15A4DB2E">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tr w14:paraId="3703C9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84" w:type="dxa"/>
                  <w:vMerge w:val="continue"/>
                  <w:tcBorders>
                    <w:tl2br w:val="nil"/>
                    <w:tr2bl w:val="nil"/>
                  </w:tcBorders>
                  <w:vAlign w:val="center"/>
                </w:tcPr>
                <w:p w14:paraId="74B12AC9">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3774" w:type="dxa"/>
                  <w:gridSpan w:val="2"/>
                  <w:tcBorders>
                    <w:tl2br w:val="nil"/>
                    <w:tr2bl w:val="nil"/>
                  </w:tcBorders>
                  <w:vAlign w:val="center"/>
                </w:tcPr>
                <w:p w14:paraId="5B195EC4">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I1.禁止新建、扩建法律法规和相关政策明令禁止的落后产能</w:t>
                  </w:r>
                </w:p>
                <w:p w14:paraId="2DE530A4">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项目。禁止新建、扩建不符合国家产能置换要求的严重过剩产能行业的项目。禁止新建、扩建不符合要求的高耗能高排放项目。</w:t>
                  </w:r>
                </w:p>
              </w:tc>
              <w:tc>
                <w:tcPr>
                  <w:tcW w:w="2609" w:type="dxa"/>
                  <w:tcBorders>
                    <w:tl2br w:val="nil"/>
                    <w:tr2bl w:val="nil"/>
                  </w:tcBorders>
                  <w:vAlign w:val="center"/>
                </w:tcPr>
                <w:p w14:paraId="03FDFF5F">
                  <w:pPr>
                    <w:keepNext w:val="0"/>
                    <w:keepLines w:val="0"/>
                    <w:pageBreakBefore w:val="0"/>
                    <w:kinsoku/>
                    <w:wordWrap/>
                    <w:overflowPunct/>
                    <w:topLinePunct w:val="0"/>
                    <w:autoSpaceDE/>
                    <w:autoSpaceDN/>
                    <w:bidi w:val="0"/>
                    <w:adjustRightInd w:val="0"/>
                    <w:snapToGrid w:val="0"/>
                    <w:ind w:firstLine="0" w:firstLineChars="0"/>
                    <w:textAlignment w:val="auto"/>
                    <w:rPr>
                      <w:color w:val="auto"/>
                      <w:szCs w:val="21"/>
                    </w:rPr>
                  </w:pPr>
                  <w:r>
                    <w:rPr>
                      <w:color w:val="auto"/>
                      <w:szCs w:val="21"/>
                    </w:rPr>
                    <w:t>本项目不属于落后产能项目，不涉及产能置换行业，不属于高耗能高排放项目</w:t>
                  </w:r>
                  <w:r>
                    <w:rPr>
                      <w:rFonts w:hint="eastAsia"/>
                      <w:color w:val="auto"/>
                      <w:szCs w:val="21"/>
                    </w:rPr>
                    <w:t>。</w:t>
                  </w:r>
                </w:p>
              </w:tc>
              <w:tc>
                <w:tcPr>
                  <w:tcW w:w="564" w:type="dxa"/>
                  <w:vMerge w:val="continue"/>
                  <w:tcBorders>
                    <w:tl2br w:val="nil"/>
                    <w:tr2bl w:val="nil"/>
                  </w:tcBorders>
                  <w:vAlign w:val="center"/>
                </w:tcPr>
                <w:p w14:paraId="1AE26692">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tr w14:paraId="48783B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884" w:type="dxa"/>
                  <w:vMerge w:val="continue"/>
                  <w:tcBorders>
                    <w:tl2br w:val="nil"/>
                    <w:tr2bl w:val="nil"/>
                  </w:tcBorders>
                  <w:vAlign w:val="center"/>
                </w:tcPr>
                <w:p w14:paraId="5AB0EF02">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3774" w:type="dxa"/>
                  <w:gridSpan w:val="2"/>
                  <w:tcBorders>
                    <w:tl2br w:val="nil"/>
                    <w:tr2bl w:val="nil"/>
                  </w:tcBorders>
                  <w:vAlign w:val="center"/>
                </w:tcPr>
                <w:p w14:paraId="15EDD9E0">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12法律法规及相关政策文件有更加严格规定的从其规定。</w:t>
                  </w:r>
                </w:p>
              </w:tc>
              <w:tc>
                <w:tcPr>
                  <w:tcW w:w="2609" w:type="dxa"/>
                  <w:tcBorders>
                    <w:tl2br w:val="nil"/>
                    <w:tr2bl w:val="nil"/>
                  </w:tcBorders>
                  <w:vAlign w:val="center"/>
                </w:tcPr>
                <w:p w14:paraId="29C7CC5C">
                  <w:pPr>
                    <w:keepNext w:val="0"/>
                    <w:keepLines w:val="0"/>
                    <w:pageBreakBefore w:val="0"/>
                    <w:kinsoku/>
                    <w:wordWrap/>
                    <w:overflowPunct/>
                    <w:topLinePunct w:val="0"/>
                    <w:autoSpaceDE/>
                    <w:autoSpaceDN/>
                    <w:bidi w:val="0"/>
                    <w:adjustRightInd w:val="0"/>
                    <w:snapToGrid w:val="0"/>
                    <w:ind w:firstLine="0" w:firstLineChars="0"/>
                    <w:textAlignment w:val="auto"/>
                    <w:rPr>
                      <w:color w:val="auto"/>
                      <w:szCs w:val="21"/>
                    </w:rPr>
                  </w:pPr>
                  <w:r>
                    <w:rPr>
                      <w:color w:val="auto"/>
                      <w:szCs w:val="21"/>
                    </w:rPr>
                    <w:t>本项目严格执行各类法律法规及相关政策文件。</w:t>
                  </w:r>
                </w:p>
              </w:tc>
              <w:tc>
                <w:tcPr>
                  <w:tcW w:w="564" w:type="dxa"/>
                  <w:vMerge w:val="continue"/>
                  <w:tcBorders>
                    <w:tl2br w:val="nil"/>
                    <w:tr2bl w:val="nil"/>
                  </w:tcBorders>
                  <w:vAlign w:val="center"/>
                </w:tcPr>
                <w:p w14:paraId="204E94F6">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tr w14:paraId="6C3C6B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84" w:type="dxa"/>
                  <w:vMerge w:val="restart"/>
                  <w:tcBorders>
                    <w:tl2br w:val="nil"/>
                    <w:tr2bl w:val="nil"/>
                  </w:tcBorders>
                  <w:vAlign w:val="center"/>
                </w:tcPr>
                <w:p w14:paraId="5C69EF02">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w:t>
                  </w:r>
                  <w:r>
                    <w:rPr>
                      <w:rFonts w:hint="eastAsia"/>
                      <w:color w:val="auto"/>
                      <w:szCs w:val="21"/>
                      <w:lang w:eastAsia="zh-CN"/>
                    </w:rPr>
                    <w:t>〈</w:t>
                  </w:r>
                  <w:r>
                    <w:rPr>
                      <w:color w:val="auto"/>
                      <w:szCs w:val="21"/>
                    </w:rPr>
                    <w:t>长江经济带发展负面清单指南</w:t>
                  </w:r>
                  <w:r>
                    <w:rPr>
                      <w:rFonts w:hint="eastAsia"/>
                      <w:color w:val="auto"/>
                      <w:szCs w:val="21"/>
                      <w:lang w:eastAsia="zh-CN"/>
                    </w:rPr>
                    <w:t>〉</w:t>
                  </w:r>
                  <w:r>
                    <w:rPr>
                      <w:color w:val="auto"/>
                      <w:szCs w:val="21"/>
                    </w:rPr>
                    <w:t>江苏省实施细则（试行</w:t>
                  </w:r>
                  <w:r>
                    <w:rPr>
                      <w:rFonts w:hint="eastAsia"/>
                      <w:color w:val="auto"/>
                      <w:szCs w:val="21"/>
                    </w:rPr>
                    <w:t>，2022年版</w:t>
                  </w:r>
                  <w:r>
                    <w:rPr>
                      <w:color w:val="auto"/>
                      <w:szCs w:val="21"/>
                    </w:rPr>
                    <w:t>）》（苏长江办发</w:t>
                  </w:r>
                  <w:r>
                    <w:rPr>
                      <w:rFonts w:hint="eastAsia"/>
                      <w:color w:val="auto"/>
                      <w:szCs w:val="21"/>
                      <w:lang w:eastAsia="zh-CN"/>
                    </w:rPr>
                    <w:t>〔2022〕55号</w:t>
                  </w:r>
                  <w:r>
                    <w:rPr>
                      <w:color w:val="auto"/>
                      <w:szCs w:val="21"/>
                    </w:rPr>
                    <w:t>）</w:t>
                  </w:r>
                </w:p>
              </w:tc>
              <w:tc>
                <w:tcPr>
                  <w:tcW w:w="3774" w:type="dxa"/>
                  <w:gridSpan w:val="2"/>
                  <w:tcBorders>
                    <w:tl2br w:val="nil"/>
                    <w:tr2bl w:val="nil"/>
                  </w:tcBorders>
                  <w:vAlign w:val="center"/>
                </w:tcPr>
                <w:p w14:paraId="3D8EC956">
                  <w:pPr>
                    <w:keepNext w:val="0"/>
                    <w:keepLines w:val="0"/>
                    <w:pageBreakBefore w:val="0"/>
                    <w:kinsoku/>
                    <w:wordWrap/>
                    <w:overflowPunct/>
                    <w:topLinePunct w:val="0"/>
                    <w:autoSpaceDE/>
                    <w:autoSpaceDN/>
                    <w:bidi w:val="0"/>
                    <w:adjustRightInd w:val="0"/>
                    <w:snapToGrid w:val="0"/>
                    <w:ind w:firstLine="0" w:firstLineChars="0"/>
                    <w:textAlignment w:val="auto"/>
                    <w:rPr>
                      <w:color w:val="auto"/>
                      <w:szCs w:val="21"/>
                    </w:rPr>
                  </w:pPr>
                  <w:r>
                    <w:rPr>
                      <w:rFonts w:hAnsi="宋体"/>
                      <w:color w:val="auto"/>
                      <w:szCs w:val="21"/>
                    </w:rPr>
                    <w:t>禁止建设不符合国家港口布局规划和《江苏省沿江沿海</w:t>
                  </w:r>
                  <w:r>
                    <w:rPr>
                      <w:rFonts w:asciiTheme="minorEastAsia" w:hAnsiTheme="minorEastAsia"/>
                      <w:color w:val="auto"/>
                      <w:szCs w:val="21"/>
                    </w:rPr>
                    <w:t>港口布局规划</w:t>
                  </w:r>
                  <w:r>
                    <w:rPr>
                      <w:rFonts w:hint="eastAsia" w:asciiTheme="minorEastAsia" w:hAnsiTheme="minorEastAsia"/>
                      <w:color w:val="auto"/>
                      <w:szCs w:val="21"/>
                    </w:rPr>
                    <w:t>（</w:t>
                  </w:r>
                  <w:r>
                    <w:rPr>
                      <w:color w:val="auto"/>
                      <w:szCs w:val="21"/>
                    </w:rPr>
                    <w:t>2015</w:t>
                  </w:r>
                  <w:r>
                    <w:rPr>
                      <w:rFonts w:hint="eastAsia"/>
                      <w:color w:val="auto"/>
                      <w:szCs w:val="21"/>
                      <w:lang w:eastAsia="zh-CN"/>
                    </w:rPr>
                    <w:t>—</w:t>
                  </w:r>
                  <w:r>
                    <w:rPr>
                      <w:color w:val="auto"/>
                      <w:szCs w:val="21"/>
                    </w:rPr>
                    <w:t>2030</w:t>
                  </w:r>
                  <w:r>
                    <w:rPr>
                      <w:rFonts w:hAnsi="宋体"/>
                      <w:color w:val="auto"/>
                      <w:szCs w:val="21"/>
                    </w:rPr>
                    <w:t>年</w:t>
                  </w:r>
                  <w:r>
                    <w:rPr>
                      <w:rFonts w:hint="eastAsia"/>
                      <w:color w:val="auto"/>
                      <w:szCs w:val="21"/>
                    </w:rPr>
                    <w:t>）</w:t>
                  </w:r>
                  <w:r>
                    <w:rPr>
                      <w:rFonts w:hAnsi="宋体"/>
                      <w:color w:val="auto"/>
                      <w:szCs w:val="21"/>
                    </w:rPr>
                    <w:t>》《江苏省内河港口布局规划</w:t>
                  </w:r>
                  <w:r>
                    <w:rPr>
                      <w:rFonts w:hint="eastAsia"/>
                      <w:color w:val="auto"/>
                      <w:szCs w:val="21"/>
                    </w:rPr>
                    <w:t>（</w:t>
                  </w:r>
                  <w:r>
                    <w:rPr>
                      <w:color w:val="auto"/>
                      <w:szCs w:val="21"/>
                    </w:rPr>
                    <w:t xml:space="preserve"> 2017</w:t>
                  </w:r>
                  <w:r>
                    <w:rPr>
                      <w:rFonts w:hint="eastAsia"/>
                      <w:color w:val="auto"/>
                      <w:szCs w:val="21"/>
                      <w:lang w:eastAsia="zh-CN"/>
                    </w:rPr>
                    <w:t>—</w:t>
                  </w:r>
                  <w:r>
                    <w:rPr>
                      <w:color w:val="auto"/>
                      <w:szCs w:val="21"/>
                    </w:rPr>
                    <w:t>2035</w:t>
                  </w:r>
                  <w:r>
                    <w:rPr>
                      <w:rFonts w:hAnsi="宋体"/>
                      <w:color w:val="auto"/>
                      <w:szCs w:val="21"/>
                    </w:rPr>
                    <w:t>年</w:t>
                  </w:r>
                  <w:r>
                    <w:rPr>
                      <w:rFonts w:hint="eastAsia"/>
                      <w:color w:val="auto"/>
                      <w:szCs w:val="21"/>
                    </w:rPr>
                    <w:t>）</w:t>
                  </w:r>
                  <w:r>
                    <w:rPr>
                      <w:rFonts w:hAnsi="宋体"/>
                      <w:color w:val="auto"/>
                      <w:szCs w:val="21"/>
                    </w:rPr>
                    <w:t>》以及我省有关港口总体规划的码头项目，禁止建设未纳入《长江干线过江通道布局规划》的过</w:t>
                  </w:r>
                  <w:r>
                    <w:rPr>
                      <w:rFonts w:hint="eastAsia" w:hAnsi="宋体"/>
                      <w:color w:val="auto"/>
                      <w:szCs w:val="21"/>
                      <w:lang w:eastAsia="zh-CN"/>
                    </w:rPr>
                    <w:t>江</w:t>
                  </w:r>
                  <w:r>
                    <w:rPr>
                      <w:rFonts w:hAnsi="宋体"/>
                      <w:color w:val="auto"/>
                      <w:szCs w:val="21"/>
                    </w:rPr>
                    <w:t>通道项目</w:t>
                  </w:r>
                </w:p>
              </w:tc>
              <w:tc>
                <w:tcPr>
                  <w:tcW w:w="2609" w:type="dxa"/>
                  <w:tcBorders>
                    <w:tl2br w:val="nil"/>
                    <w:tr2bl w:val="nil"/>
                  </w:tcBorders>
                  <w:vAlign w:val="center"/>
                </w:tcPr>
                <w:p w14:paraId="76C59517">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本项目不属于码头项目和过长江通道项目。</w:t>
                  </w:r>
                </w:p>
              </w:tc>
              <w:tc>
                <w:tcPr>
                  <w:tcW w:w="564" w:type="dxa"/>
                  <w:vMerge w:val="restart"/>
                  <w:tcBorders>
                    <w:tl2br w:val="nil"/>
                    <w:tr2bl w:val="nil"/>
                  </w:tcBorders>
                  <w:vAlign w:val="center"/>
                </w:tcPr>
                <w:p w14:paraId="41F829BF">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符合</w:t>
                  </w:r>
                </w:p>
              </w:tc>
            </w:tr>
            <w:tr w14:paraId="34E8EC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84" w:type="dxa"/>
                  <w:vMerge w:val="continue"/>
                  <w:tcBorders>
                    <w:tl2br w:val="nil"/>
                    <w:tr2bl w:val="nil"/>
                  </w:tcBorders>
                  <w:vAlign w:val="center"/>
                </w:tcPr>
                <w:p w14:paraId="392E3031">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3774" w:type="dxa"/>
                  <w:gridSpan w:val="2"/>
                  <w:tcBorders>
                    <w:tl2br w:val="nil"/>
                    <w:tr2bl w:val="nil"/>
                  </w:tcBorders>
                  <w:vAlign w:val="center"/>
                </w:tcPr>
                <w:p w14:paraId="022DDFD9">
                  <w:pPr>
                    <w:keepNext w:val="0"/>
                    <w:keepLines w:val="0"/>
                    <w:pageBreakBefore w:val="0"/>
                    <w:kinsoku/>
                    <w:wordWrap/>
                    <w:overflowPunct/>
                    <w:topLinePunct w:val="0"/>
                    <w:autoSpaceDE/>
                    <w:autoSpaceDN/>
                    <w:bidi w:val="0"/>
                    <w:adjustRightInd w:val="0"/>
                    <w:snapToGrid w:val="0"/>
                    <w:ind w:firstLine="0" w:firstLineChars="0"/>
                    <w:textAlignment w:val="auto"/>
                    <w:rPr>
                      <w:color w:val="auto"/>
                    </w:rPr>
                  </w:pPr>
                  <w:r>
                    <w:rPr>
                      <w:rFonts w:hint="eastAsia"/>
                      <w:color w:val="auto"/>
                    </w:rPr>
                    <w:t>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自然保护区、风景名胜区由省林业局会同有关方面界定并落实管控责任。</w:t>
                  </w:r>
                </w:p>
              </w:tc>
              <w:tc>
                <w:tcPr>
                  <w:tcW w:w="2609" w:type="dxa"/>
                  <w:tcBorders>
                    <w:tl2br w:val="nil"/>
                    <w:tr2bl w:val="nil"/>
                  </w:tcBorders>
                  <w:vAlign w:val="center"/>
                </w:tcPr>
                <w:p w14:paraId="3759453C">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本项目不在自然保护区核心区、缓冲区的岸线和河段范围内，亦不在风景名胜区核心景区的岸线和河段范围内。</w:t>
                  </w:r>
                </w:p>
              </w:tc>
              <w:tc>
                <w:tcPr>
                  <w:tcW w:w="564" w:type="dxa"/>
                  <w:vMerge w:val="continue"/>
                  <w:tcBorders>
                    <w:tl2br w:val="nil"/>
                    <w:tr2bl w:val="nil"/>
                  </w:tcBorders>
                  <w:vAlign w:val="center"/>
                </w:tcPr>
                <w:p w14:paraId="3C8A7738">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tr w14:paraId="71A2D1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84" w:type="dxa"/>
                  <w:vMerge w:val="continue"/>
                  <w:tcBorders>
                    <w:tl2br w:val="nil"/>
                    <w:tr2bl w:val="nil"/>
                  </w:tcBorders>
                  <w:vAlign w:val="center"/>
                </w:tcPr>
                <w:p w14:paraId="6EAB112D">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3774" w:type="dxa"/>
                  <w:gridSpan w:val="2"/>
                  <w:tcBorders>
                    <w:tl2br w:val="nil"/>
                    <w:tr2bl w:val="nil"/>
                  </w:tcBorders>
                  <w:vAlign w:val="center"/>
                </w:tcPr>
                <w:p w14:paraId="5051D26C">
                  <w:pPr>
                    <w:keepNext w:val="0"/>
                    <w:keepLines w:val="0"/>
                    <w:pageBreakBefore w:val="0"/>
                    <w:kinsoku/>
                    <w:wordWrap/>
                    <w:overflowPunct/>
                    <w:topLinePunct w:val="0"/>
                    <w:autoSpaceDE/>
                    <w:autoSpaceDN/>
                    <w:bidi w:val="0"/>
                    <w:adjustRightInd w:val="0"/>
                    <w:snapToGrid w:val="0"/>
                    <w:ind w:firstLine="0" w:firstLineChars="0"/>
                    <w:textAlignment w:val="auto"/>
                    <w:rPr>
                      <w:color w:val="auto"/>
                      <w:szCs w:val="21"/>
                    </w:rPr>
                  </w:pPr>
                  <w:r>
                    <w:rPr>
                      <w:rFonts w:hAnsi="宋体"/>
                      <w:color w:val="auto"/>
                      <w:szCs w:val="21"/>
                    </w:rPr>
                    <w:t>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禁止在饮用水水源准保护区的岸线和河段范围内新建、扩建对水体污染严重的投资建设项目，改建项目应当消减排污量。饮用水水源一级保护区、二级保护区、准保护区由省生态环境厅会同水利等有关方面界定并落实管控责任。</w:t>
                  </w:r>
                </w:p>
              </w:tc>
              <w:tc>
                <w:tcPr>
                  <w:tcW w:w="2609" w:type="dxa"/>
                  <w:tcBorders>
                    <w:tl2br w:val="nil"/>
                    <w:tr2bl w:val="nil"/>
                  </w:tcBorders>
                  <w:vAlign w:val="center"/>
                </w:tcPr>
                <w:p w14:paraId="57E23672">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本项目不在饮用水水源一级、二级保护区的岸线和河段范围内。</w:t>
                  </w:r>
                </w:p>
              </w:tc>
              <w:tc>
                <w:tcPr>
                  <w:tcW w:w="564" w:type="dxa"/>
                  <w:vMerge w:val="continue"/>
                  <w:tcBorders>
                    <w:tl2br w:val="nil"/>
                    <w:tr2bl w:val="nil"/>
                  </w:tcBorders>
                  <w:vAlign w:val="center"/>
                </w:tcPr>
                <w:p w14:paraId="573356EA">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tr w14:paraId="635829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84" w:type="dxa"/>
                  <w:vMerge w:val="continue"/>
                  <w:tcBorders>
                    <w:tl2br w:val="nil"/>
                    <w:tr2bl w:val="nil"/>
                  </w:tcBorders>
                  <w:vAlign w:val="center"/>
                </w:tcPr>
                <w:p w14:paraId="43B0C0F4">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3774" w:type="dxa"/>
                  <w:gridSpan w:val="2"/>
                  <w:tcBorders>
                    <w:tl2br w:val="nil"/>
                    <w:tr2bl w:val="nil"/>
                  </w:tcBorders>
                  <w:vAlign w:val="center"/>
                </w:tcPr>
                <w:p w14:paraId="12428793">
                  <w:pPr>
                    <w:keepNext w:val="0"/>
                    <w:keepLines w:val="0"/>
                    <w:pageBreakBefore w:val="0"/>
                    <w:kinsoku/>
                    <w:wordWrap/>
                    <w:overflowPunct/>
                    <w:topLinePunct w:val="0"/>
                    <w:autoSpaceDE/>
                    <w:autoSpaceDN/>
                    <w:bidi w:val="0"/>
                    <w:adjustRightInd w:val="0"/>
                    <w:snapToGrid w:val="0"/>
                    <w:ind w:firstLine="0" w:firstLineChars="0"/>
                    <w:textAlignment w:val="auto"/>
                    <w:rPr>
                      <w:color w:val="auto"/>
                      <w:szCs w:val="21"/>
                    </w:rPr>
                  </w:pPr>
                  <w:r>
                    <w:rPr>
                      <w:rFonts w:hAnsi="宋体"/>
                      <w:color w:val="auto"/>
                      <w:szCs w:val="21"/>
                    </w:rPr>
                    <w:t>严格执行《水产种质资源保护区管理暂行办法》，禁止在国家级和省级水产种质资源保护区的岸线和河段范围内新建围湖造田、围海造地或围填海等投资建设项目。严格执行《中华人民共和国湿地保护法》《江苏省湿地保护条例》，禁止在国家湿地公园的岸线和河段范围内挖沙、采矿，以及任何不符合主体功能定位的投资建设项目。水产种质资源保护区、国家湿地公园分别由省农业农村厅、省林业局会同有关方面界定并落实管控责任。</w:t>
                  </w:r>
                </w:p>
              </w:tc>
              <w:tc>
                <w:tcPr>
                  <w:tcW w:w="2609" w:type="dxa"/>
                  <w:tcBorders>
                    <w:tl2br w:val="nil"/>
                    <w:tr2bl w:val="nil"/>
                  </w:tcBorders>
                  <w:vAlign w:val="center"/>
                </w:tcPr>
                <w:p w14:paraId="1D23C635">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本项目不在水产种质资源保护区、国家湿地公园的岸线和河段范围内。</w:t>
                  </w:r>
                </w:p>
              </w:tc>
              <w:tc>
                <w:tcPr>
                  <w:tcW w:w="564" w:type="dxa"/>
                  <w:vMerge w:val="continue"/>
                  <w:tcBorders>
                    <w:tl2br w:val="nil"/>
                    <w:tr2bl w:val="nil"/>
                  </w:tcBorders>
                  <w:vAlign w:val="center"/>
                </w:tcPr>
                <w:p w14:paraId="24DD18EB">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tr w14:paraId="7C7CC3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84" w:type="dxa"/>
                  <w:vMerge w:val="continue"/>
                  <w:tcBorders>
                    <w:tl2br w:val="nil"/>
                    <w:tr2bl w:val="nil"/>
                  </w:tcBorders>
                  <w:vAlign w:val="center"/>
                </w:tcPr>
                <w:p w14:paraId="78E4A389">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3774" w:type="dxa"/>
                  <w:gridSpan w:val="2"/>
                  <w:tcBorders>
                    <w:tl2br w:val="nil"/>
                    <w:tr2bl w:val="nil"/>
                  </w:tcBorders>
                  <w:vAlign w:val="center"/>
                </w:tcPr>
                <w:p w14:paraId="7A793379">
                  <w:pPr>
                    <w:keepNext w:val="0"/>
                    <w:keepLines w:val="0"/>
                    <w:pageBreakBefore w:val="0"/>
                    <w:kinsoku/>
                    <w:wordWrap/>
                    <w:overflowPunct/>
                    <w:topLinePunct w:val="0"/>
                    <w:autoSpaceDE/>
                    <w:autoSpaceDN/>
                    <w:bidi w:val="0"/>
                    <w:adjustRightInd w:val="0"/>
                    <w:snapToGrid w:val="0"/>
                    <w:ind w:firstLine="0" w:firstLineChars="0"/>
                    <w:textAlignment w:val="auto"/>
                    <w:rPr>
                      <w:color w:val="auto"/>
                      <w:szCs w:val="21"/>
                    </w:rPr>
                  </w:pPr>
                  <w:r>
                    <w:rPr>
                      <w:rFonts w:hAnsi="宋体"/>
                      <w:color w:val="auto"/>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长江干支流基础设施项目应按照《长江岸线保护和开发利用总体规划》和生态环境保护、岸线保护等要求，按规定开展项目前期论证并办理相关手续。禁止在《全国重要江河湖泊水功能区划》划定的河段及湖泊保护区、保留区内投资建设不利于水资源及自然生态保护的项目</w:t>
                  </w:r>
                </w:p>
              </w:tc>
              <w:tc>
                <w:tcPr>
                  <w:tcW w:w="2609" w:type="dxa"/>
                  <w:tcBorders>
                    <w:tl2br w:val="nil"/>
                    <w:tr2bl w:val="nil"/>
                  </w:tcBorders>
                  <w:vAlign w:val="center"/>
                </w:tcPr>
                <w:p w14:paraId="1F446B62">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本项目不在《长江岸线保护和开发利用总体规划</w:t>
                  </w:r>
                  <w:r>
                    <w:rPr>
                      <w:rFonts w:hint="eastAsia"/>
                      <w:color w:val="auto"/>
                      <w:szCs w:val="21"/>
                      <w:lang w:eastAsia="zh-CN"/>
                    </w:rPr>
                    <w:t>》《</w:t>
                  </w:r>
                  <w:r>
                    <w:rPr>
                      <w:rFonts w:hint="eastAsia"/>
                      <w:color w:val="auto"/>
                      <w:szCs w:val="21"/>
                    </w:rPr>
                    <w:t>全国重要江河湖泊水功能区划》划定的岸线/河段保护区范围内。</w:t>
                  </w:r>
                </w:p>
              </w:tc>
              <w:tc>
                <w:tcPr>
                  <w:tcW w:w="564" w:type="dxa"/>
                  <w:vMerge w:val="continue"/>
                  <w:tcBorders>
                    <w:tl2br w:val="nil"/>
                    <w:tr2bl w:val="nil"/>
                  </w:tcBorders>
                  <w:vAlign w:val="center"/>
                </w:tcPr>
                <w:p w14:paraId="58371833">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tr w14:paraId="2E7829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84" w:type="dxa"/>
                  <w:vMerge w:val="continue"/>
                  <w:tcBorders>
                    <w:tl2br w:val="nil"/>
                    <w:tr2bl w:val="nil"/>
                  </w:tcBorders>
                  <w:vAlign w:val="center"/>
                </w:tcPr>
                <w:p w14:paraId="3B14C37E">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3774" w:type="dxa"/>
                  <w:gridSpan w:val="2"/>
                  <w:tcBorders>
                    <w:tl2br w:val="nil"/>
                    <w:tr2bl w:val="nil"/>
                  </w:tcBorders>
                  <w:vAlign w:val="center"/>
                </w:tcPr>
                <w:p w14:paraId="3E9FDF33">
                  <w:pPr>
                    <w:keepNext w:val="0"/>
                    <w:keepLines w:val="0"/>
                    <w:pageBreakBefore w:val="0"/>
                    <w:kinsoku/>
                    <w:wordWrap/>
                    <w:overflowPunct/>
                    <w:topLinePunct w:val="0"/>
                    <w:autoSpaceDE/>
                    <w:autoSpaceDN/>
                    <w:bidi w:val="0"/>
                    <w:adjustRightInd w:val="0"/>
                    <w:snapToGrid w:val="0"/>
                    <w:ind w:firstLine="0" w:firstLineChars="0"/>
                    <w:textAlignment w:val="auto"/>
                    <w:rPr>
                      <w:rFonts w:asciiTheme="minorEastAsia" w:hAnsiTheme="minorEastAsia"/>
                      <w:color w:val="auto"/>
                      <w:szCs w:val="21"/>
                    </w:rPr>
                  </w:pPr>
                  <w:r>
                    <w:rPr>
                      <w:rFonts w:hint="eastAsia" w:asciiTheme="minorEastAsia" w:hAnsiTheme="minorEastAsia"/>
                      <w:color w:val="auto"/>
                      <w:szCs w:val="21"/>
                    </w:rPr>
                    <w:t>禁止未经许可在长江干支流及湖泊新设、改设或扩大排污口</w:t>
                  </w:r>
                </w:p>
              </w:tc>
              <w:tc>
                <w:tcPr>
                  <w:tcW w:w="2609" w:type="dxa"/>
                  <w:tcBorders>
                    <w:tl2br w:val="nil"/>
                    <w:tr2bl w:val="nil"/>
                  </w:tcBorders>
                  <w:vAlign w:val="center"/>
                </w:tcPr>
                <w:p w14:paraId="3E1B7947">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本项目无生产废水产生及排放，食堂废水经隔油池处理后与生活污水一并经化粪池处理后，接管至涟水经济开发区西区污水处理厂处理，不在长江干支流及湖泊新设、改设或扩大排污口。</w:t>
                  </w:r>
                </w:p>
              </w:tc>
              <w:tc>
                <w:tcPr>
                  <w:tcW w:w="564" w:type="dxa"/>
                  <w:vMerge w:val="continue"/>
                  <w:tcBorders>
                    <w:tl2br w:val="nil"/>
                    <w:tr2bl w:val="nil"/>
                  </w:tcBorders>
                  <w:vAlign w:val="center"/>
                </w:tcPr>
                <w:p w14:paraId="2F0F65C0">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tr w14:paraId="564170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884" w:type="dxa"/>
                  <w:vMerge w:val="continue"/>
                  <w:tcBorders>
                    <w:tl2br w:val="nil"/>
                    <w:tr2bl w:val="nil"/>
                  </w:tcBorders>
                  <w:vAlign w:val="center"/>
                </w:tcPr>
                <w:p w14:paraId="13DCC04E">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3774" w:type="dxa"/>
                  <w:gridSpan w:val="2"/>
                  <w:tcBorders>
                    <w:tl2br w:val="nil"/>
                    <w:tr2bl w:val="nil"/>
                  </w:tcBorders>
                  <w:vAlign w:val="center"/>
                </w:tcPr>
                <w:p w14:paraId="5002461B">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Ansi="宋体"/>
                      <w:color w:val="auto"/>
                      <w:szCs w:val="21"/>
                    </w:rPr>
                  </w:pPr>
                  <w:r>
                    <w:rPr>
                      <w:rFonts w:hAnsi="宋体"/>
                      <w:color w:val="auto"/>
                      <w:szCs w:val="21"/>
                    </w:rPr>
                    <w:t>禁止长江干流、长江口、34个列入《率先全面禁捕的长江流域水生生物保护区名录》的水生生物保护区以及省规定的其他禁渔水域开展生产性捕捞</w:t>
                  </w:r>
                </w:p>
              </w:tc>
              <w:tc>
                <w:tcPr>
                  <w:tcW w:w="2609" w:type="dxa"/>
                  <w:tcBorders>
                    <w:tl2br w:val="nil"/>
                    <w:tr2bl w:val="nil"/>
                  </w:tcBorders>
                  <w:vAlign w:val="center"/>
                </w:tcPr>
                <w:p w14:paraId="75FB54B3">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本项目位于淮安市江苏涟水经济开发区涟古路北侧、兴隆路西侧，为年产3万台套新型电机、变频器生产项目，不涉及捕捞活动。</w:t>
                  </w:r>
                </w:p>
              </w:tc>
              <w:tc>
                <w:tcPr>
                  <w:tcW w:w="564" w:type="dxa"/>
                  <w:vMerge w:val="continue"/>
                  <w:tcBorders>
                    <w:tl2br w:val="nil"/>
                    <w:tr2bl w:val="nil"/>
                  </w:tcBorders>
                  <w:vAlign w:val="center"/>
                </w:tcPr>
                <w:p w14:paraId="6BC777E4">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tr w14:paraId="1EFB9F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84" w:type="dxa"/>
                  <w:vMerge w:val="continue"/>
                  <w:tcBorders>
                    <w:tl2br w:val="nil"/>
                    <w:tr2bl w:val="nil"/>
                  </w:tcBorders>
                  <w:vAlign w:val="center"/>
                </w:tcPr>
                <w:p w14:paraId="69E34C3B">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3774" w:type="dxa"/>
                  <w:gridSpan w:val="2"/>
                  <w:tcBorders>
                    <w:tl2br w:val="nil"/>
                    <w:tr2bl w:val="nil"/>
                  </w:tcBorders>
                  <w:vAlign w:val="center"/>
                </w:tcPr>
                <w:p w14:paraId="6F4C20DD">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Ansi="宋体"/>
                      <w:color w:val="auto"/>
                      <w:szCs w:val="21"/>
                    </w:rPr>
                  </w:pPr>
                  <w:r>
                    <w:rPr>
                      <w:rFonts w:hAnsi="宋体"/>
                      <w:color w:val="auto"/>
                      <w:szCs w:val="21"/>
                    </w:rPr>
                    <w:t>禁止在距离长江干支流岸线一公里范围内新建、扩建化工园区和化工项目。长江干支流一公里按照长江干支流岸线边界</w:t>
                  </w:r>
                  <w:r>
                    <w:rPr>
                      <w:rFonts w:hint="eastAsia" w:hAnsi="宋体"/>
                      <w:color w:val="auto"/>
                      <w:szCs w:val="21"/>
                    </w:rPr>
                    <w:t>（</w:t>
                  </w:r>
                  <w:r>
                    <w:rPr>
                      <w:rFonts w:hAnsi="宋体"/>
                      <w:color w:val="auto"/>
                      <w:szCs w:val="21"/>
                    </w:rPr>
                    <w:t>即水利部门河道管理范围边界）向陆域纵深一公里执行</w:t>
                  </w:r>
                </w:p>
              </w:tc>
              <w:tc>
                <w:tcPr>
                  <w:tcW w:w="2609" w:type="dxa"/>
                  <w:tcBorders>
                    <w:tl2br w:val="nil"/>
                    <w:tr2bl w:val="nil"/>
                  </w:tcBorders>
                  <w:vAlign w:val="center"/>
                </w:tcPr>
                <w:p w14:paraId="222B23D6">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本项目位于淮安市江苏涟水经济开发区涟古路北侧、兴隆路西侧，不在长江干支流一公里范围内。</w:t>
                  </w:r>
                </w:p>
              </w:tc>
              <w:tc>
                <w:tcPr>
                  <w:tcW w:w="564" w:type="dxa"/>
                  <w:vMerge w:val="continue"/>
                  <w:tcBorders>
                    <w:tl2br w:val="nil"/>
                    <w:tr2bl w:val="nil"/>
                  </w:tcBorders>
                  <w:vAlign w:val="center"/>
                </w:tcPr>
                <w:p w14:paraId="35B5946E">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tr w14:paraId="0AF0BD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884" w:type="dxa"/>
                  <w:vMerge w:val="continue"/>
                  <w:tcBorders>
                    <w:tl2br w:val="nil"/>
                    <w:tr2bl w:val="nil"/>
                  </w:tcBorders>
                  <w:vAlign w:val="center"/>
                </w:tcPr>
                <w:p w14:paraId="154B400E">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3774" w:type="dxa"/>
                  <w:gridSpan w:val="2"/>
                  <w:tcBorders>
                    <w:tl2br w:val="nil"/>
                    <w:tr2bl w:val="nil"/>
                  </w:tcBorders>
                  <w:vAlign w:val="center"/>
                </w:tcPr>
                <w:p w14:paraId="112175D5">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Ansi="宋体"/>
                      <w:color w:val="auto"/>
                      <w:szCs w:val="21"/>
                    </w:rPr>
                  </w:pPr>
                  <w:r>
                    <w:rPr>
                      <w:rFonts w:hAnsi="宋体"/>
                      <w:color w:val="auto"/>
                      <w:szCs w:val="21"/>
                    </w:rPr>
                    <w:t>禁止在长江</w:t>
                  </w:r>
                  <w:r>
                    <w:rPr>
                      <w:rFonts w:hint="eastAsia" w:hAnsi="宋体"/>
                      <w:color w:val="auto"/>
                      <w:szCs w:val="21"/>
                    </w:rPr>
                    <w:t>干</w:t>
                  </w:r>
                  <w:r>
                    <w:rPr>
                      <w:rFonts w:hAnsi="宋体"/>
                      <w:color w:val="auto"/>
                      <w:szCs w:val="21"/>
                    </w:rPr>
                    <w:t>流岸线三公里范围内新建、改建、扩建尾矿库、冶炼渣库和磷石膏库，以提升安全、生态环境保护水平为目的的改建除外。</w:t>
                  </w:r>
                </w:p>
              </w:tc>
              <w:tc>
                <w:tcPr>
                  <w:tcW w:w="2609" w:type="dxa"/>
                  <w:tcBorders>
                    <w:tl2br w:val="nil"/>
                    <w:tr2bl w:val="nil"/>
                  </w:tcBorders>
                  <w:vAlign w:val="center"/>
                </w:tcPr>
                <w:p w14:paraId="6E7E29E6">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本项目位于涟水新港电子产业科技园，不在长江干支流三公里范围内。</w:t>
                  </w:r>
                </w:p>
              </w:tc>
              <w:tc>
                <w:tcPr>
                  <w:tcW w:w="564" w:type="dxa"/>
                  <w:vMerge w:val="continue"/>
                  <w:tcBorders>
                    <w:tl2br w:val="nil"/>
                    <w:tr2bl w:val="nil"/>
                  </w:tcBorders>
                  <w:vAlign w:val="center"/>
                </w:tcPr>
                <w:p w14:paraId="6E3969D3">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tr w14:paraId="5F677F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884" w:type="dxa"/>
                  <w:vMerge w:val="continue"/>
                  <w:tcBorders>
                    <w:tl2br w:val="nil"/>
                    <w:tr2bl w:val="nil"/>
                  </w:tcBorders>
                  <w:vAlign w:val="center"/>
                </w:tcPr>
                <w:p w14:paraId="5EB32631">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3774" w:type="dxa"/>
                  <w:gridSpan w:val="2"/>
                  <w:tcBorders>
                    <w:tl2br w:val="nil"/>
                    <w:tr2bl w:val="nil"/>
                  </w:tcBorders>
                  <w:vAlign w:val="center"/>
                </w:tcPr>
                <w:p w14:paraId="18BE9C62">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Ansi="宋体"/>
                      <w:color w:val="auto"/>
                      <w:szCs w:val="21"/>
                    </w:rPr>
                  </w:pPr>
                  <w:r>
                    <w:rPr>
                      <w:rFonts w:hAnsi="宋体"/>
                      <w:color w:val="auto"/>
                      <w:szCs w:val="21"/>
                    </w:rPr>
                    <w:t>禁止在太湖流域一、二、三级保护区内开展《江苏省太湖水污染防治条例》禁止的投资建设活动。</w:t>
                  </w:r>
                </w:p>
              </w:tc>
              <w:tc>
                <w:tcPr>
                  <w:tcW w:w="2609" w:type="dxa"/>
                  <w:tcBorders>
                    <w:tl2br w:val="nil"/>
                    <w:tr2bl w:val="nil"/>
                  </w:tcBorders>
                  <w:vAlign w:val="center"/>
                </w:tcPr>
                <w:p w14:paraId="40098828">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本项目位于淮安市江苏涟水经济开发区涟古路北侧、兴隆路西侧，不在太湖流域。</w:t>
                  </w:r>
                </w:p>
              </w:tc>
              <w:tc>
                <w:tcPr>
                  <w:tcW w:w="564" w:type="dxa"/>
                  <w:vMerge w:val="continue"/>
                  <w:tcBorders>
                    <w:tl2br w:val="nil"/>
                    <w:tr2bl w:val="nil"/>
                  </w:tcBorders>
                  <w:vAlign w:val="center"/>
                </w:tcPr>
                <w:p w14:paraId="0C860D48">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tr w14:paraId="4E4E75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884" w:type="dxa"/>
                  <w:vMerge w:val="continue"/>
                  <w:tcBorders>
                    <w:tl2br w:val="nil"/>
                    <w:tr2bl w:val="nil"/>
                  </w:tcBorders>
                  <w:vAlign w:val="center"/>
                </w:tcPr>
                <w:p w14:paraId="1BC84F8A">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3774" w:type="dxa"/>
                  <w:gridSpan w:val="2"/>
                  <w:tcBorders>
                    <w:tl2br w:val="nil"/>
                    <w:tr2bl w:val="nil"/>
                  </w:tcBorders>
                  <w:vAlign w:val="center"/>
                </w:tcPr>
                <w:p w14:paraId="567384ED">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Ansi="宋体"/>
                      <w:color w:val="auto"/>
                      <w:szCs w:val="21"/>
                    </w:rPr>
                  </w:pPr>
                  <w:r>
                    <w:rPr>
                      <w:rFonts w:hAnsi="宋体"/>
                      <w:color w:val="auto"/>
                      <w:szCs w:val="21"/>
                    </w:rPr>
                    <w:t>禁止在沿江地区新建、扩建未纳入国家和省布局规划的燃煤发电项目。</w:t>
                  </w:r>
                </w:p>
              </w:tc>
              <w:tc>
                <w:tcPr>
                  <w:tcW w:w="2609" w:type="dxa"/>
                  <w:tcBorders>
                    <w:tl2br w:val="nil"/>
                    <w:tr2bl w:val="nil"/>
                  </w:tcBorders>
                  <w:vAlign w:val="center"/>
                </w:tcPr>
                <w:p w14:paraId="40685C0A">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本项目位于淮安市江苏涟水经济开发区涟古路北侧、兴隆路西侧，为年产3万台套新型电机、变频器生产项目，不属于燃煤发电项目。</w:t>
                  </w:r>
                </w:p>
              </w:tc>
              <w:tc>
                <w:tcPr>
                  <w:tcW w:w="564" w:type="dxa"/>
                  <w:vMerge w:val="continue"/>
                  <w:tcBorders>
                    <w:tl2br w:val="nil"/>
                    <w:tr2bl w:val="nil"/>
                  </w:tcBorders>
                  <w:vAlign w:val="center"/>
                </w:tcPr>
                <w:p w14:paraId="39D7B2AA">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tr w14:paraId="226150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884" w:type="dxa"/>
                  <w:vMerge w:val="continue"/>
                  <w:tcBorders>
                    <w:tl2br w:val="nil"/>
                    <w:tr2bl w:val="nil"/>
                  </w:tcBorders>
                  <w:vAlign w:val="center"/>
                </w:tcPr>
                <w:p w14:paraId="3A649299">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3774" w:type="dxa"/>
                  <w:gridSpan w:val="2"/>
                  <w:tcBorders>
                    <w:tl2br w:val="nil"/>
                    <w:tr2bl w:val="nil"/>
                  </w:tcBorders>
                  <w:vAlign w:val="center"/>
                </w:tcPr>
                <w:p w14:paraId="58096C45">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Ansi="宋体"/>
                      <w:color w:val="auto"/>
                      <w:szCs w:val="21"/>
                    </w:rPr>
                  </w:pPr>
                  <w:r>
                    <w:rPr>
                      <w:rFonts w:hAnsi="宋体"/>
                      <w:color w:val="auto"/>
                      <w:szCs w:val="21"/>
                    </w:rPr>
                    <w:t>禁止在合规园区外新建、扩建钢铁、石化、化工、焦化、建材、有色、制浆造纸等高污染项目。合规园区名录按照《〈长江经济带发展负面清单指南</w:t>
                  </w:r>
                  <w:r>
                    <w:rPr>
                      <w:rFonts w:hint="eastAsia" w:hAnsi="宋体"/>
                      <w:color w:val="auto"/>
                      <w:szCs w:val="21"/>
                    </w:rPr>
                    <w:t>（</w:t>
                  </w:r>
                  <w:r>
                    <w:rPr>
                      <w:rFonts w:hAnsi="宋体"/>
                      <w:color w:val="auto"/>
                      <w:szCs w:val="21"/>
                    </w:rPr>
                    <w:t>试行，2022年版</w:t>
                  </w:r>
                  <w:r>
                    <w:rPr>
                      <w:rFonts w:hint="eastAsia" w:hAnsi="宋体"/>
                      <w:color w:val="auto"/>
                      <w:szCs w:val="21"/>
                    </w:rPr>
                    <w:t>）</w:t>
                  </w:r>
                  <w:r>
                    <w:rPr>
                      <w:rFonts w:hint="eastAsia" w:hAnsi="宋体"/>
                      <w:color w:val="auto"/>
                      <w:szCs w:val="21"/>
                      <w:lang w:eastAsia="zh-CN"/>
                    </w:rPr>
                    <w:t>〉</w:t>
                  </w:r>
                  <w:r>
                    <w:rPr>
                      <w:rFonts w:hAnsi="宋体"/>
                      <w:color w:val="auto"/>
                      <w:szCs w:val="21"/>
                    </w:rPr>
                    <w:t>江苏省实施细则合规园区名录》执行。</w:t>
                  </w:r>
                </w:p>
              </w:tc>
              <w:tc>
                <w:tcPr>
                  <w:tcW w:w="2609" w:type="dxa"/>
                  <w:tcBorders>
                    <w:tl2br w:val="nil"/>
                    <w:tr2bl w:val="nil"/>
                  </w:tcBorders>
                  <w:vAlign w:val="center"/>
                </w:tcPr>
                <w:p w14:paraId="0E946E70">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本项目位于淮安市江苏涟水经济开发区涟古路北侧、兴隆路西侧，为年产3万台套新型电机、变频器生产项目，符合国家和地方产业政策，不属于禁止建设类项目。</w:t>
                  </w:r>
                </w:p>
              </w:tc>
              <w:tc>
                <w:tcPr>
                  <w:tcW w:w="564" w:type="dxa"/>
                  <w:vMerge w:val="continue"/>
                  <w:tcBorders>
                    <w:tl2br w:val="nil"/>
                    <w:tr2bl w:val="nil"/>
                  </w:tcBorders>
                  <w:vAlign w:val="center"/>
                </w:tcPr>
                <w:p w14:paraId="2D054B78">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tr w14:paraId="4C20E4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884" w:type="dxa"/>
                  <w:vMerge w:val="continue"/>
                  <w:tcBorders>
                    <w:tl2br w:val="nil"/>
                    <w:tr2bl w:val="nil"/>
                  </w:tcBorders>
                  <w:vAlign w:val="center"/>
                </w:tcPr>
                <w:p w14:paraId="034BC797">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3774" w:type="dxa"/>
                  <w:gridSpan w:val="2"/>
                  <w:tcBorders>
                    <w:tl2br w:val="nil"/>
                    <w:tr2bl w:val="nil"/>
                  </w:tcBorders>
                  <w:vAlign w:val="center"/>
                </w:tcPr>
                <w:p w14:paraId="400E6DF1">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Ansi="宋体"/>
                      <w:color w:val="auto"/>
                      <w:szCs w:val="21"/>
                    </w:rPr>
                  </w:pPr>
                  <w:r>
                    <w:rPr>
                      <w:rFonts w:hAnsi="宋体"/>
                      <w:color w:val="auto"/>
                      <w:szCs w:val="21"/>
                    </w:rPr>
                    <w:t>禁止在取消化工定位的园区</w:t>
                  </w:r>
                  <w:r>
                    <w:rPr>
                      <w:rFonts w:hint="eastAsia" w:hAnsi="宋体"/>
                      <w:color w:val="auto"/>
                      <w:szCs w:val="21"/>
                    </w:rPr>
                    <w:t>（</w:t>
                  </w:r>
                  <w:r>
                    <w:rPr>
                      <w:rFonts w:hAnsi="宋体"/>
                      <w:color w:val="auto"/>
                      <w:szCs w:val="21"/>
                    </w:rPr>
                    <w:t>集中区</w:t>
                  </w:r>
                  <w:r>
                    <w:rPr>
                      <w:rFonts w:hint="eastAsia" w:hAnsi="宋体"/>
                      <w:color w:val="auto"/>
                      <w:szCs w:val="21"/>
                    </w:rPr>
                    <w:t>）</w:t>
                  </w:r>
                  <w:r>
                    <w:rPr>
                      <w:rFonts w:hAnsi="宋体"/>
                      <w:color w:val="auto"/>
                      <w:szCs w:val="21"/>
                    </w:rPr>
                    <w:t>内新建化工项目。</w:t>
                  </w:r>
                </w:p>
              </w:tc>
              <w:tc>
                <w:tcPr>
                  <w:tcW w:w="2609" w:type="dxa"/>
                  <w:tcBorders>
                    <w:tl2br w:val="nil"/>
                    <w:tr2bl w:val="nil"/>
                  </w:tcBorders>
                  <w:vAlign w:val="center"/>
                </w:tcPr>
                <w:p w14:paraId="0808A48D">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本项目位于淮安市江苏涟水经济开发区涟古路北侧、兴隆路西侧，为年产3万台套新型电机、变频器生产项目，不属于化工项目。</w:t>
                  </w:r>
                </w:p>
              </w:tc>
              <w:tc>
                <w:tcPr>
                  <w:tcW w:w="564" w:type="dxa"/>
                  <w:vMerge w:val="continue"/>
                  <w:tcBorders>
                    <w:tl2br w:val="nil"/>
                    <w:tr2bl w:val="nil"/>
                  </w:tcBorders>
                  <w:vAlign w:val="center"/>
                </w:tcPr>
                <w:p w14:paraId="0D1427AB">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tr w14:paraId="64E1AF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884" w:type="dxa"/>
                  <w:vMerge w:val="continue"/>
                  <w:tcBorders>
                    <w:tl2br w:val="nil"/>
                    <w:tr2bl w:val="nil"/>
                  </w:tcBorders>
                  <w:vAlign w:val="center"/>
                </w:tcPr>
                <w:p w14:paraId="3EE4E3BB">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3774" w:type="dxa"/>
                  <w:gridSpan w:val="2"/>
                  <w:tcBorders>
                    <w:tl2br w:val="nil"/>
                    <w:tr2bl w:val="nil"/>
                  </w:tcBorders>
                  <w:vAlign w:val="center"/>
                </w:tcPr>
                <w:p w14:paraId="57451965">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Ansi="宋体"/>
                      <w:color w:val="auto"/>
                      <w:szCs w:val="21"/>
                    </w:rPr>
                  </w:pPr>
                  <w:r>
                    <w:rPr>
                      <w:rFonts w:hAnsi="宋体"/>
                      <w:color w:val="auto"/>
                      <w:szCs w:val="21"/>
                    </w:rPr>
                    <w:t>禁止在化工企业周边建设不符合安全距离规定的劳动</w:t>
                  </w:r>
                </w:p>
              </w:tc>
              <w:tc>
                <w:tcPr>
                  <w:tcW w:w="2609" w:type="dxa"/>
                  <w:tcBorders>
                    <w:tl2br w:val="nil"/>
                    <w:tr2bl w:val="nil"/>
                  </w:tcBorders>
                  <w:vAlign w:val="center"/>
                </w:tcPr>
                <w:p w14:paraId="44B94BB8">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本项目位于淮安市江苏涟水经济开发区涟古路北侧、兴隆路西侧，周边无化工企业。</w:t>
                  </w:r>
                </w:p>
              </w:tc>
              <w:tc>
                <w:tcPr>
                  <w:tcW w:w="564" w:type="dxa"/>
                  <w:vMerge w:val="continue"/>
                  <w:tcBorders>
                    <w:tl2br w:val="nil"/>
                    <w:tr2bl w:val="nil"/>
                  </w:tcBorders>
                  <w:vAlign w:val="center"/>
                </w:tcPr>
                <w:p w14:paraId="200F1ABB">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tr w14:paraId="493164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884" w:type="dxa"/>
                  <w:vMerge w:val="continue"/>
                  <w:tcBorders>
                    <w:tl2br w:val="nil"/>
                    <w:tr2bl w:val="nil"/>
                  </w:tcBorders>
                  <w:vAlign w:val="center"/>
                </w:tcPr>
                <w:p w14:paraId="17266EF9">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3774" w:type="dxa"/>
                  <w:gridSpan w:val="2"/>
                  <w:tcBorders>
                    <w:tl2br w:val="nil"/>
                    <w:tr2bl w:val="nil"/>
                  </w:tcBorders>
                  <w:vAlign w:val="center"/>
                </w:tcPr>
                <w:p w14:paraId="3805C9BF">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Ansi="宋体"/>
                      <w:color w:val="auto"/>
                      <w:szCs w:val="21"/>
                    </w:rPr>
                  </w:pPr>
                  <w:r>
                    <w:rPr>
                      <w:rFonts w:hAnsi="宋体"/>
                      <w:color w:val="auto"/>
                      <w:szCs w:val="21"/>
                    </w:rPr>
                    <w:t>禁止新建、扩建不符合国家和省产业政策的尿素、磷铵、电石、烧碱、聚氯乙烯、纯碱等行业新增产能项目。</w:t>
                  </w:r>
                </w:p>
              </w:tc>
              <w:tc>
                <w:tcPr>
                  <w:tcW w:w="2609" w:type="dxa"/>
                  <w:vMerge w:val="restart"/>
                  <w:tcBorders>
                    <w:tl2br w:val="nil"/>
                    <w:tr2bl w:val="nil"/>
                  </w:tcBorders>
                  <w:vAlign w:val="center"/>
                </w:tcPr>
                <w:p w14:paraId="677C3E0E">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本项目不属于</w:t>
                  </w:r>
                  <w:r>
                    <w:rPr>
                      <w:rFonts w:hAnsi="宋体"/>
                      <w:color w:val="auto"/>
                      <w:szCs w:val="21"/>
                    </w:rPr>
                    <w:t>尿素、磷铵、电石、烧碱、聚氯乙烯、纯碱</w:t>
                  </w:r>
                  <w:r>
                    <w:rPr>
                      <w:rFonts w:hint="eastAsia" w:hAnsi="宋体"/>
                      <w:color w:val="auto"/>
                      <w:szCs w:val="21"/>
                    </w:rPr>
                    <w:t>等行业新增产能项目，不属于农药、医药和染料中间体化工项目，不属于焦化项目，不属于限制类、淘汰类、禁止类项目，不属于过剩产能行业、明令淘汰的安全生产落后工艺及装备项目，不属于高能耗、高排放项目。</w:t>
                  </w:r>
                </w:p>
              </w:tc>
              <w:tc>
                <w:tcPr>
                  <w:tcW w:w="564" w:type="dxa"/>
                  <w:vMerge w:val="continue"/>
                  <w:tcBorders>
                    <w:tl2br w:val="nil"/>
                    <w:tr2bl w:val="nil"/>
                  </w:tcBorders>
                  <w:vAlign w:val="center"/>
                </w:tcPr>
                <w:p w14:paraId="5D55C4FD">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tr w14:paraId="1DF04A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84" w:type="dxa"/>
                  <w:vMerge w:val="continue"/>
                  <w:tcBorders>
                    <w:tl2br w:val="nil"/>
                    <w:tr2bl w:val="nil"/>
                  </w:tcBorders>
                  <w:vAlign w:val="center"/>
                </w:tcPr>
                <w:p w14:paraId="689F770A">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3774" w:type="dxa"/>
                  <w:gridSpan w:val="2"/>
                  <w:tcBorders>
                    <w:tl2br w:val="nil"/>
                    <w:tr2bl w:val="nil"/>
                  </w:tcBorders>
                  <w:vAlign w:val="center"/>
                </w:tcPr>
                <w:p w14:paraId="40ACE527">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Ansi="宋体"/>
                      <w:color w:val="auto"/>
                      <w:szCs w:val="21"/>
                    </w:rPr>
                  </w:pPr>
                  <w:r>
                    <w:rPr>
                      <w:rFonts w:hAnsi="宋体"/>
                      <w:color w:val="auto"/>
                      <w:szCs w:val="21"/>
                    </w:rPr>
                    <w:t>禁止新建、改建、扩建高毒、高残留以及对环境影响大的农药原药</w:t>
                  </w:r>
                  <w:r>
                    <w:rPr>
                      <w:rFonts w:hint="eastAsia" w:hAnsi="宋体"/>
                      <w:color w:val="auto"/>
                      <w:szCs w:val="21"/>
                    </w:rPr>
                    <w:t>（</w:t>
                  </w:r>
                  <w:r>
                    <w:rPr>
                      <w:rFonts w:hAnsi="宋体"/>
                      <w:color w:val="auto"/>
                      <w:szCs w:val="21"/>
                    </w:rPr>
                    <w:t>化学合成类</w:t>
                  </w:r>
                  <w:r>
                    <w:rPr>
                      <w:rFonts w:hint="eastAsia" w:hAnsi="宋体"/>
                      <w:color w:val="auto"/>
                      <w:szCs w:val="21"/>
                    </w:rPr>
                    <w:t>）</w:t>
                  </w:r>
                  <w:r>
                    <w:rPr>
                      <w:rFonts w:hAnsi="宋体"/>
                      <w:color w:val="auto"/>
                      <w:szCs w:val="21"/>
                    </w:rPr>
                    <w:t>项目，禁止新建、扩建不符合国家和省产业政策的农药、医药和染料中间体化工项目。</w:t>
                  </w:r>
                </w:p>
              </w:tc>
              <w:tc>
                <w:tcPr>
                  <w:tcW w:w="2609" w:type="dxa"/>
                  <w:vMerge w:val="continue"/>
                  <w:tcBorders>
                    <w:tl2br w:val="nil"/>
                    <w:tr2bl w:val="nil"/>
                  </w:tcBorders>
                  <w:vAlign w:val="center"/>
                </w:tcPr>
                <w:p w14:paraId="302E7079">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564" w:type="dxa"/>
                  <w:vMerge w:val="continue"/>
                  <w:tcBorders>
                    <w:tl2br w:val="nil"/>
                    <w:tr2bl w:val="nil"/>
                  </w:tcBorders>
                  <w:vAlign w:val="center"/>
                </w:tcPr>
                <w:p w14:paraId="1CD3706F">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tr w14:paraId="350E45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84" w:type="dxa"/>
                  <w:vMerge w:val="continue"/>
                  <w:tcBorders>
                    <w:tl2br w:val="nil"/>
                    <w:tr2bl w:val="nil"/>
                  </w:tcBorders>
                  <w:vAlign w:val="center"/>
                </w:tcPr>
                <w:p w14:paraId="62EF36B9">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3774" w:type="dxa"/>
                  <w:gridSpan w:val="2"/>
                  <w:tcBorders>
                    <w:tl2br w:val="nil"/>
                    <w:tr2bl w:val="nil"/>
                  </w:tcBorders>
                  <w:vAlign w:val="center"/>
                </w:tcPr>
                <w:p w14:paraId="1764201D">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Ansi="宋体"/>
                      <w:color w:val="auto"/>
                      <w:szCs w:val="21"/>
                    </w:rPr>
                  </w:pPr>
                  <w:r>
                    <w:rPr>
                      <w:rFonts w:hAnsi="宋体"/>
                      <w:color w:val="auto"/>
                      <w:szCs w:val="21"/>
                    </w:rPr>
                    <w:t>禁止新建、扩建不符合国家石化、现代煤化工等产业布局规划的项目，禁止新建独立焦化项目。</w:t>
                  </w:r>
                </w:p>
              </w:tc>
              <w:tc>
                <w:tcPr>
                  <w:tcW w:w="2609" w:type="dxa"/>
                  <w:vMerge w:val="continue"/>
                  <w:tcBorders>
                    <w:tl2br w:val="nil"/>
                    <w:tr2bl w:val="nil"/>
                  </w:tcBorders>
                  <w:vAlign w:val="center"/>
                </w:tcPr>
                <w:p w14:paraId="24530EC2">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564" w:type="dxa"/>
                  <w:vMerge w:val="continue"/>
                  <w:tcBorders>
                    <w:tl2br w:val="nil"/>
                    <w:tr2bl w:val="nil"/>
                  </w:tcBorders>
                  <w:vAlign w:val="center"/>
                </w:tcPr>
                <w:p w14:paraId="1DBD32D3">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tr w14:paraId="0BE5F9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84" w:type="dxa"/>
                  <w:vMerge w:val="continue"/>
                  <w:tcBorders>
                    <w:tl2br w:val="nil"/>
                    <w:tr2bl w:val="nil"/>
                  </w:tcBorders>
                  <w:vAlign w:val="center"/>
                </w:tcPr>
                <w:p w14:paraId="27E34DD0">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3774" w:type="dxa"/>
                  <w:gridSpan w:val="2"/>
                  <w:tcBorders>
                    <w:tl2br w:val="nil"/>
                    <w:tr2bl w:val="nil"/>
                  </w:tcBorders>
                  <w:vAlign w:val="center"/>
                </w:tcPr>
                <w:p w14:paraId="74B74C3B">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Ansi="宋体"/>
                      <w:color w:val="auto"/>
                      <w:szCs w:val="21"/>
                    </w:rPr>
                  </w:pPr>
                  <w:r>
                    <w:rPr>
                      <w:rFonts w:hAnsi="宋体"/>
                      <w:color w:val="auto"/>
                      <w:szCs w:val="21"/>
                    </w:rPr>
                    <w:t>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2609" w:type="dxa"/>
                  <w:vMerge w:val="continue"/>
                  <w:tcBorders>
                    <w:tl2br w:val="nil"/>
                    <w:tr2bl w:val="nil"/>
                  </w:tcBorders>
                  <w:vAlign w:val="center"/>
                </w:tcPr>
                <w:p w14:paraId="7A2B9F69">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564" w:type="dxa"/>
                  <w:vMerge w:val="continue"/>
                  <w:tcBorders>
                    <w:tl2br w:val="nil"/>
                    <w:tr2bl w:val="nil"/>
                  </w:tcBorders>
                  <w:vAlign w:val="center"/>
                </w:tcPr>
                <w:p w14:paraId="16AAE8C9">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tr w14:paraId="5ED19A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84" w:type="dxa"/>
                  <w:vMerge w:val="continue"/>
                  <w:tcBorders>
                    <w:tl2br w:val="nil"/>
                    <w:tr2bl w:val="nil"/>
                  </w:tcBorders>
                  <w:vAlign w:val="center"/>
                </w:tcPr>
                <w:p w14:paraId="45D15245">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3774" w:type="dxa"/>
                  <w:gridSpan w:val="2"/>
                  <w:tcBorders>
                    <w:tl2br w:val="nil"/>
                    <w:tr2bl w:val="nil"/>
                  </w:tcBorders>
                  <w:vAlign w:val="center"/>
                </w:tcPr>
                <w:p w14:paraId="281220BE">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Ansi="宋体"/>
                      <w:color w:val="auto"/>
                      <w:szCs w:val="21"/>
                    </w:rPr>
                  </w:pPr>
                  <w:r>
                    <w:rPr>
                      <w:rFonts w:hAnsi="宋体"/>
                      <w:color w:val="auto"/>
                      <w:szCs w:val="21"/>
                    </w:rPr>
                    <w:t>禁止新建、扩建不符合国家产能置换要求的严重过剩产能行业的项目。禁止新建、扩建不符合要求的高耗能高排放项目。</w:t>
                  </w:r>
                </w:p>
              </w:tc>
              <w:tc>
                <w:tcPr>
                  <w:tcW w:w="2609" w:type="dxa"/>
                  <w:vMerge w:val="continue"/>
                  <w:tcBorders>
                    <w:tl2br w:val="nil"/>
                    <w:tr2bl w:val="nil"/>
                  </w:tcBorders>
                  <w:vAlign w:val="center"/>
                </w:tcPr>
                <w:p w14:paraId="517594A2">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564" w:type="dxa"/>
                  <w:vMerge w:val="continue"/>
                  <w:tcBorders>
                    <w:tl2br w:val="nil"/>
                    <w:tr2bl w:val="nil"/>
                  </w:tcBorders>
                  <w:vAlign w:val="center"/>
                </w:tcPr>
                <w:p w14:paraId="337E37A6">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tr w14:paraId="74159F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884" w:type="dxa"/>
                  <w:vMerge w:val="continue"/>
                  <w:tcBorders>
                    <w:tl2br w:val="nil"/>
                    <w:tr2bl w:val="nil"/>
                  </w:tcBorders>
                  <w:vAlign w:val="center"/>
                </w:tcPr>
                <w:p w14:paraId="5BB8601F">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3774" w:type="dxa"/>
                  <w:gridSpan w:val="2"/>
                  <w:tcBorders>
                    <w:tl2br w:val="nil"/>
                    <w:tr2bl w:val="nil"/>
                  </w:tcBorders>
                  <w:vAlign w:val="center"/>
                </w:tcPr>
                <w:p w14:paraId="44C96608">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Ansi="宋体"/>
                      <w:color w:val="auto"/>
                      <w:szCs w:val="21"/>
                    </w:rPr>
                  </w:pPr>
                  <w:r>
                    <w:rPr>
                      <w:rFonts w:hAnsi="宋体"/>
                      <w:color w:val="auto"/>
                      <w:szCs w:val="21"/>
                    </w:rPr>
                    <w:t>法律法规及相关政策文件有更加严格规定的从其规定。</w:t>
                  </w:r>
                </w:p>
              </w:tc>
              <w:tc>
                <w:tcPr>
                  <w:tcW w:w="2609" w:type="dxa"/>
                  <w:vMerge w:val="continue"/>
                  <w:tcBorders>
                    <w:tl2br w:val="nil"/>
                    <w:tr2bl w:val="nil"/>
                  </w:tcBorders>
                  <w:vAlign w:val="center"/>
                </w:tcPr>
                <w:p w14:paraId="0A956D2A">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564" w:type="dxa"/>
                  <w:vMerge w:val="continue"/>
                  <w:tcBorders>
                    <w:tl2br w:val="nil"/>
                    <w:tr2bl w:val="nil"/>
                  </w:tcBorders>
                  <w:vAlign w:val="center"/>
                </w:tcPr>
                <w:p w14:paraId="3A1AC8ED">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tr w14:paraId="2EA657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884" w:type="dxa"/>
                  <w:vMerge w:val="restart"/>
                  <w:tcBorders>
                    <w:tl2br w:val="nil"/>
                    <w:tr2bl w:val="nil"/>
                  </w:tcBorders>
                  <w:vAlign w:val="center"/>
                </w:tcPr>
                <w:p w14:paraId="7A9AAD94">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《省政府办公厅关于印发江苏省</w:t>
                  </w:r>
                  <w:r>
                    <w:rPr>
                      <w:rFonts w:hint="eastAsia"/>
                      <w:color w:val="auto"/>
                      <w:szCs w:val="21"/>
                    </w:rPr>
                    <w:t>“</w:t>
                  </w:r>
                  <w:r>
                    <w:rPr>
                      <w:color w:val="auto"/>
                      <w:szCs w:val="21"/>
                    </w:rPr>
                    <w:t>十四五</w:t>
                  </w:r>
                  <w:r>
                    <w:rPr>
                      <w:rFonts w:hint="eastAsia"/>
                      <w:color w:val="auto"/>
                      <w:szCs w:val="21"/>
                    </w:rPr>
                    <w:t>”</w:t>
                  </w:r>
                  <w:r>
                    <w:rPr>
                      <w:color w:val="auto"/>
                      <w:szCs w:val="21"/>
                    </w:rPr>
                    <w:t>生态环境保护规划的通知》（苏政办发</w:t>
                  </w:r>
                  <w:r>
                    <w:rPr>
                      <w:rFonts w:hint="eastAsia"/>
                      <w:color w:val="auto"/>
                      <w:szCs w:val="21"/>
                      <w:lang w:eastAsia="zh-CN"/>
                    </w:rPr>
                    <w:t>〔2021〕84号</w:t>
                  </w:r>
                  <w:r>
                    <w:rPr>
                      <w:color w:val="auto"/>
                      <w:szCs w:val="21"/>
                    </w:rPr>
                    <w:t>）</w:t>
                  </w:r>
                </w:p>
              </w:tc>
              <w:tc>
                <w:tcPr>
                  <w:tcW w:w="3774" w:type="dxa"/>
                  <w:gridSpan w:val="2"/>
                  <w:tcBorders>
                    <w:tl2br w:val="nil"/>
                    <w:tr2bl w:val="nil"/>
                  </w:tcBorders>
                  <w:vAlign w:val="center"/>
                </w:tcPr>
                <w:p w14:paraId="1736592F">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大力推进源头替代，按照</w:t>
                  </w:r>
                  <w:r>
                    <w:rPr>
                      <w:rFonts w:hint="eastAsia"/>
                      <w:color w:val="auto"/>
                      <w:szCs w:val="21"/>
                    </w:rPr>
                    <w:t>“</w:t>
                  </w:r>
                  <w:r>
                    <w:rPr>
                      <w:color w:val="auto"/>
                      <w:szCs w:val="21"/>
                    </w:rPr>
                    <w:t>可替尽替、应代尽代</w:t>
                  </w:r>
                  <w:r>
                    <w:rPr>
                      <w:rFonts w:hint="eastAsia"/>
                      <w:color w:val="auto"/>
                      <w:szCs w:val="21"/>
                    </w:rPr>
                    <w:t>”</w:t>
                  </w:r>
                  <w:r>
                    <w:rPr>
                      <w:color w:val="auto"/>
                      <w:szCs w:val="21"/>
                    </w:rPr>
                    <w:t>的原则，推进实施源头替代，培育一批源头替代示范型企业。加大工业涂装、包装印刷等行业源头替代力度，在化工行业推广使用低（无）VOCs含量、低反应活性的原辅材料，加快芳香烃、含卤素有机化合物的绿色替代。严格准入要求，禁止建设生产和使用高VOCs含量的溶剂型涂料、油墨、胶黏剂等项目。</w:t>
                  </w:r>
                </w:p>
              </w:tc>
              <w:tc>
                <w:tcPr>
                  <w:tcW w:w="2609" w:type="dxa"/>
                  <w:tcBorders>
                    <w:tl2br w:val="nil"/>
                    <w:tr2bl w:val="nil"/>
                  </w:tcBorders>
                  <w:vAlign w:val="center"/>
                </w:tcPr>
                <w:p w14:paraId="7725E5BA">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项目使用</w:t>
                  </w:r>
                  <w:r>
                    <w:rPr>
                      <w:rFonts w:hint="eastAsia"/>
                      <w:color w:val="auto"/>
                      <w:szCs w:val="21"/>
                    </w:rPr>
                    <w:t>的</w:t>
                  </w:r>
                  <w:r>
                    <w:rPr>
                      <w:rFonts w:hint="eastAsia"/>
                      <w:color w:val="auto"/>
                      <w:kern w:val="0"/>
                      <w:szCs w:val="21"/>
                      <w:lang w:bidi="ar"/>
                    </w:rPr>
                    <w:t>水性</w:t>
                  </w:r>
                  <w:r>
                    <w:rPr>
                      <w:color w:val="auto"/>
                      <w:kern w:val="0"/>
                      <w:szCs w:val="21"/>
                      <w:lang w:bidi="ar"/>
                    </w:rPr>
                    <w:t>环氧绝缘树脂</w:t>
                  </w:r>
                  <w:r>
                    <w:rPr>
                      <w:rFonts w:hint="eastAsia"/>
                      <w:color w:val="auto"/>
                      <w:szCs w:val="21"/>
                    </w:rPr>
                    <w:t>、水性丙烯酸聚氨酯面漆符合《低挥发性有机化合物含量涂料产品技术要求》（GB/T38597-2020）</w:t>
                  </w:r>
                  <w:r>
                    <w:rPr>
                      <w:color w:val="auto"/>
                      <w:kern w:val="0"/>
                      <w:szCs w:val="21"/>
                    </w:rPr>
                    <w:t>。</w:t>
                  </w:r>
                </w:p>
              </w:tc>
              <w:tc>
                <w:tcPr>
                  <w:tcW w:w="564" w:type="dxa"/>
                  <w:vMerge w:val="restart"/>
                  <w:tcBorders>
                    <w:tl2br w:val="nil"/>
                    <w:tr2bl w:val="nil"/>
                  </w:tcBorders>
                  <w:vAlign w:val="center"/>
                </w:tcPr>
                <w:p w14:paraId="757C6183">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符合</w:t>
                  </w:r>
                </w:p>
              </w:tc>
            </w:tr>
            <w:tr w14:paraId="600A0B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84" w:type="dxa"/>
                  <w:vMerge w:val="continue"/>
                  <w:tcBorders>
                    <w:tl2br w:val="nil"/>
                    <w:tr2bl w:val="nil"/>
                  </w:tcBorders>
                  <w:vAlign w:val="center"/>
                </w:tcPr>
                <w:p w14:paraId="6EDA12A5">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3774" w:type="dxa"/>
                  <w:gridSpan w:val="2"/>
                  <w:tcBorders>
                    <w:tl2br w:val="nil"/>
                    <w:tr2bl w:val="nil"/>
                  </w:tcBorders>
                  <w:vAlign w:val="center"/>
                </w:tcPr>
                <w:p w14:paraId="32AC386F">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强化危险废物全过程环境监管。制定危险废物利用处置技术规范，探索分级分类管理，完善危险废物全生命周期监控系统，进一步提升监管能力。加强危险废物流向监控，实现全省运输电子运单和转移电子联单对接，严厉打击危险废物非法转移处置倾倒等违法犯罪行为。建立危险废物跨省转移</w:t>
                  </w:r>
                  <w:r>
                    <w:rPr>
                      <w:rFonts w:hint="eastAsia"/>
                      <w:color w:val="auto"/>
                      <w:szCs w:val="21"/>
                    </w:rPr>
                    <w:t>“</w:t>
                  </w:r>
                  <w:r>
                    <w:rPr>
                      <w:color w:val="auto"/>
                      <w:szCs w:val="21"/>
                    </w:rPr>
                    <w:t>白名单</w:t>
                  </w:r>
                  <w:r>
                    <w:rPr>
                      <w:rFonts w:hint="eastAsia"/>
                      <w:color w:val="auto"/>
                      <w:szCs w:val="21"/>
                    </w:rPr>
                    <w:t>”</w:t>
                  </w:r>
                  <w:r>
                    <w:rPr>
                      <w:color w:val="auto"/>
                      <w:szCs w:val="21"/>
                    </w:rPr>
                    <w:t>制度。</w:t>
                  </w:r>
                </w:p>
              </w:tc>
              <w:tc>
                <w:tcPr>
                  <w:tcW w:w="2609" w:type="dxa"/>
                  <w:tcBorders>
                    <w:tl2br w:val="nil"/>
                    <w:tr2bl w:val="nil"/>
                  </w:tcBorders>
                  <w:vAlign w:val="center"/>
                </w:tcPr>
                <w:p w14:paraId="0C478797">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建设单位应在</w:t>
                  </w:r>
                  <w:r>
                    <w:rPr>
                      <w:rFonts w:hint="eastAsia"/>
                      <w:color w:val="auto"/>
                      <w:szCs w:val="21"/>
                    </w:rPr>
                    <w:t>“</w:t>
                  </w:r>
                  <w:r>
                    <w:rPr>
                      <w:color w:val="auto"/>
                      <w:szCs w:val="21"/>
                    </w:rPr>
                    <w:t>江苏省污染源</w:t>
                  </w:r>
                  <w:r>
                    <w:rPr>
                      <w:rFonts w:hint="eastAsia"/>
                      <w:color w:val="auto"/>
                      <w:szCs w:val="21"/>
                    </w:rPr>
                    <w:t>“</w:t>
                  </w:r>
                  <w:r>
                    <w:rPr>
                      <w:color w:val="auto"/>
                      <w:szCs w:val="21"/>
                    </w:rPr>
                    <w:t>一企一档</w:t>
                  </w:r>
                  <w:r>
                    <w:rPr>
                      <w:rFonts w:hint="eastAsia"/>
                      <w:color w:val="auto"/>
                      <w:szCs w:val="21"/>
                    </w:rPr>
                    <w:t>”</w:t>
                  </w:r>
                  <w:r>
                    <w:rPr>
                      <w:color w:val="auto"/>
                      <w:szCs w:val="21"/>
                    </w:rPr>
                    <w:t>管理系统</w:t>
                  </w:r>
                  <w:r>
                    <w:rPr>
                      <w:rFonts w:hint="eastAsia"/>
                      <w:color w:val="auto"/>
                      <w:szCs w:val="21"/>
                    </w:rPr>
                    <w:t>”</w:t>
                  </w:r>
                  <w:r>
                    <w:rPr>
                      <w:color w:val="auto"/>
                      <w:szCs w:val="21"/>
                    </w:rPr>
                    <w:t>（环保脸谱系统）完善危险废物全生命周期监控系统并加强危险废物流向监控，项目建成后按规范完善相关系统。</w:t>
                  </w:r>
                </w:p>
              </w:tc>
              <w:tc>
                <w:tcPr>
                  <w:tcW w:w="564" w:type="dxa"/>
                  <w:vMerge w:val="continue"/>
                  <w:tcBorders>
                    <w:tl2br w:val="nil"/>
                    <w:tr2bl w:val="nil"/>
                  </w:tcBorders>
                  <w:vAlign w:val="center"/>
                </w:tcPr>
                <w:p w14:paraId="4E1F0ACA">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tr w14:paraId="3431B7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84" w:type="dxa"/>
                  <w:tcBorders>
                    <w:tl2br w:val="nil"/>
                    <w:tr2bl w:val="nil"/>
                  </w:tcBorders>
                  <w:vAlign w:val="center"/>
                </w:tcPr>
                <w:p w14:paraId="125E50E3">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《江苏省大气办关于印发</w:t>
                  </w:r>
                  <w:r>
                    <w:rPr>
                      <w:rFonts w:hint="eastAsia"/>
                      <w:color w:val="auto"/>
                      <w:szCs w:val="21"/>
                      <w:lang w:eastAsia="zh-CN"/>
                    </w:rPr>
                    <w:t>〈</w:t>
                  </w:r>
                  <w:r>
                    <w:rPr>
                      <w:rFonts w:hint="eastAsia"/>
                      <w:color w:val="auto"/>
                      <w:szCs w:val="21"/>
                    </w:rPr>
                    <w:t>江苏省挥发性有机物清洁原料替代工作方案</w:t>
                  </w:r>
                  <w:r>
                    <w:rPr>
                      <w:rFonts w:hint="eastAsia"/>
                      <w:color w:val="auto"/>
                      <w:szCs w:val="21"/>
                      <w:lang w:eastAsia="zh-CN"/>
                    </w:rPr>
                    <w:t>〉</w:t>
                  </w:r>
                  <w:r>
                    <w:rPr>
                      <w:rFonts w:hint="eastAsia"/>
                      <w:color w:val="auto"/>
                      <w:szCs w:val="21"/>
                    </w:rPr>
                    <w:t>的通知》（苏大气办〔2021〕2号）</w:t>
                  </w:r>
                </w:p>
              </w:tc>
              <w:tc>
                <w:tcPr>
                  <w:tcW w:w="3774" w:type="dxa"/>
                  <w:gridSpan w:val="2"/>
                  <w:tcBorders>
                    <w:tl2br w:val="nil"/>
                    <w:tr2bl w:val="nil"/>
                  </w:tcBorders>
                  <w:vAlign w:val="center"/>
                </w:tcPr>
                <w:p w14:paraId="1265F528">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明确替代要求。以工业涂装、包装印刷、木材加工、纺织（附件1）等行业为重点，分阶段推进3130家企业（附件2）清洁原料替代工作。实施替代的企业要使用符合《低挥发性有机化合物含量涂料产品技术要求》（GB/T 38597-2020）规定的粉末、水性、无溶剂、辐射固化涂料产品；符合《油墨中可挥发性有机化合物（VOCs）含量的限值》（GB38507-2020）规定的水性油墨和能量固化油墨产品；符合《清洗剂挥发性有机化合物含量限值》（GB38508-2020）规定的水基、半水基清洗剂产品；符合《</w:t>
                  </w:r>
                  <w:r>
                    <w:rPr>
                      <w:rFonts w:hint="eastAsia"/>
                      <w:color w:val="auto"/>
                      <w:szCs w:val="21"/>
                      <w:lang w:eastAsia="zh-CN"/>
                    </w:rPr>
                    <w:t>胶黏剂</w:t>
                  </w:r>
                  <w:r>
                    <w:rPr>
                      <w:rFonts w:hint="eastAsia"/>
                      <w:color w:val="auto"/>
                      <w:szCs w:val="21"/>
                    </w:rPr>
                    <w:t>挥发性有机化合物限量》（GB 33372-2020）规定的水基型、本体型</w:t>
                  </w:r>
                  <w:r>
                    <w:rPr>
                      <w:rFonts w:hint="eastAsia"/>
                      <w:color w:val="auto"/>
                      <w:szCs w:val="21"/>
                      <w:lang w:eastAsia="zh-CN"/>
                    </w:rPr>
                    <w:t>胶黏剂</w:t>
                  </w:r>
                  <w:r>
                    <w:rPr>
                      <w:rFonts w:hint="eastAsia"/>
                      <w:color w:val="auto"/>
                      <w:szCs w:val="21"/>
                    </w:rPr>
                    <w:t>产品。若确实无法达到上述要求，应提供相应的论证说明，相关涂料、油墨、清洗剂、</w:t>
                  </w:r>
                  <w:r>
                    <w:rPr>
                      <w:rFonts w:hint="eastAsia"/>
                      <w:color w:val="auto"/>
                      <w:szCs w:val="21"/>
                      <w:lang w:eastAsia="zh-CN"/>
                    </w:rPr>
                    <w:t>胶黏剂</w:t>
                  </w:r>
                  <w:r>
                    <w:rPr>
                      <w:rFonts w:hint="eastAsia"/>
                      <w:color w:val="auto"/>
                      <w:szCs w:val="21"/>
                    </w:rPr>
                    <w:t>等产品应符合相关标准中VOCs含量的限值要求。</w:t>
                  </w:r>
                </w:p>
              </w:tc>
              <w:tc>
                <w:tcPr>
                  <w:tcW w:w="2609" w:type="dxa"/>
                  <w:tcBorders>
                    <w:tl2br w:val="nil"/>
                    <w:tr2bl w:val="nil"/>
                  </w:tcBorders>
                  <w:vAlign w:val="center"/>
                </w:tcPr>
                <w:p w14:paraId="0C51ADDB">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建设项目为电机、变频器生产项目，不涉及油墨、清洗剂、</w:t>
                  </w:r>
                  <w:r>
                    <w:rPr>
                      <w:rFonts w:hint="eastAsia"/>
                      <w:color w:val="auto"/>
                      <w:szCs w:val="21"/>
                      <w:lang w:eastAsia="zh-CN"/>
                    </w:rPr>
                    <w:t>胶黏剂</w:t>
                  </w:r>
                  <w:r>
                    <w:rPr>
                      <w:rFonts w:hint="eastAsia"/>
                      <w:color w:val="auto"/>
                      <w:szCs w:val="21"/>
                    </w:rPr>
                    <w:t>的使用，使用的</w:t>
                  </w:r>
                  <w:r>
                    <w:rPr>
                      <w:rFonts w:hint="eastAsia"/>
                      <w:color w:val="auto"/>
                      <w:kern w:val="0"/>
                      <w:szCs w:val="21"/>
                      <w:lang w:bidi="ar"/>
                    </w:rPr>
                    <w:t>水性</w:t>
                  </w:r>
                  <w:r>
                    <w:rPr>
                      <w:color w:val="auto"/>
                      <w:kern w:val="0"/>
                      <w:szCs w:val="21"/>
                      <w:lang w:bidi="ar"/>
                    </w:rPr>
                    <w:t>环氧绝缘树脂</w:t>
                  </w:r>
                  <w:r>
                    <w:rPr>
                      <w:rFonts w:hint="eastAsia"/>
                      <w:color w:val="auto"/>
                      <w:szCs w:val="21"/>
                    </w:rPr>
                    <w:t>VOCs含量为19g/L、水性丙烯酸聚氨酯面漆VOCs含量为84g/L，符合《低挥发性有机化合物含量涂料产品技术要求》（GB/T 38597-2020）中表1水性涂料VOC含量的要求</w:t>
                  </w:r>
                  <w:r>
                    <w:rPr>
                      <w:rFonts w:hint="eastAsia"/>
                      <w:color w:val="auto"/>
                      <w:szCs w:val="21"/>
                      <w:lang w:eastAsia="zh-CN"/>
                    </w:rPr>
                    <w:t>－</w:t>
                  </w:r>
                  <w:r>
                    <w:rPr>
                      <w:rFonts w:hint="eastAsia"/>
                      <w:color w:val="auto"/>
                      <w:szCs w:val="21"/>
                    </w:rPr>
                    <w:t>工业防护涂料</w:t>
                  </w:r>
                  <w:r>
                    <w:rPr>
                      <w:rFonts w:hint="eastAsia"/>
                      <w:color w:val="auto"/>
                      <w:szCs w:val="21"/>
                      <w:lang w:eastAsia="zh-CN"/>
                    </w:rPr>
                    <w:t>－</w:t>
                  </w:r>
                  <w:r>
                    <w:rPr>
                      <w:rFonts w:hint="eastAsia"/>
                      <w:color w:val="auto"/>
                      <w:szCs w:val="21"/>
                    </w:rPr>
                    <w:t>机械设备涂料含量限量值≤300g/L的要求，从源头减少VOCs产生量。</w:t>
                  </w:r>
                </w:p>
              </w:tc>
              <w:tc>
                <w:tcPr>
                  <w:tcW w:w="564" w:type="dxa"/>
                  <w:tcBorders>
                    <w:tl2br w:val="nil"/>
                    <w:tr2bl w:val="nil"/>
                  </w:tcBorders>
                  <w:vAlign w:val="center"/>
                </w:tcPr>
                <w:p w14:paraId="4550186F">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符合</w:t>
                  </w:r>
                </w:p>
              </w:tc>
            </w:tr>
            <w:tr w14:paraId="385164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649" w:hRule="atLeast"/>
                <w:jc w:val="center"/>
              </w:trPr>
              <w:tc>
                <w:tcPr>
                  <w:tcW w:w="884" w:type="dxa"/>
                  <w:vMerge w:val="restart"/>
                  <w:tcBorders>
                    <w:tl2br w:val="nil"/>
                    <w:tr2bl w:val="nil"/>
                  </w:tcBorders>
                  <w:vAlign w:val="center"/>
                </w:tcPr>
                <w:p w14:paraId="4CD44744">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《2022年江苏省挥发性有机物减排攻坚方案》（苏大气办</w:t>
                  </w:r>
                  <w:r>
                    <w:rPr>
                      <w:rFonts w:hint="eastAsia"/>
                      <w:color w:val="auto"/>
                      <w:szCs w:val="21"/>
                      <w:lang w:eastAsia="zh-CN"/>
                    </w:rPr>
                    <w:t>〔2022〕2号</w:t>
                  </w:r>
                  <w:r>
                    <w:rPr>
                      <w:rFonts w:hint="eastAsia"/>
                      <w:color w:val="auto"/>
                      <w:szCs w:val="21"/>
                    </w:rPr>
                    <w:t>）</w:t>
                  </w:r>
                </w:p>
              </w:tc>
              <w:tc>
                <w:tcPr>
                  <w:tcW w:w="3774" w:type="dxa"/>
                  <w:gridSpan w:val="2"/>
                  <w:tcBorders>
                    <w:tl2br w:val="nil"/>
                    <w:tr2bl w:val="nil"/>
                  </w:tcBorders>
                  <w:shd w:val="clear" w:color="auto" w:fill="auto"/>
                  <w:vAlign w:val="center"/>
                </w:tcPr>
                <w:p w14:paraId="69C9C1E7">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持续推进涉VOCs行业清洁原料替代。各地要对照《江苏省挥发性有机物清洁原料替代工作方案》（苏大气办</w:t>
                  </w:r>
                  <w:r>
                    <w:rPr>
                      <w:rFonts w:hint="eastAsia"/>
                      <w:color w:val="auto"/>
                      <w:szCs w:val="21"/>
                      <w:lang w:eastAsia="zh-CN"/>
                    </w:rPr>
                    <w:t>〔2021〕2号</w:t>
                  </w:r>
                  <w:r>
                    <w:rPr>
                      <w:rFonts w:hint="eastAsia"/>
                      <w:color w:val="auto"/>
                      <w:szCs w:val="21"/>
                    </w:rPr>
                    <w:t>）要求，持续推动3130家企业实施源头替代，严把环评审批准入关，控增量、去存量。加快推动列入年度任务的569家钢结构企业和3422家包装印刷企业清洁原料替代进度，7月底前，完成相关企业替代管理台账的调度更新，列出进度滞后企业清单，重点督办。实施替代的钢结构企业需使用符合GB/T38597中规定的粉末、水性、无溶剂、辐射固化涂料产品；实施替代的包装印刷企业需符合GB38507中规定的水性、能量固化、胶印油墨产品。无法替代的应开展论证，并采用适宜的高效末端治理技术。7-8月份，我办将组织召开清洁原料替代工作现场会。</w:t>
                  </w:r>
                </w:p>
              </w:tc>
              <w:tc>
                <w:tcPr>
                  <w:tcW w:w="2609" w:type="dxa"/>
                  <w:tcBorders>
                    <w:tl2br w:val="nil"/>
                    <w:tr2bl w:val="nil"/>
                  </w:tcBorders>
                  <w:vAlign w:val="center"/>
                </w:tcPr>
                <w:p w14:paraId="707B29C4">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建设项目为电机、变频器生产项目，不涉及油墨的使用，使用的</w:t>
                  </w:r>
                  <w:r>
                    <w:rPr>
                      <w:rFonts w:hint="eastAsia"/>
                      <w:color w:val="auto"/>
                      <w:kern w:val="0"/>
                      <w:szCs w:val="21"/>
                      <w:lang w:bidi="ar"/>
                    </w:rPr>
                    <w:t>水性</w:t>
                  </w:r>
                  <w:r>
                    <w:rPr>
                      <w:color w:val="auto"/>
                      <w:kern w:val="0"/>
                      <w:szCs w:val="21"/>
                      <w:lang w:bidi="ar"/>
                    </w:rPr>
                    <w:t>环氧绝缘树脂</w:t>
                  </w:r>
                  <w:r>
                    <w:rPr>
                      <w:rFonts w:hint="eastAsia"/>
                      <w:color w:val="auto"/>
                      <w:szCs w:val="21"/>
                    </w:rPr>
                    <w:t>VOCs含量为19g/L、水性丙烯酸聚氨酯面漆VOCs含量为84g/L，符合《低挥发性有机化合物含量涂料产品技术要求》（GB/T38597-2020）中表1水性涂料VOC含量的要求</w:t>
                  </w:r>
                  <w:r>
                    <w:rPr>
                      <w:rFonts w:hint="eastAsia"/>
                      <w:color w:val="auto"/>
                      <w:szCs w:val="21"/>
                      <w:lang w:eastAsia="zh-CN"/>
                    </w:rPr>
                    <w:t>－</w:t>
                  </w:r>
                  <w:r>
                    <w:rPr>
                      <w:rFonts w:hint="eastAsia"/>
                      <w:color w:val="auto"/>
                      <w:szCs w:val="21"/>
                    </w:rPr>
                    <w:t>工业防护涂料</w:t>
                  </w:r>
                  <w:r>
                    <w:rPr>
                      <w:rFonts w:hint="eastAsia"/>
                      <w:color w:val="auto"/>
                      <w:szCs w:val="21"/>
                      <w:lang w:eastAsia="zh-CN"/>
                    </w:rPr>
                    <w:t>－</w:t>
                  </w:r>
                  <w:r>
                    <w:rPr>
                      <w:rFonts w:hint="eastAsia"/>
                      <w:color w:val="auto"/>
                      <w:szCs w:val="21"/>
                    </w:rPr>
                    <w:t>机械设备涂料含量限量值≤300g/L的要求。</w:t>
                  </w:r>
                </w:p>
              </w:tc>
              <w:tc>
                <w:tcPr>
                  <w:tcW w:w="564" w:type="dxa"/>
                  <w:vMerge w:val="restart"/>
                  <w:tcBorders>
                    <w:tl2br w:val="nil"/>
                    <w:tr2bl w:val="nil"/>
                  </w:tcBorders>
                  <w:vAlign w:val="center"/>
                </w:tcPr>
                <w:p w14:paraId="6BA9A64A">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符合</w:t>
                  </w:r>
                </w:p>
              </w:tc>
            </w:tr>
            <w:tr w14:paraId="07716C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862" w:hRule="atLeast"/>
                <w:jc w:val="center"/>
              </w:trPr>
              <w:tc>
                <w:tcPr>
                  <w:tcW w:w="884" w:type="dxa"/>
                  <w:vMerge w:val="continue"/>
                  <w:tcBorders>
                    <w:tl2br w:val="nil"/>
                    <w:tr2bl w:val="nil"/>
                  </w:tcBorders>
                  <w:vAlign w:val="center"/>
                </w:tcPr>
                <w:p w14:paraId="39D802E2">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3774" w:type="dxa"/>
                  <w:gridSpan w:val="2"/>
                  <w:tcBorders>
                    <w:tl2br w:val="nil"/>
                    <w:tr2bl w:val="nil"/>
                  </w:tcBorders>
                  <w:shd w:val="clear" w:color="auto" w:fill="auto"/>
                  <w:vAlign w:val="center"/>
                </w:tcPr>
                <w:p w14:paraId="2852F2F3">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强化工业源日常管理与监管。督促工业企业按规范管理相关台账，如实记录含VOCs原辅材料使用、治理设施运维、生产管理等信息。对采用活性炭吸附技术的，按照《吸附法工业有机废气治理工程技术规范》（HJ2026-2013）进行管理，按要求足量添加、定期更换；一次性活性炭吸附工艺需使用柱状炭（颗粒炭），碘吸附值不低于800毫克/克；VOCs初始排放速率大于2kg/h的重点源排气筒进口应</w:t>
                  </w:r>
                  <w:r>
                    <w:rPr>
                      <w:rFonts w:hint="eastAsia"/>
                      <w:color w:val="auto"/>
                      <w:szCs w:val="21"/>
                      <w:lang w:eastAsia="zh-CN"/>
                    </w:rPr>
                    <w:t>设置</w:t>
                  </w:r>
                  <w:r>
                    <w:rPr>
                      <w:rFonts w:hint="eastAsia"/>
                      <w:color w:val="auto"/>
                      <w:szCs w:val="21"/>
                    </w:rPr>
                    <w:t>采样平台，治理效率不低于80%。</w:t>
                  </w:r>
                </w:p>
              </w:tc>
              <w:tc>
                <w:tcPr>
                  <w:tcW w:w="2609" w:type="dxa"/>
                  <w:tcBorders>
                    <w:tl2br w:val="nil"/>
                    <w:tr2bl w:val="nil"/>
                  </w:tcBorders>
                  <w:vAlign w:val="center"/>
                </w:tcPr>
                <w:p w14:paraId="7D8B92A2">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本项目拟按照规范做好相关台账，如实记录含VOCs原辅材料使用、治理设施运维、生产管理等信息。拟按照《吸附法工业有机废气治理工程技术规范》（HJ2026-2013）进行管理，按要求足量添加、定期更换；本项目配件下料工序产生的颗粒物经集气罩+布袋除尘器处理后，通过1根15m高1#排气筒排放；浸漆</w:t>
                  </w:r>
                  <w:r>
                    <w:rPr>
                      <w:rFonts w:hint="eastAsia"/>
                      <w:color w:val="auto"/>
                      <w:szCs w:val="21"/>
                      <w:lang w:eastAsia="zh-CN"/>
                    </w:rPr>
                    <w:t>工序产生的</w:t>
                  </w:r>
                  <w:r>
                    <w:rPr>
                      <w:rFonts w:hint="eastAsia"/>
                      <w:color w:val="auto"/>
                      <w:szCs w:val="21"/>
                      <w:lang w:val="en-US" w:eastAsia="zh-CN"/>
                    </w:rPr>
                    <w:t>NMHC经密闭设备负压收集，与烘干、烘干工序产生的NMHC经密闭车间负压收集、喷漆工序产生的颗粒物、NMHC经密闭车间负压收集汇合后，经</w:t>
                  </w:r>
                  <w:r>
                    <w:rPr>
                      <w:rFonts w:hint="eastAsia"/>
                      <w:color w:val="auto"/>
                      <w:szCs w:val="21"/>
                    </w:rPr>
                    <w:t>干式过滤棉+二级活性炭装置处理后，通过1跟15m高排2#气筒排放，NMHC有组织排放速率为0.00</w:t>
                  </w:r>
                  <w:r>
                    <w:rPr>
                      <w:rFonts w:hint="eastAsia"/>
                      <w:color w:val="auto"/>
                      <w:szCs w:val="21"/>
                      <w:lang w:val="en-US" w:eastAsia="zh-CN"/>
                    </w:rPr>
                    <w:t>62</w:t>
                  </w:r>
                  <w:r>
                    <w:rPr>
                      <w:rFonts w:hint="eastAsia"/>
                      <w:color w:val="auto"/>
                      <w:szCs w:val="21"/>
                    </w:rPr>
                    <w:t>kg/h</w:t>
                  </w:r>
                  <w:r>
                    <w:rPr>
                      <w:rFonts w:hint="eastAsia"/>
                      <w:color w:val="auto"/>
                      <w:szCs w:val="21"/>
                      <w:lang w:eastAsia="zh-CN"/>
                    </w:rPr>
                    <w:t>，</w:t>
                  </w:r>
                  <w:r>
                    <w:rPr>
                      <w:rFonts w:hint="eastAsia"/>
                      <w:color w:val="auto"/>
                      <w:szCs w:val="21"/>
                    </w:rPr>
                    <w:t>排放速率小于2kg/h，本项目一次性活性炭吸附工艺使用的活性炭均为柱状炭（颗粒炭），且碘吸附值不低于800毫克/克，NMHC治理效率均可达90%。</w:t>
                  </w:r>
                </w:p>
              </w:tc>
              <w:tc>
                <w:tcPr>
                  <w:tcW w:w="564" w:type="dxa"/>
                  <w:vMerge w:val="continue"/>
                  <w:tcBorders>
                    <w:tl2br w:val="nil"/>
                    <w:tr2bl w:val="nil"/>
                  </w:tcBorders>
                  <w:vAlign w:val="center"/>
                </w:tcPr>
                <w:p w14:paraId="2FD856ED">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tr w14:paraId="5D4D29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1261" w:hRule="atLeast"/>
                <w:jc w:val="center"/>
              </w:trPr>
              <w:tc>
                <w:tcPr>
                  <w:tcW w:w="884" w:type="dxa"/>
                  <w:vMerge w:val="continue"/>
                  <w:tcBorders>
                    <w:tl2br w:val="nil"/>
                    <w:tr2bl w:val="nil"/>
                  </w:tcBorders>
                  <w:vAlign w:val="center"/>
                </w:tcPr>
                <w:p w14:paraId="714E7314">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3774" w:type="dxa"/>
                  <w:gridSpan w:val="2"/>
                  <w:tcBorders>
                    <w:tl2br w:val="nil"/>
                    <w:tr2bl w:val="nil"/>
                  </w:tcBorders>
                  <w:shd w:val="clear" w:color="auto" w:fill="auto"/>
                  <w:vAlign w:val="center"/>
                </w:tcPr>
                <w:p w14:paraId="2B0DB5B6">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推进VOCs在线监控安装、验收与联网。各地要按照《江苏省污染源自动监控管理办法（试行）》（苏环发</w:t>
                  </w:r>
                  <w:r>
                    <w:rPr>
                      <w:rFonts w:hint="eastAsia"/>
                      <w:color w:val="auto"/>
                      <w:szCs w:val="21"/>
                      <w:lang w:eastAsia="zh-CN"/>
                    </w:rPr>
                    <w:t>〔2021〕3号</w:t>
                  </w:r>
                  <w:r>
                    <w:rPr>
                      <w:rFonts w:hint="eastAsia"/>
                      <w:color w:val="auto"/>
                      <w:szCs w:val="21"/>
                    </w:rPr>
                    <w:t>）要求，全面梳理企业废气排放量信息，推动单排放口VOCs排放设计小时废气排放量1万立方米及以上的化工行业、3万立方米及以上的其他行业安装VOCs自动监测设备。</w:t>
                  </w:r>
                </w:p>
              </w:tc>
              <w:tc>
                <w:tcPr>
                  <w:tcW w:w="2609" w:type="dxa"/>
                  <w:tcBorders>
                    <w:tl2br w:val="nil"/>
                    <w:tr2bl w:val="nil"/>
                  </w:tcBorders>
                  <w:vAlign w:val="center"/>
                </w:tcPr>
                <w:p w14:paraId="0D74068D">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本项目DA002设计小时废气排放量为</w:t>
                  </w:r>
                  <w:r>
                    <w:rPr>
                      <w:rFonts w:hint="eastAsia"/>
                      <w:color w:val="auto"/>
                      <w:szCs w:val="21"/>
                      <w:lang w:val="en-US" w:eastAsia="zh-CN"/>
                    </w:rPr>
                    <w:t>12</w:t>
                  </w:r>
                  <w:r>
                    <w:rPr>
                      <w:rFonts w:hint="eastAsia"/>
                      <w:color w:val="auto"/>
                      <w:szCs w:val="21"/>
                    </w:rPr>
                    <w:t>000m</w:t>
                  </w:r>
                  <w:r>
                    <w:rPr>
                      <w:rFonts w:hint="eastAsia"/>
                      <w:color w:val="auto"/>
                      <w:szCs w:val="21"/>
                      <w:vertAlign w:val="superscript"/>
                    </w:rPr>
                    <w:t>3</w:t>
                  </w:r>
                  <w:r>
                    <w:rPr>
                      <w:rFonts w:hint="eastAsia"/>
                      <w:color w:val="auto"/>
                      <w:szCs w:val="21"/>
                    </w:rPr>
                    <w:t>，故不需安装VOCs自动监测设备。</w:t>
                  </w:r>
                </w:p>
              </w:tc>
              <w:tc>
                <w:tcPr>
                  <w:tcW w:w="564" w:type="dxa"/>
                  <w:vMerge w:val="continue"/>
                  <w:tcBorders>
                    <w:tl2br w:val="nil"/>
                    <w:tr2bl w:val="nil"/>
                  </w:tcBorders>
                  <w:vAlign w:val="center"/>
                </w:tcPr>
                <w:p w14:paraId="6D92374B">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tr w14:paraId="2D32C2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96" w:hRule="atLeast"/>
                <w:jc w:val="center"/>
              </w:trPr>
              <w:tc>
                <w:tcPr>
                  <w:tcW w:w="884" w:type="dxa"/>
                  <w:vMerge w:val="restart"/>
                  <w:tcBorders>
                    <w:tl2br w:val="nil"/>
                    <w:tr2bl w:val="nil"/>
                  </w:tcBorders>
                  <w:vAlign w:val="center"/>
                </w:tcPr>
                <w:p w14:paraId="31AAC112">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《挥发性有机物无组织排放控制标准》(GB37822-2019)</w:t>
                  </w:r>
                </w:p>
              </w:tc>
              <w:tc>
                <w:tcPr>
                  <w:tcW w:w="694" w:type="dxa"/>
                  <w:tcBorders>
                    <w:right w:val="single" w:color="auto" w:sz="4" w:space="0"/>
                    <w:tl2br w:val="nil"/>
                    <w:tr2bl w:val="nil"/>
                  </w:tcBorders>
                  <w:shd w:val="clear" w:color="auto" w:fill="auto"/>
                  <w:vAlign w:val="center"/>
                </w:tcPr>
                <w:p w14:paraId="3C108A9E">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VOCs物料储存无组织排放控制要求</w:t>
                  </w:r>
                </w:p>
              </w:tc>
              <w:tc>
                <w:tcPr>
                  <w:tcW w:w="3080" w:type="dxa"/>
                  <w:tcBorders>
                    <w:left w:val="single" w:color="auto" w:sz="4" w:space="0"/>
                    <w:tl2br w:val="nil"/>
                    <w:tr2bl w:val="nil"/>
                  </w:tcBorders>
                  <w:shd w:val="clear" w:color="auto" w:fill="auto"/>
                  <w:vAlign w:val="center"/>
                </w:tcPr>
                <w:p w14:paraId="431D417D">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1.VOCs物料应储存于密闭的容器、包装袋、储罐、储库、料仓中。</w:t>
                  </w:r>
                </w:p>
                <w:p w14:paraId="547B44F9">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2.盛装VOCs物料的容器或包装袋应存放于室内，或存放于设置有雨棚、遮阳和防渗设施的专用场地。盛装VOCs物料的容器或包装袋在非取用状态时应加盖、封口，保持密闭。</w:t>
                  </w:r>
                </w:p>
              </w:tc>
              <w:tc>
                <w:tcPr>
                  <w:tcW w:w="2609" w:type="dxa"/>
                  <w:tcBorders>
                    <w:tl2br w:val="nil"/>
                    <w:tr2bl w:val="nil"/>
                  </w:tcBorders>
                  <w:vAlign w:val="center"/>
                </w:tcPr>
                <w:p w14:paraId="2083FE1E">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1.本项目涉及VOCs物料主要为</w:t>
                  </w:r>
                  <w:r>
                    <w:rPr>
                      <w:rFonts w:hint="eastAsia"/>
                      <w:color w:val="auto"/>
                      <w:szCs w:val="21"/>
                    </w:rPr>
                    <w:t>水性环氧绝缘树脂漆、水性丙烯酸聚氨酯面漆，存储在</w:t>
                  </w:r>
                  <w:r>
                    <w:rPr>
                      <w:color w:val="auto"/>
                      <w:szCs w:val="21"/>
                    </w:rPr>
                    <w:t>密闭的包装桶内，不会挥发VOCs。</w:t>
                  </w:r>
                </w:p>
                <w:p w14:paraId="668FDB2B">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2.盛装VOCs物料的桶均存放于原辅材料库内。在非取用状态时封口，保持密闭。</w:t>
                  </w:r>
                </w:p>
              </w:tc>
              <w:tc>
                <w:tcPr>
                  <w:tcW w:w="564" w:type="dxa"/>
                  <w:tcBorders>
                    <w:tl2br w:val="nil"/>
                    <w:tr2bl w:val="nil"/>
                  </w:tcBorders>
                  <w:vAlign w:val="center"/>
                </w:tcPr>
                <w:p w14:paraId="14382937">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符合</w:t>
                  </w:r>
                </w:p>
              </w:tc>
            </w:tr>
            <w:tr w14:paraId="0DC95D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1261" w:hRule="atLeast"/>
                <w:jc w:val="center"/>
              </w:trPr>
              <w:tc>
                <w:tcPr>
                  <w:tcW w:w="884" w:type="dxa"/>
                  <w:vMerge w:val="continue"/>
                  <w:tcBorders>
                    <w:tl2br w:val="nil"/>
                    <w:tr2bl w:val="nil"/>
                  </w:tcBorders>
                  <w:vAlign w:val="center"/>
                </w:tcPr>
                <w:p w14:paraId="3BA52F10">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694" w:type="dxa"/>
                  <w:tcBorders>
                    <w:right w:val="single" w:color="auto" w:sz="4" w:space="0"/>
                    <w:tl2br w:val="nil"/>
                    <w:tr2bl w:val="nil"/>
                  </w:tcBorders>
                  <w:shd w:val="clear" w:color="auto" w:fill="auto"/>
                  <w:vAlign w:val="center"/>
                </w:tcPr>
                <w:p w14:paraId="333EB9DE">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工艺过程VOCs无组织排放控制要求</w:t>
                  </w:r>
                </w:p>
              </w:tc>
              <w:tc>
                <w:tcPr>
                  <w:tcW w:w="3080" w:type="dxa"/>
                  <w:tcBorders>
                    <w:left w:val="single" w:color="auto" w:sz="4" w:space="0"/>
                    <w:tl2br w:val="nil"/>
                    <w:tr2bl w:val="nil"/>
                  </w:tcBorders>
                  <w:shd w:val="clear" w:color="auto" w:fill="auto"/>
                  <w:vAlign w:val="center"/>
                </w:tcPr>
                <w:p w14:paraId="71FE4452">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1.VOCs质量占比大于等于10%的含VOCs产品，其使用过程应采用密闭设备或在密闭空间内操作，废气应排至VOCs废气收集处理系统；无法密闭的，应采取局部气体收集措施，废气应排至VOCs废气收集处理系统。有机聚合物产品用于制品生产的过程，在混合/混炼、塑炼/塑化/熔化、加工成型（挤出、注射、压制、压延、发泡、纺丝等）等作业中应采用密闭设备或在密闭空间内操作，废气应排至VOCs废气收集处理系统；无法密闭的，应采取局部气体收集措施，废气应排至VOCs废气收集处理系统。</w:t>
                  </w:r>
                </w:p>
                <w:p w14:paraId="657810CA">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2.企业应建立台账，记录含VOCs原辅材料和含VOCs产品的名称、使用量、回收量、废弃量、去向以及VOCs含量等信息。台账保存期限不少于3年。</w:t>
                  </w:r>
                </w:p>
                <w:p w14:paraId="714DCA2F">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3.通风生产设备、操作工位、车间厂房等应在符合安全生产、职业卫生相关规定的前提下，根据行业作业规程与标准、工业建筑及洁净厂房通风设计规范等的要求，采用合理的通风量。</w:t>
                  </w:r>
                </w:p>
                <w:p w14:paraId="224509B5">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4.工艺过程产生的含VOCs废料（渣、液）应按照相关要求进行储存、转移和输送。盛装过VOCs物料的废包装容器应加盖密闭。</w:t>
                  </w:r>
                </w:p>
              </w:tc>
              <w:tc>
                <w:tcPr>
                  <w:tcW w:w="2609" w:type="dxa"/>
                  <w:tcBorders>
                    <w:tl2br w:val="nil"/>
                    <w:tr2bl w:val="nil"/>
                  </w:tcBorders>
                  <w:vAlign w:val="center"/>
                </w:tcPr>
                <w:p w14:paraId="331C0076">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1、本项目</w:t>
                  </w:r>
                  <w:r>
                    <w:rPr>
                      <w:rFonts w:hint="eastAsia"/>
                      <w:color w:val="auto"/>
                      <w:szCs w:val="21"/>
                    </w:rPr>
                    <w:t>浸漆工序产生的NMHC经密闭设备负压收集，与喷漆工序产生的颗粒物、NMHC，烘干</w:t>
                  </w:r>
                  <w:r>
                    <w:rPr>
                      <w:rFonts w:hint="eastAsia"/>
                      <w:color w:val="auto"/>
                      <w:szCs w:val="21"/>
                      <w:lang w:eastAsia="zh-CN"/>
                    </w:rPr>
                    <w:t>、擦拭</w:t>
                  </w:r>
                  <w:r>
                    <w:rPr>
                      <w:rFonts w:hint="eastAsia"/>
                      <w:color w:val="auto"/>
                      <w:szCs w:val="21"/>
                    </w:rPr>
                    <w:t>工序产生的NMHC经密闭车间负压收集汇合后</w:t>
                  </w:r>
                  <w:r>
                    <w:rPr>
                      <w:rFonts w:hint="eastAsia"/>
                      <w:color w:val="auto"/>
                      <w:szCs w:val="21"/>
                      <w:lang w:eastAsia="zh-CN"/>
                    </w:rPr>
                    <w:t>，</w:t>
                  </w:r>
                  <w:r>
                    <w:rPr>
                      <w:color w:val="auto"/>
                      <w:szCs w:val="21"/>
                    </w:rPr>
                    <w:t>经密闭</w:t>
                  </w:r>
                  <w:r>
                    <w:rPr>
                      <w:rFonts w:hint="eastAsia"/>
                      <w:color w:val="auto"/>
                      <w:szCs w:val="21"/>
                      <w:lang w:eastAsia="zh-CN"/>
                    </w:rPr>
                    <w:t>设备负压</w:t>
                  </w:r>
                  <w:r>
                    <w:rPr>
                      <w:color w:val="auto"/>
                      <w:szCs w:val="21"/>
                    </w:rPr>
                    <w:t>收集+干式过滤棉+二级活性炭装置处理后通过1根15米高</w:t>
                  </w:r>
                  <w:r>
                    <w:rPr>
                      <w:rFonts w:hint="eastAsia"/>
                      <w:color w:val="auto"/>
                      <w:szCs w:val="21"/>
                    </w:rPr>
                    <w:t>2#</w:t>
                  </w:r>
                  <w:r>
                    <w:rPr>
                      <w:color w:val="auto"/>
                      <w:szCs w:val="21"/>
                    </w:rPr>
                    <w:t>排气筒排放</w:t>
                  </w:r>
                  <w:r>
                    <w:rPr>
                      <w:rFonts w:hint="eastAsia"/>
                      <w:color w:val="auto"/>
                      <w:szCs w:val="21"/>
                    </w:rPr>
                    <w:t>。</w:t>
                  </w:r>
                </w:p>
                <w:p w14:paraId="0AD57B07">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2.建立台账，记录含VOCs原辅材料和含VOCs产品的名称、使用量、回收量、废弃量、去向以及VOCs含量等信息。台账保存期限不少于3年。</w:t>
                  </w:r>
                </w:p>
                <w:p w14:paraId="1B7533C7">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3.通风生产设备、操作工位、车间厂房等在符合安全生产、职业卫生相关规定的前提下，根据行业作业规程与标准、工业建筑及洁净厂房通风设计规范等的要求，采用合理的通风量。</w:t>
                  </w:r>
                </w:p>
                <w:p w14:paraId="6675795C">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4.</w:t>
                  </w:r>
                  <w:r>
                    <w:rPr>
                      <w:rFonts w:hint="eastAsia"/>
                      <w:color w:val="auto"/>
                      <w:szCs w:val="21"/>
                    </w:rPr>
                    <w:t>废气处理</w:t>
                  </w:r>
                  <w:r>
                    <w:rPr>
                      <w:color w:val="auto"/>
                      <w:szCs w:val="21"/>
                    </w:rPr>
                    <w:t>过程</w:t>
                  </w:r>
                  <w:r>
                    <w:rPr>
                      <w:rFonts w:hint="eastAsia"/>
                      <w:color w:val="auto"/>
                      <w:szCs w:val="21"/>
                    </w:rPr>
                    <w:t>产生的废活性炭暂存危废仓库后</w:t>
                  </w:r>
                  <w:r>
                    <w:rPr>
                      <w:rFonts w:hint="eastAsia"/>
                      <w:color w:val="auto"/>
                      <w:szCs w:val="21"/>
                      <w:lang w:eastAsia="zh-CN"/>
                    </w:rPr>
                    <w:t>，定期</w:t>
                  </w:r>
                  <w:r>
                    <w:rPr>
                      <w:rFonts w:hint="eastAsia"/>
                      <w:color w:val="auto"/>
                      <w:szCs w:val="21"/>
                    </w:rPr>
                    <w:t>委托有资质单位处置</w:t>
                  </w:r>
                  <w:r>
                    <w:rPr>
                      <w:color w:val="auto"/>
                      <w:szCs w:val="21"/>
                    </w:rPr>
                    <w:t>。</w:t>
                  </w:r>
                </w:p>
              </w:tc>
              <w:tc>
                <w:tcPr>
                  <w:tcW w:w="564" w:type="dxa"/>
                  <w:tcBorders>
                    <w:tl2br w:val="nil"/>
                    <w:tr2bl w:val="nil"/>
                  </w:tcBorders>
                  <w:vAlign w:val="center"/>
                </w:tcPr>
                <w:p w14:paraId="54961571">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符合</w:t>
                  </w:r>
                </w:p>
              </w:tc>
            </w:tr>
            <w:tr w14:paraId="565500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1261" w:hRule="atLeast"/>
                <w:jc w:val="center"/>
              </w:trPr>
              <w:tc>
                <w:tcPr>
                  <w:tcW w:w="884" w:type="dxa"/>
                  <w:vMerge w:val="continue"/>
                  <w:tcBorders>
                    <w:tl2br w:val="nil"/>
                    <w:tr2bl w:val="nil"/>
                  </w:tcBorders>
                  <w:vAlign w:val="center"/>
                </w:tcPr>
                <w:p w14:paraId="4B365E9B">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694" w:type="dxa"/>
                  <w:tcBorders>
                    <w:right w:val="single" w:color="auto" w:sz="4" w:space="0"/>
                    <w:tl2br w:val="nil"/>
                    <w:tr2bl w:val="nil"/>
                  </w:tcBorders>
                  <w:shd w:val="clear" w:color="auto" w:fill="auto"/>
                  <w:vAlign w:val="center"/>
                </w:tcPr>
                <w:p w14:paraId="78F9A244">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VOCs无组织排放废气收集处理系统要求</w:t>
                  </w:r>
                </w:p>
              </w:tc>
              <w:tc>
                <w:tcPr>
                  <w:tcW w:w="3080" w:type="dxa"/>
                  <w:tcBorders>
                    <w:left w:val="single" w:color="auto" w:sz="4" w:space="0"/>
                    <w:tl2br w:val="nil"/>
                    <w:tr2bl w:val="nil"/>
                  </w:tcBorders>
                  <w:shd w:val="clear" w:color="auto" w:fill="auto"/>
                  <w:vAlign w:val="center"/>
                </w:tcPr>
                <w:p w14:paraId="1F6824EA">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1.VOCs废气收集处理系统应与生产工艺设备同步运行。VOCs废气收集处理系统发生故障或检修时，对应的生产工艺设备应停止运行，待检修完毕后同步投入使用；生产工艺设备不能停止运行或者不能及时停止运行的，应设置废气应急处理设施或采取其他替代措施。</w:t>
                  </w:r>
                </w:p>
                <w:p w14:paraId="678D1AF6">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2.企业应考虑生产工艺、操作方式、废气性质、处理方法等因素，对VOCs废气进行分类收集。</w:t>
                  </w:r>
                </w:p>
                <w:p w14:paraId="7876730E">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3.废气收集系统排风罩（集气罩）的设置应符合GB/T16758的规定。采用外部排风罩的，应按GB/T16758、AQ/T4274-2016规定的方法测量控制风速，测量点应选取在距排风罩开口面最远处的VOCs无组织排放位置，控制风速不应低于0.3m/s（行业相关规范有具体规定的，按相关规定执行）。</w:t>
                  </w:r>
                </w:p>
                <w:p w14:paraId="004F4E07">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4.VOCs废气收集处理系统污染物排放应符合GB16297或行业排放标准的规定。</w:t>
                  </w:r>
                </w:p>
                <w:p w14:paraId="147D5077">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5.收集的废气中NMHC初始排放速率≥3kg/h时，应配置VOCs处理设施，处理效率不应低于80%；对于重点地区，收集的废气中NMHC初始排放速率≥2kg/h时，应配置VOCs处理设施，处理效率不应低于80%；采用的原辅材料符合国家有关低VOCs含量产品规定的除外。</w:t>
                  </w:r>
                </w:p>
                <w:p w14:paraId="54464068">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6.排气筒高度不低于15m（因安全考虑或有特殊工艺要求的除外），具体高度以及与周围建筑物的相对高度关系应根据环境影响评价文件确定。</w:t>
                  </w:r>
                </w:p>
                <w:p w14:paraId="6FD5B74F">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7.企业应建立台账，记录废气收集系统、VOCs处理设施的主要运行和维护信息，如运行时间、废气处理量、操作温度、停留时间、吸附剂再生/更换周期和更换量、催化剂更换周期和更换量、吸收液pH值等关键运行参数。台账保存期限不少于3年。</w:t>
                  </w:r>
                </w:p>
              </w:tc>
              <w:tc>
                <w:tcPr>
                  <w:tcW w:w="2609" w:type="dxa"/>
                  <w:tcBorders>
                    <w:tl2br w:val="nil"/>
                    <w:tr2bl w:val="nil"/>
                  </w:tcBorders>
                  <w:vAlign w:val="center"/>
                </w:tcPr>
                <w:p w14:paraId="32D86FF5">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1.VOCs废气收集处理系统与生产工艺设备同步运行，如不能同时运行，停止生产行为。</w:t>
                  </w:r>
                </w:p>
                <w:p w14:paraId="1B8F69A4">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2.本项目</w:t>
                  </w:r>
                  <w:r>
                    <w:rPr>
                      <w:rFonts w:hint="eastAsia"/>
                      <w:color w:val="auto"/>
                      <w:szCs w:val="21"/>
                    </w:rPr>
                    <w:t>浸漆工序产生的NMHC经密闭设备负压收集，与喷漆工序产生的颗粒物、NMHC，烘干</w:t>
                  </w:r>
                  <w:r>
                    <w:rPr>
                      <w:rFonts w:hint="eastAsia"/>
                      <w:color w:val="auto"/>
                      <w:szCs w:val="21"/>
                      <w:lang w:eastAsia="zh-CN"/>
                    </w:rPr>
                    <w:t>、擦拭</w:t>
                  </w:r>
                  <w:r>
                    <w:rPr>
                      <w:rFonts w:hint="eastAsia"/>
                      <w:color w:val="auto"/>
                      <w:szCs w:val="21"/>
                    </w:rPr>
                    <w:t>工序产生的NMHC经密闭车间负压收集汇合后</w:t>
                  </w:r>
                  <w:r>
                    <w:rPr>
                      <w:rFonts w:hint="eastAsia"/>
                      <w:color w:val="auto"/>
                      <w:szCs w:val="21"/>
                      <w:lang w:eastAsia="zh-CN"/>
                    </w:rPr>
                    <w:t>，</w:t>
                  </w:r>
                  <w:r>
                    <w:rPr>
                      <w:color w:val="auto"/>
                      <w:szCs w:val="21"/>
                    </w:rPr>
                    <w:t>经密闭</w:t>
                  </w:r>
                  <w:r>
                    <w:rPr>
                      <w:rFonts w:hint="eastAsia"/>
                      <w:color w:val="auto"/>
                      <w:szCs w:val="21"/>
                      <w:lang w:eastAsia="zh-CN"/>
                    </w:rPr>
                    <w:t>设备负压</w:t>
                  </w:r>
                  <w:r>
                    <w:rPr>
                      <w:color w:val="auto"/>
                      <w:szCs w:val="21"/>
                    </w:rPr>
                    <w:t>收集+干式过滤棉+二级活性炭装置处理后通过1根15米高</w:t>
                  </w:r>
                  <w:r>
                    <w:rPr>
                      <w:rFonts w:hint="eastAsia"/>
                      <w:color w:val="auto"/>
                      <w:szCs w:val="21"/>
                    </w:rPr>
                    <w:t>2#</w:t>
                  </w:r>
                  <w:r>
                    <w:rPr>
                      <w:color w:val="auto"/>
                      <w:szCs w:val="21"/>
                    </w:rPr>
                    <w:t>排气筒排放。</w:t>
                  </w:r>
                </w:p>
                <w:p w14:paraId="7865D712">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3.废气收集系统排风罩（集气罩）的设置符合GB/T16758的规定。采用外部排风罩的，按GB/T16758、AQ/T4274-2016规定的方法测量控制风速，测量点选取在距排风罩开口面最远处的VOCs无组织排放位置，设计风速约0.5m/s，满足控制风速不应低于0.3m/s的要求。</w:t>
                  </w:r>
                </w:p>
                <w:p w14:paraId="5D87DCB0">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4.本项目VOCs废气收集处理后，污染物排放符合《工业涂装工序大气污染物排放标准》（DB32/4439-2022）中挥发性有机物的排放限值要求。</w:t>
                  </w:r>
                </w:p>
                <w:p w14:paraId="32B91412">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5.本项目位于重点地区，各工段收集的废气中挥发性有机物最大初始排放速率为0.</w:t>
                  </w:r>
                  <w:r>
                    <w:rPr>
                      <w:rFonts w:hint="eastAsia"/>
                      <w:color w:val="auto"/>
                      <w:szCs w:val="21"/>
                    </w:rPr>
                    <w:t>00</w:t>
                  </w:r>
                  <w:r>
                    <w:rPr>
                      <w:rFonts w:hint="eastAsia"/>
                      <w:color w:val="auto"/>
                      <w:szCs w:val="21"/>
                      <w:lang w:val="en-US" w:eastAsia="zh-CN"/>
                    </w:rPr>
                    <w:t>62</w:t>
                  </w:r>
                  <w:r>
                    <w:rPr>
                      <w:color w:val="auto"/>
                      <w:szCs w:val="21"/>
                    </w:rPr>
                    <w:t>kg/h＜2kg/h，经</w:t>
                  </w:r>
                  <w:r>
                    <w:rPr>
                      <w:rFonts w:hint="eastAsia"/>
                      <w:color w:val="auto"/>
                      <w:szCs w:val="21"/>
                    </w:rPr>
                    <w:t>“干式过滤棉+</w:t>
                  </w:r>
                  <w:r>
                    <w:rPr>
                      <w:color w:val="auto"/>
                      <w:szCs w:val="21"/>
                    </w:rPr>
                    <w:t>二级活性炭+15m高排气筒</w:t>
                  </w:r>
                  <w:r>
                    <w:rPr>
                      <w:rFonts w:hint="eastAsia"/>
                      <w:color w:val="auto"/>
                      <w:szCs w:val="21"/>
                    </w:rPr>
                    <w:t>”</w:t>
                  </w:r>
                  <w:r>
                    <w:rPr>
                      <w:color w:val="auto"/>
                      <w:szCs w:val="21"/>
                    </w:rPr>
                    <w:t>排出，处理效率为90%。</w:t>
                  </w:r>
                </w:p>
                <w:p w14:paraId="224B05CF">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6.本项目处理有机废气的排气筒</w:t>
                  </w:r>
                  <w:r>
                    <w:rPr>
                      <w:rFonts w:hint="eastAsia"/>
                      <w:color w:val="auto"/>
                      <w:szCs w:val="21"/>
                      <w:lang w:eastAsia="zh-CN"/>
                    </w:rPr>
                    <w:t>高度</w:t>
                  </w:r>
                  <w:r>
                    <w:rPr>
                      <w:color w:val="auto"/>
                      <w:szCs w:val="21"/>
                    </w:rPr>
                    <w:t>为15m。</w:t>
                  </w:r>
                </w:p>
                <w:p w14:paraId="750C34E1">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7.企业在项目建成后建立台账，记录废气收集系统、VOCs处理设施的主要运行和维护信息，包括运行时间、废气处理量、操作温度、停留时间、吸附剂再生/更换周期和更换量、关键运行参数等</w:t>
                  </w:r>
                  <w:r>
                    <w:rPr>
                      <w:rFonts w:hint="eastAsia"/>
                      <w:color w:val="auto"/>
                      <w:szCs w:val="21"/>
                    </w:rPr>
                    <w:t>，</w:t>
                  </w:r>
                  <w:r>
                    <w:rPr>
                      <w:color w:val="auto"/>
                      <w:szCs w:val="21"/>
                    </w:rPr>
                    <w:t>台账保存期限不少于3年。</w:t>
                  </w:r>
                </w:p>
              </w:tc>
              <w:tc>
                <w:tcPr>
                  <w:tcW w:w="564" w:type="dxa"/>
                  <w:tcBorders>
                    <w:tl2br w:val="nil"/>
                    <w:tr2bl w:val="nil"/>
                  </w:tcBorders>
                  <w:vAlign w:val="center"/>
                </w:tcPr>
                <w:p w14:paraId="78D6BDC4">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符合</w:t>
                  </w:r>
                </w:p>
              </w:tc>
            </w:tr>
            <w:tr w14:paraId="1501CB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1261" w:hRule="atLeast"/>
                <w:jc w:val="center"/>
              </w:trPr>
              <w:tc>
                <w:tcPr>
                  <w:tcW w:w="884" w:type="dxa"/>
                  <w:tcBorders>
                    <w:tl2br w:val="nil"/>
                    <w:tr2bl w:val="nil"/>
                  </w:tcBorders>
                  <w:vAlign w:val="center"/>
                </w:tcPr>
                <w:p w14:paraId="297C20E8">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《重点行业挥发性有机物综合治理方案》</w:t>
                  </w:r>
                  <w:r>
                    <w:rPr>
                      <w:rFonts w:hint="eastAsia"/>
                      <w:color w:val="auto"/>
                      <w:szCs w:val="21"/>
                      <w:lang w:eastAsia="zh-CN"/>
                    </w:rPr>
                    <w:t>（</w:t>
                  </w:r>
                  <w:r>
                    <w:rPr>
                      <w:rFonts w:hint="eastAsia"/>
                      <w:color w:val="auto"/>
                      <w:szCs w:val="21"/>
                    </w:rPr>
                    <w:t>环大气</w:t>
                  </w:r>
                  <w:r>
                    <w:rPr>
                      <w:rFonts w:hint="eastAsia"/>
                      <w:color w:val="auto"/>
                      <w:szCs w:val="21"/>
                      <w:lang w:eastAsia="zh-CN"/>
                    </w:rPr>
                    <w:t>〔2019〕53号）</w:t>
                  </w:r>
                </w:p>
              </w:tc>
              <w:tc>
                <w:tcPr>
                  <w:tcW w:w="3774" w:type="dxa"/>
                  <w:gridSpan w:val="2"/>
                  <w:tcBorders>
                    <w:tl2br w:val="nil"/>
                    <w:tr2bl w:val="nil"/>
                  </w:tcBorders>
                  <w:shd w:val="clear" w:color="auto" w:fill="auto"/>
                  <w:vAlign w:val="center"/>
                </w:tcPr>
                <w:p w14:paraId="1FB15B1C">
                  <w:pPr>
                    <w:keepNext w:val="0"/>
                    <w:keepLines w:val="0"/>
                    <w:pageBreakBefore w:val="0"/>
                    <w:kinsoku/>
                    <w:wordWrap/>
                    <w:overflowPunct/>
                    <w:topLinePunct w:val="0"/>
                    <w:autoSpaceDE/>
                    <w:autoSpaceDN/>
                    <w:bidi w:val="0"/>
                    <w:adjustRightInd w:val="0"/>
                    <w:snapToGrid w:val="0"/>
                    <w:ind w:firstLine="0" w:firstLineChars="0"/>
                    <w:jc w:val="left"/>
                    <w:textAlignment w:val="auto"/>
                    <w:rPr>
                      <w:color w:val="auto"/>
                      <w:szCs w:val="21"/>
                    </w:rPr>
                  </w:pPr>
                  <w:r>
                    <w:rPr>
                      <w:rFonts w:hint="eastAsia"/>
                      <w:color w:val="auto"/>
                      <w:szCs w:val="21"/>
                    </w:rPr>
                    <w:t>（三）</w:t>
                  </w:r>
                  <w:r>
                    <w:rPr>
                      <w:color w:val="auto"/>
                      <w:szCs w:val="21"/>
                    </w:rPr>
                    <w:t>工业涂装VOCs综合治理。</w:t>
                  </w:r>
                  <w:r>
                    <w:rPr>
                      <w:rFonts w:hint="eastAsia"/>
                      <w:color w:val="auto"/>
                      <w:szCs w:val="21"/>
                    </w:rPr>
                    <w:t>加大汽车、家具、集装箱、电子产品、工程机械等行业VOCs治理力度，重点区域应结合本地产业特征，加快实施其他行业涂装VOCs综合治理。</w:t>
                  </w:r>
                </w:p>
                <w:p w14:paraId="154FA02C">
                  <w:pPr>
                    <w:keepNext w:val="0"/>
                    <w:keepLines w:val="0"/>
                    <w:pageBreakBefore w:val="0"/>
                    <w:kinsoku/>
                    <w:wordWrap/>
                    <w:overflowPunct/>
                    <w:topLinePunct w:val="0"/>
                    <w:autoSpaceDE/>
                    <w:autoSpaceDN/>
                    <w:bidi w:val="0"/>
                    <w:adjustRightInd w:val="0"/>
                    <w:snapToGrid w:val="0"/>
                    <w:ind w:firstLine="0" w:firstLineChars="0"/>
                    <w:jc w:val="left"/>
                    <w:textAlignment w:val="auto"/>
                    <w:rPr>
                      <w:color w:val="auto"/>
                      <w:szCs w:val="21"/>
                    </w:rPr>
                  </w:pPr>
                  <w:r>
                    <w:rPr>
                      <w:rFonts w:hint="eastAsia"/>
                      <w:color w:val="auto"/>
                      <w:szCs w:val="21"/>
                    </w:rPr>
                    <w:t>强化源头控制，加快使用粉末、水性、高固体分、辐射固化等低VOCs含量的涂料替代溶剂型涂料。重点区域汽车制造底漆大力推广使用水性涂料，乘用车中涂、色漆大力推广使用高固体分或水性涂料，加快客车、货车等中涂、色漆改造。钢制集装箱制造在箱内、箱外、木地板涂装等工序大力推广使用水性涂料，在确保防腐蚀功能的前提下，加快推进特种集装箱采用水性涂料。</w:t>
                  </w:r>
                  <w:r>
                    <w:rPr>
                      <w:rFonts w:hint="eastAsia"/>
                      <w:color w:val="auto"/>
                      <w:szCs w:val="21"/>
                      <w:lang w:eastAsia="zh-CN"/>
                    </w:rPr>
                    <w:t>木制家具</w:t>
                  </w:r>
                  <w:r>
                    <w:rPr>
                      <w:rFonts w:hint="eastAsia"/>
                      <w:color w:val="auto"/>
                      <w:szCs w:val="21"/>
                    </w:rPr>
                    <w:t>制造大力推广使用水性、辐射固化、粉末等涂料和水性</w:t>
                  </w:r>
                  <w:r>
                    <w:rPr>
                      <w:rFonts w:hint="eastAsia"/>
                      <w:color w:val="auto"/>
                      <w:szCs w:val="21"/>
                      <w:lang w:eastAsia="zh-CN"/>
                    </w:rPr>
                    <w:t>胶黏剂</w:t>
                  </w:r>
                  <w:r>
                    <w:rPr>
                      <w:rFonts w:hint="eastAsia"/>
                      <w:color w:val="auto"/>
                      <w:szCs w:val="21"/>
                    </w:rPr>
                    <w:t>；金属家具制造大力推广使用粉末涂料；软体家具制造大力推广使用水性</w:t>
                  </w:r>
                  <w:r>
                    <w:rPr>
                      <w:rFonts w:hint="eastAsia"/>
                      <w:color w:val="auto"/>
                      <w:szCs w:val="21"/>
                      <w:lang w:eastAsia="zh-CN"/>
                    </w:rPr>
                    <w:t>胶黏剂</w:t>
                  </w:r>
                  <w:r>
                    <w:rPr>
                      <w:rFonts w:hint="eastAsia"/>
                      <w:color w:val="auto"/>
                      <w:szCs w:val="21"/>
                    </w:rPr>
                    <w:t>。工程机械制造大力推广使用水性、粉末和高固体分涂料。电子产品制造推广使用粉末、水性、辐射固化等涂料。</w:t>
                  </w:r>
                </w:p>
                <w:p w14:paraId="73BA82BB">
                  <w:pPr>
                    <w:keepNext w:val="0"/>
                    <w:keepLines w:val="0"/>
                    <w:pageBreakBefore w:val="0"/>
                    <w:kinsoku/>
                    <w:wordWrap/>
                    <w:overflowPunct/>
                    <w:topLinePunct w:val="0"/>
                    <w:autoSpaceDE/>
                    <w:autoSpaceDN/>
                    <w:bidi w:val="0"/>
                    <w:adjustRightInd w:val="0"/>
                    <w:snapToGrid w:val="0"/>
                    <w:ind w:firstLine="0" w:firstLineChars="0"/>
                    <w:jc w:val="left"/>
                    <w:textAlignment w:val="auto"/>
                    <w:rPr>
                      <w:color w:val="auto"/>
                      <w:szCs w:val="21"/>
                    </w:rPr>
                  </w:pPr>
                  <w:r>
                    <w:rPr>
                      <w:rFonts w:hint="eastAsia"/>
                      <w:color w:val="auto"/>
                      <w:szCs w:val="21"/>
                    </w:rPr>
                    <w:t>加快推广紧凑式涂装工艺、先进涂装技术和设备。汽车制造整车生产推广使用“三涂一烘</w:t>
                  </w:r>
                  <w:r>
                    <w:rPr>
                      <w:rFonts w:hint="eastAsia"/>
                      <w:color w:val="auto"/>
                      <w:szCs w:val="21"/>
                      <w:lang w:eastAsia="zh-CN"/>
                    </w:rPr>
                    <w:t>”“</w:t>
                  </w:r>
                  <w:r>
                    <w:rPr>
                      <w:rFonts w:hint="eastAsia"/>
                      <w:color w:val="auto"/>
                      <w:szCs w:val="21"/>
                    </w:rPr>
                    <w:t>两涂一烘”或免中涂等紧凑型工艺、静电喷涂技术、自动化喷涂设备。汽车金属零配件企业鼓励采用粉末静电喷涂技术。集装箱制造一次打砂工序钢板处理采用辊涂工艺。</w:t>
                  </w:r>
                  <w:r>
                    <w:rPr>
                      <w:rFonts w:hint="eastAsia"/>
                      <w:color w:val="auto"/>
                      <w:szCs w:val="21"/>
                      <w:lang w:eastAsia="zh-CN"/>
                    </w:rPr>
                    <w:t>木制家具</w:t>
                  </w:r>
                  <w:r>
                    <w:rPr>
                      <w:rFonts w:hint="eastAsia"/>
                      <w:color w:val="auto"/>
                      <w:szCs w:val="21"/>
                    </w:rPr>
                    <w:t>推广使用高效的往复式喷涂箱、机械手和静电喷涂技术。板式家具采用喷涂工艺的，推广使用粉末静电喷涂技术；采用溶剂型、辐射固化涂料的，推广使用辊涂、淋涂等工艺。工程机械制造要提高室内涂装比例，鼓励采用自动喷涂、静电喷涂等技术。电子产品制造推广使用静电喷涂等技术。</w:t>
                  </w:r>
                </w:p>
                <w:p w14:paraId="33A61380">
                  <w:pPr>
                    <w:keepNext w:val="0"/>
                    <w:keepLines w:val="0"/>
                    <w:pageBreakBefore w:val="0"/>
                    <w:kinsoku/>
                    <w:wordWrap/>
                    <w:overflowPunct/>
                    <w:topLinePunct w:val="0"/>
                    <w:autoSpaceDE/>
                    <w:autoSpaceDN/>
                    <w:bidi w:val="0"/>
                    <w:adjustRightInd w:val="0"/>
                    <w:snapToGrid w:val="0"/>
                    <w:ind w:firstLine="0" w:firstLineChars="0"/>
                    <w:jc w:val="left"/>
                    <w:textAlignment w:val="auto"/>
                    <w:rPr>
                      <w:color w:val="auto"/>
                      <w:szCs w:val="21"/>
                    </w:rPr>
                  </w:pPr>
                  <w:r>
                    <w:rPr>
                      <w:rFonts w:hint="eastAsia"/>
                      <w:color w:val="auto"/>
                      <w:szCs w:val="21"/>
                    </w:rPr>
                    <w:t>有效控制无组织排放。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VOCs排放工序应配备有效的废气收集系统。</w:t>
                  </w:r>
                </w:p>
                <w:p w14:paraId="1E6C8112">
                  <w:pPr>
                    <w:keepNext w:val="0"/>
                    <w:keepLines w:val="0"/>
                    <w:pageBreakBefore w:val="0"/>
                    <w:kinsoku/>
                    <w:wordWrap/>
                    <w:overflowPunct/>
                    <w:topLinePunct w:val="0"/>
                    <w:autoSpaceDE/>
                    <w:autoSpaceDN/>
                    <w:bidi w:val="0"/>
                    <w:adjustRightInd w:val="0"/>
                    <w:snapToGrid w:val="0"/>
                    <w:ind w:firstLine="0" w:firstLineChars="0"/>
                    <w:jc w:val="left"/>
                    <w:textAlignment w:val="auto"/>
                    <w:rPr>
                      <w:color w:val="auto"/>
                      <w:szCs w:val="21"/>
                    </w:rPr>
                  </w:pPr>
                  <w:r>
                    <w:rPr>
                      <w:rFonts w:hint="eastAsia"/>
                      <w:color w:val="auto"/>
                      <w:szCs w:val="21"/>
                    </w:rPr>
                    <w:t>推进建设适宜高效的治污设施。喷涂废气应设置高效漆雾处理装置。喷涂、晾（风）干废气宜采用吸附浓缩+燃烧处理方式，小风量的可采用一次性活性炭吸附等工艺。调配、流平等废气可与喷涂、晾（风）干废气一并处理。使用溶剂型涂料的生产线，烘干废气宜采用燃烧方式单独处理，具备条件的可采用回收式热力燃烧装置。</w:t>
                  </w:r>
                </w:p>
              </w:tc>
              <w:tc>
                <w:tcPr>
                  <w:tcW w:w="2609" w:type="dxa"/>
                  <w:tcBorders>
                    <w:tl2br w:val="nil"/>
                    <w:tr2bl w:val="nil"/>
                  </w:tcBorders>
                  <w:vAlign w:val="center"/>
                </w:tcPr>
                <w:p w14:paraId="12AD80EB">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建设项目为电机、变频器生产项目，生产中使用的水性环氧树脂绝缘漆VOCs含量为19g/L、水性丙烯酸聚氨酯面漆VOCs含量为84g/L，符合《低挥发性有机化合物含量涂料产品技术要求》（GB/T 38597-2020）；</w:t>
                  </w:r>
                </w:p>
                <w:p w14:paraId="7DA25875">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项目喷漆</w:t>
                  </w:r>
                  <w:r>
                    <w:rPr>
                      <w:rFonts w:hint="eastAsia"/>
                      <w:color w:val="auto"/>
                      <w:szCs w:val="21"/>
                      <w:lang w:eastAsia="zh-CN"/>
                    </w:rPr>
                    <w:t>烘干</w:t>
                  </w:r>
                  <w:r>
                    <w:rPr>
                      <w:rFonts w:hint="eastAsia"/>
                      <w:color w:val="auto"/>
                      <w:szCs w:val="21"/>
                    </w:rPr>
                    <w:t>工序采用静电喷涂技术；</w:t>
                  </w:r>
                </w:p>
                <w:p w14:paraId="4C797398">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项目涉及VOCs物料主要为</w:t>
                  </w:r>
                  <w:r>
                    <w:rPr>
                      <w:rFonts w:hint="eastAsia"/>
                      <w:color w:val="auto"/>
                      <w:szCs w:val="21"/>
                    </w:rPr>
                    <w:t>水性环氧绝缘树脂漆、水性丙烯酸聚氨酯面漆，存储在</w:t>
                  </w:r>
                  <w:r>
                    <w:rPr>
                      <w:color w:val="auto"/>
                      <w:szCs w:val="21"/>
                    </w:rPr>
                    <w:t>密闭的包装桶内，不会挥发VOCs</w:t>
                  </w:r>
                  <w:r>
                    <w:rPr>
                      <w:rFonts w:hint="eastAsia"/>
                      <w:color w:val="auto"/>
                      <w:szCs w:val="21"/>
                    </w:rPr>
                    <w:t>，</w:t>
                  </w:r>
                  <w:r>
                    <w:rPr>
                      <w:color w:val="auto"/>
                      <w:szCs w:val="21"/>
                    </w:rPr>
                    <w:t>盛装VOCs物料的桶均存放于原辅材料库内</w:t>
                  </w:r>
                  <w:r>
                    <w:rPr>
                      <w:rFonts w:hint="eastAsia"/>
                      <w:color w:val="auto"/>
                      <w:szCs w:val="21"/>
                    </w:rPr>
                    <w:t>，</w:t>
                  </w:r>
                  <w:r>
                    <w:rPr>
                      <w:color w:val="auto"/>
                      <w:szCs w:val="21"/>
                    </w:rPr>
                    <w:t>在非取用状态时封口，保持密闭</w:t>
                  </w:r>
                  <w:r>
                    <w:rPr>
                      <w:rFonts w:hint="eastAsia"/>
                      <w:color w:val="auto"/>
                      <w:szCs w:val="21"/>
                    </w:rPr>
                    <w:t>，可有效控制</w:t>
                  </w:r>
                  <w:r>
                    <w:rPr>
                      <w:color w:val="auto"/>
                      <w:szCs w:val="21"/>
                    </w:rPr>
                    <w:t>VOCs</w:t>
                  </w:r>
                  <w:r>
                    <w:rPr>
                      <w:rFonts w:hint="eastAsia"/>
                      <w:color w:val="auto"/>
                      <w:szCs w:val="21"/>
                    </w:rPr>
                    <w:t>无组织排放；浸漆工序产生的NMHC经密闭设备负压收集，与喷漆工序产生的颗粒物、NMHC，烘干</w:t>
                  </w:r>
                  <w:r>
                    <w:rPr>
                      <w:rFonts w:hint="eastAsia"/>
                      <w:color w:val="auto"/>
                      <w:szCs w:val="21"/>
                      <w:lang w:eastAsia="zh-CN"/>
                    </w:rPr>
                    <w:t>、擦拭</w:t>
                  </w:r>
                  <w:r>
                    <w:rPr>
                      <w:rFonts w:hint="eastAsia"/>
                      <w:color w:val="auto"/>
                      <w:szCs w:val="21"/>
                    </w:rPr>
                    <w:t>工序产生的NMHC经密闭车间负压收集汇合后</w:t>
                  </w:r>
                  <w:r>
                    <w:rPr>
                      <w:rFonts w:hint="eastAsia"/>
                      <w:color w:val="auto"/>
                      <w:szCs w:val="21"/>
                      <w:lang w:eastAsia="zh-CN"/>
                    </w:rPr>
                    <w:t>，</w:t>
                  </w:r>
                  <w:r>
                    <w:rPr>
                      <w:color w:val="auto"/>
                      <w:szCs w:val="21"/>
                    </w:rPr>
                    <w:t>经密闭</w:t>
                  </w:r>
                  <w:r>
                    <w:rPr>
                      <w:rFonts w:hint="eastAsia"/>
                      <w:color w:val="auto"/>
                      <w:szCs w:val="21"/>
                      <w:lang w:eastAsia="zh-CN"/>
                    </w:rPr>
                    <w:t>设备负压</w:t>
                  </w:r>
                  <w:r>
                    <w:rPr>
                      <w:color w:val="auto"/>
                      <w:szCs w:val="21"/>
                    </w:rPr>
                    <w:t>收集+干式过滤棉+二级活性炭装置处理后通过1根15米高</w:t>
                  </w:r>
                  <w:r>
                    <w:rPr>
                      <w:rFonts w:hint="eastAsia"/>
                      <w:color w:val="auto"/>
                      <w:szCs w:val="21"/>
                    </w:rPr>
                    <w:t>2#</w:t>
                  </w:r>
                  <w:r>
                    <w:rPr>
                      <w:color w:val="auto"/>
                      <w:szCs w:val="21"/>
                    </w:rPr>
                    <w:t>排气筒排放</w:t>
                  </w:r>
                  <w:r>
                    <w:rPr>
                      <w:rFonts w:hint="eastAsia"/>
                      <w:color w:val="auto"/>
                      <w:szCs w:val="21"/>
                    </w:rPr>
                    <w:t>，在采取以上措施后，NMHC能够稳定达标排放。</w:t>
                  </w:r>
                </w:p>
              </w:tc>
              <w:tc>
                <w:tcPr>
                  <w:tcW w:w="564" w:type="dxa"/>
                  <w:tcBorders>
                    <w:tl2br w:val="nil"/>
                    <w:tr2bl w:val="nil"/>
                  </w:tcBorders>
                  <w:vAlign w:val="center"/>
                </w:tcPr>
                <w:p w14:paraId="06B4C4BE">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符合</w:t>
                  </w:r>
                </w:p>
              </w:tc>
            </w:tr>
          </w:tbl>
          <w:p w14:paraId="6411C793">
            <w:pPr>
              <w:adjustRightInd w:val="0"/>
              <w:snapToGrid w:val="0"/>
              <w:spacing w:line="360" w:lineRule="auto"/>
              <w:ind w:firstLine="480" w:firstLineChars="200"/>
              <w:rPr>
                <w:color w:val="auto"/>
                <w:sz w:val="24"/>
              </w:rPr>
            </w:pPr>
            <w:r>
              <w:rPr>
                <w:color w:val="auto"/>
                <w:sz w:val="24"/>
              </w:rPr>
              <w:t>根据上表分析可知，项目与</w:t>
            </w:r>
            <w:r>
              <w:rPr>
                <w:rFonts w:hint="eastAsia"/>
                <w:color w:val="auto"/>
                <w:sz w:val="24"/>
              </w:rPr>
              <w:t>国家、江苏省、淮安市</w:t>
            </w:r>
            <w:r>
              <w:rPr>
                <w:color w:val="auto"/>
                <w:sz w:val="24"/>
              </w:rPr>
              <w:t>相关环保法规、指南中的相关要求是相符的。</w:t>
            </w:r>
          </w:p>
        </w:tc>
      </w:tr>
    </w:tbl>
    <w:p w14:paraId="27ECF42C">
      <w:pPr>
        <w:pStyle w:val="81"/>
        <w:spacing w:after="0" w:afterAutospacing="0"/>
        <w:ind w:firstLine="602"/>
        <w:jc w:val="center"/>
        <w:outlineLvl w:val="9"/>
        <w:rPr>
          <w:rFonts w:ascii="Times New Roman" w:hAnsi="Times New Roman"/>
          <w:b/>
          <w:bCs/>
          <w:snapToGrid w:val="0"/>
          <w:color w:val="auto"/>
          <w:sz w:val="30"/>
          <w:szCs w:val="30"/>
        </w:rPr>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2D464F4E">
      <w:pPr>
        <w:pStyle w:val="81"/>
        <w:spacing w:after="0" w:afterAutospacing="0"/>
        <w:ind w:firstLine="602"/>
        <w:jc w:val="center"/>
        <w:outlineLvl w:val="0"/>
        <w:rPr>
          <w:rFonts w:ascii="Times New Roman" w:hAnsi="Times New Roman"/>
          <w:snapToGrid w:val="0"/>
          <w:color w:val="auto"/>
          <w:sz w:val="30"/>
          <w:szCs w:val="30"/>
        </w:rPr>
      </w:pPr>
      <w:bookmarkStart w:id="5" w:name="_Toc1481"/>
      <w:r>
        <w:rPr>
          <w:rFonts w:ascii="Times New Roman" w:hAnsi="Times New Roman"/>
          <w:b/>
          <w:bCs/>
          <w:snapToGrid w:val="0"/>
          <w:color w:val="auto"/>
          <w:sz w:val="30"/>
          <w:szCs w:val="30"/>
        </w:rPr>
        <w:t>二、建设项目工程分析</w:t>
      </w:r>
      <w:bookmarkEnd w:id="5"/>
    </w:p>
    <w:tbl>
      <w:tblPr>
        <w:tblStyle w:val="8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2"/>
        <w:gridCol w:w="8668"/>
      </w:tblGrid>
      <w:tr w14:paraId="59C34B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020" w:hRule="atLeast"/>
          <w:jc w:val="center"/>
        </w:trPr>
        <w:tc>
          <w:tcPr>
            <w:tcW w:w="392" w:type="dxa"/>
            <w:vAlign w:val="center"/>
          </w:tcPr>
          <w:p w14:paraId="594FC359">
            <w:pPr>
              <w:pStyle w:val="81"/>
              <w:adjustRightInd w:val="0"/>
              <w:snapToGrid w:val="0"/>
              <w:spacing w:before="0" w:beforeAutospacing="0" w:after="0" w:afterAutospacing="0"/>
              <w:jc w:val="center"/>
              <w:rPr>
                <w:rFonts w:ascii="Times New Roman" w:hAnsi="Times New Roman"/>
                <w:color w:val="auto"/>
                <w:szCs w:val="24"/>
                <w:lang w:val="en-US"/>
              </w:rPr>
            </w:pPr>
            <w:r>
              <w:rPr>
                <w:rFonts w:ascii="Times New Roman" w:hAnsi="Times New Roman"/>
                <w:color w:val="auto"/>
                <w:szCs w:val="24"/>
                <w:lang w:val="en-US"/>
              </w:rPr>
              <w:t>建设内容</w:t>
            </w:r>
          </w:p>
        </w:tc>
        <w:tc>
          <w:tcPr>
            <w:tcW w:w="8668" w:type="dxa"/>
          </w:tcPr>
          <w:p w14:paraId="73C8699C">
            <w:pPr>
              <w:tabs>
                <w:tab w:val="left" w:pos="312"/>
              </w:tabs>
              <w:adjustRightInd w:val="0"/>
              <w:snapToGrid w:val="0"/>
              <w:spacing w:line="360" w:lineRule="auto"/>
              <w:rPr>
                <w:b/>
                <w:color w:val="auto"/>
                <w:sz w:val="24"/>
              </w:rPr>
            </w:pPr>
            <w:r>
              <w:rPr>
                <w:b/>
                <w:color w:val="auto"/>
                <w:sz w:val="24"/>
              </w:rPr>
              <w:t>1.项目由来</w:t>
            </w:r>
          </w:p>
          <w:p w14:paraId="2D5CF973">
            <w:pPr>
              <w:adjustRightInd w:val="0"/>
              <w:snapToGrid w:val="0"/>
              <w:spacing w:line="360" w:lineRule="auto"/>
              <w:ind w:firstLine="480" w:firstLineChars="200"/>
              <w:jc w:val="left"/>
              <w:rPr>
                <w:color w:val="auto"/>
                <w:sz w:val="24"/>
              </w:rPr>
            </w:pPr>
            <w:r>
              <w:rPr>
                <w:rFonts w:hint="eastAsia"/>
                <w:color w:val="auto"/>
                <w:sz w:val="24"/>
                <w:lang w:eastAsia="zh-CN"/>
              </w:rPr>
              <w:t>涟水杰特电气有限公司</w:t>
            </w:r>
            <w:r>
              <w:rPr>
                <w:color w:val="auto"/>
                <w:sz w:val="24"/>
              </w:rPr>
              <w:t>成立于202</w:t>
            </w:r>
            <w:r>
              <w:rPr>
                <w:rFonts w:hint="eastAsia"/>
                <w:color w:val="auto"/>
                <w:sz w:val="24"/>
              </w:rPr>
              <w:t>4</w:t>
            </w:r>
            <w:r>
              <w:rPr>
                <w:color w:val="auto"/>
                <w:sz w:val="24"/>
              </w:rPr>
              <w:t>年</w:t>
            </w:r>
            <w:r>
              <w:rPr>
                <w:rFonts w:hint="eastAsia"/>
                <w:color w:val="auto"/>
                <w:sz w:val="24"/>
              </w:rPr>
              <w:t>0</w:t>
            </w:r>
            <w:r>
              <w:rPr>
                <w:rFonts w:hint="eastAsia"/>
                <w:color w:val="auto"/>
                <w:sz w:val="24"/>
                <w:lang w:val="en-US" w:eastAsia="zh-CN"/>
              </w:rPr>
              <w:t>6</w:t>
            </w:r>
            <w:r>
              <w:rPr>
                <w:color w:val="auto"/>
                <w:sz w:val="24"/>
              </w:rPr>
              <w:t>月</w:t>
            </w:r>
            <w:r>
              <w:rPr>
                <w:rFonts w:hint="eastAsia"/>
                <w:color w:val="auto"/>
                <w:sz w:val="24"/>
                <w:lang w:val="en-US" w:eastAsia="zh-CN"/>
              </w:rPr>
              <w:t>26</w:t>
            </w:r>
            <w:r>
              <w:rPr>
                <w:rFonts w:hint="eastAsia"/>
                <w:color w:val="auto"/>
                <w:sz w:val="24"/>
              </w:rPr>
              <w:t>日</w:t>
            </w:r>
            <w:r>
              <w:rPr>
                <w:color w:val="auto"/>
                <w:sz w:val="24"/>
              </w:rPr>
              <w:t>，</w:t>
            </w:r>
            <w:r>
              <w:rPr>
                <w:rFonts w:hint="eastAsia"/>
                <w:color w:val="auto"/>
                <w:sz w:val="24"/>
              </w:rPr>
              <w:t>位于江苏涟水经济开发区涟古路北侧、兴隆路西侧，现拟投资20000万元，建设</w:t>
            </w:r>
            <w:r>
              <w:rPr>
                <w:rFonts w:hint="eastAsia"/>
                <w:color w:val="auto"/>
                <w:sz w:val="24"/>
                <w:lang w:eastAsia="zh-CN"/>
              </w:rPr>
              <w:t>涟水杰特电气有限公司</w:t>
            </w:r>
            <w:r>
              <w:rPr>
                <w:rFonts w:hint="eastAsia"/>
                <w:color w:val="auto"/>
                <w:sz w:val="24"/>
              </w:rPr>
              <w:t>年产3万台套新型电机、变频器生产项目，项目已取得江苏涟水经济开发区管理委员会</w:t>
            </w:r>
            <w:r>
              <w:rPr>
                <w:color w:val="auto"/>
                <w:sz w:val="24"/>
              </w:rPr>
              <w:t>的备案，备案证号：</w:t>
            </w:r>
            <w:r>
              <w:rPr>
                <w:rFonts w:hint="eastAsia"/>
                <w:color w:val="auto"/>
                <w:sz w:val="24"/>
              </w:rPr>
              <w:t>涟区开发备</w:t>
            </w:r>
            <w:r>
              <w:rPr>
                <w:color w:val="auto"/>
                <w:sz w:val="24"/>
              </w:rPr>
              <w:t>〔202</w:t>
            </w:r>
            <w:r>
              <w:rPr>
                <w:rFonts w:hint="eastAsia"/>
                <w:color w:val="auto"/>
                <w:sz w:val="24"/>
              </w:rPr>
              <w:t>5</w:t>
            </w:r>
            <w:r>
              <w:rPr>
                <w:color w:val="auto"/>
                <w:sz w:val="24"/>
              </w:rPr>
              <w:t>〕</w:t>
            </w:r>
            <w:r>
              <w:rPr>
                <w:rFonts w:hint="eastAsia"/>
                <w:color w:val="auto"/>
                <w:sz w:val="24"/>
                <w:lang w:val="en-US" w:eastAsia="zh-CN"/>
              </w:rPr>
              <w:t>33</w:t>
            </w:r>
            <w:r>
              <w:rPr>
                <w:color w:val="auto"/>
                <w:sz w:val="24"/>
              </w:rPr>
              <w:t>号，项目代码：</w:t>
            </w:r>
            <w:r>
              <w:rPr>
                <w:rFonts w:hint="eastAsia"/>
                <w:color w:val="auto"/>
                <w:sz w:val="24"/>
              </w:rPr>
              <w:t>2406-320860-89-01-318379</w:t>
            </w:r>
            <w:r>
              <w:rPr>
                <w:color w:val="auto"/>
                <w:sz w:val="24"/>
              </w:rPr>
              <w:t>。</w:t>
            </w:r>
            <w:r>
              <w:rPr>
                <w:rFonts w:hint="eastAsia"/>
                <w:color w:val="auto"/>
                <w:sz w:val="24"/>
              </w:rPr>
              <w:t>项目建成后形成年产3万台/套永磁同步电机、伺服电机、直驱电机、变频机的生产规模。</w:t>
            </w:r>
          </w:p>
          <w:p w14:paraId="4A6AAE73">
            <w:pPr>
              <w:widowControl/>
              <w:adjustRightInd w:val="0"/>
              <w:snapToGrid w:val="0"/>
              <w:spacing w:line="360" w:lineRule="auto"/>
              <w:ind w:firstLine="480" w:firstLineChars="200"/>
              <w:jc w:val="left"/>
              <w:rPr>
                <w:color w:val="auto"/>
                <w:sz w:val="24"/>
              </w:rPr>
            </w:pPr>
            <w:r>
              <w:rPr>
                <w:rFonts w:hint="eastAsia"/>
                <w:color w:val="auto"/>
                <w:sz w:val="24"/>
              </w:rPr>
              <w:t>本项目为</w:t>
            </w:r>
            <w:r>
              <w:rPr>
                <w:rFonts w:hint="eastAsia"/>
                <w:color w:val="auto"/>
                <w:sz w:val="24"/>
                <w:lang w:eastAsia="zh-CN"/>
              </w:rPr>
              <w:t>涟水杰特电气有限公司</w:t>
            </w:r>
            <w:r>
              <w:rPr>
                <w:rFonts w:hint="eastAsia"/>
                <w:color w:val="auto"/>
                <w:sz w:val="24"/>
              </w:rPr>
              <w:t>年产3万台套新型电机、变频器生产项目，主要产品包括永磁同步电机、伺服电机、直驱电机、变频机等，</w:t>
            </w:r>
            <w:r>
              <w:rPr>
                <w:color w:val="auto"/>
                <w:sz w:val="24"/>
              </w:rPr>
              <w:t>根据《国民经济行业分类》（GB/T4754-2017）及第1号修改单</w:t>
            </w:r>
            <w:r>
              <w:rPr>
                <w:rFonts w:hint="eastAsia"/>
                <w:color w:val="auto"/>
                <w:sz w:val="24"/>
              </w:rPr>
              <w:t>，</w:t>
            </w:r>
            <w:r>
              <w:rPr>
                <w:color w:val="auto"/>
                <w:sz w:val="24"/>
              </w:rPr>
              <w:t>属于</w:t>
            </w:r>
            <w:r>
              <w:rPr>
                <w:rFonts w:hint="eastAsia"/>
                <w:color w:val="auto"/>
                <w:sz w:val="24"/>
              </w:rPr>
              <w:t>“C3819其他电机制造、C3821变压器、整流器和电感器制造”，</w:t>
            </w:r>
            <w:r>
              <w:rPr>
                <w:color w:val="auto"/>
                <w:sz w:val="24"/>
              </w:rPr>
              <w:t>对照《建设项目环境影响评价分类管理名录（2021年版）》</w:t>
            </w:r>
            <w:r>
              <w:rPr>
                <w:rFonts w:hint="eastAsia"/>
                <w:color w:val="auto"/>
                <w:sz w:val="24"/>
              </w:rPr>
              <w:t>，</w:t>
            </w:r>
            <w:r>
              <w:rPr>
                <w:color w:val="auto"/>
                <w:sz w:val="24"/>
              </w:rPr>
              <w:t>根据下表对项目类别进行判定。</w:t>
            </w:r>
          </w:p>
          <w:p w14:paraId="7F6B5AC4">
            <w:pPr>
              <w:widowControl/>
              <w:adjustRightInd w:val="0"/>
              <w:snapToGrid w:val="0"/>
              <w:ind w:firstLine="482"/>
              <w:jc w:val="center"/>
              <w:rPr>
                <w:b/>
                <w:bCs/>
                <w:color w:val="auto"/>
                <w:sz w:val="24"/>
              </w:rPr>
            </w:pPr>
            <w:r>
              <w:rPr>
                <w:rFonts w:hint="eastAsia"/>
                <w:b/>
                <w:bCs/>
                <w:color w:val="auto"/>
                <w:sz w:val="24"/>
              </w:rPr>
              <w:t>表2-1 建设项目环评类别判定表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33"/>
              <w:gridCol w:w="1159"/>
              <w:gridCol w:w="1836"/>
              <w:gridCol w:w="1825"/>
              <w:gridCol w:w="853"/>
              <w:gridCol w:w="668"/>
              <w:gridCol w:w="678"/>
            </w:tblGrid>
            <w:tr w14:paraId="25FFEB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7" w:type="pct"/>
                  <w:vMerge w:val="restart"/>
                  <w:vAlign w:val="center"/>
                </w:tcPr>
                <w:p w14:paraId="4682BAB9">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rPr>
                  </w:pPr>
                  <w:r>
                    <w:rPr>
                      <w:b/>
                      <w:bCs/>
                      <w:color w:val="auto"/>
                    </w:rPr>
                    <w:t>对应国民经济行业类别</w:t>
                  </w:r>
                </w:p>
              </w:tc>
              <w:tc>
                <w:tcPr>
                  <w:tcW w:w="685" w:type="pct"/>
                  <w:vMerge w:val="restart"/>
                  <w:vAlign w:val="center"/>
                </w:tcPr>
                <w:p w14:paraId="4C4EC946">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rPr>
                  </w:pPr>
                  <w:r>
                    <w:rPr>
                      <w:b/>
                      <w:bCs/>
                      <w:color w:val="auto"/>
                    </w:rPr>
                    <w:t>建设项目行业类别</w:t>
                  </w:r>
                </w:p>
              </w:tc>
              <w:tc>
                <w:tcPr>
                  <w:tcW w:w="2670" w:type="pct"/>
                  <w:gridSpan w:val="3"/>
                  <w:vAlign w:val="center"/>
                </w:tcPr>
                <w:p w14:paraId="66C92442">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rPr>
                  </w:pPr>
                  <w:r>
                    <w:rPr>
                      <w:b/>
                      <w:bCs/>
                      <w:color w:val="auto"/>
                    </w:rPr>
                    <w:t>环评类别</w:t>
                  </w:r>
                </w:p>
              </w:tc>
              <w:tc>
                <w:tcPr>
                  <w:tcW w:w="395" w:type="pct"/>
                  <w:vMerge w:val="restart"/>
                  <w:vAlign w:val="center"/>
                </w:tcPr>
                <w:p w14:paraId="2D2A1151">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rPr>
                  </w:pPr>
                  <w:r>
                    <w:rPr>
                      <w:b/>
                      <w:bCs/>
                      <w:color w:val="auto"/>
                    </w:rPr>
                    <w:t>报告类别</w:t>
                  </w:r>
                </w:p>
              </w:tc>
              <w:tc>
                <w:tcPr>
                  <w:tcW w:w="401" w:type="pct"/>
                  <w:vMerge w:val="restart"/>
                  <w:vAlign w:val="center"/>
                </w:tcPr>
                <w:p w14:paraId="37371148">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rPr>
                  </w:pPr>
                  <w:r>
                    <w:rPr>
                      <w:b/>
                      <w:bCs/>
                      <w:color w:val="auto"/>
                    </w:rPr>
                    <w:t>最终类别</w:t>
                  </w:r>
                </w:p>
              </w:tc>
            </w:tr>
            <w:tr w14:paraId="2DB8E2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7" w:type="pct"/>
                  <w:vMerge w:val="continue"/>
                  <w:vAlign w:val="center"/>
                </w:tcPr>
                <w:p w14:paraId="30DBC85F">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rPr>
                  </w:pPr>
                </w:p>
              </w:tc>
              <w:tc>
                <w:tcPr>
                  <w:tcW w:w="685" w:type="pct"/>
                  <w:vMerge w:val="continue"/>
                  <w:vAlign w:val="center"/>
                </w:tcPr>
                <w:p w14:paraId="70A43DD4">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rPr>
                  </w:pPr>
                </w:p>
              </w:tc>
              <w:tc>
                <w:tcPr>
                  <w:tcW w:w="1086" w:type="pct"/>
                  <w:vAlign w:val="center"/>
                </w:tcPr>
                <w:p w14:paraId="7BBE151D">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rPr>
                  </w:pPr>
                  <w:r>
                    <w:rPr>
                      <w:b/>
                      <w:bCs/>
                      <w:color w:val="auto"/>
                    </w:rPr>
                    <w:t>报告书</w:t>
                  </w:r>
                </w:p>
              </w:tc>
              <w:tc>
                <w:tcPr>
                  <w:tcW w:w="1079" w:type="pct"/>
                  <w:vAlign w:val="center"/>
                </w:tcPr>
                <w:p w14:paraId="1747E181">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rPr>
                  </w:pPr>
                  <w:r>
                    <w:rPr>
                      <w:b/>
                      <w:bCs/>
                      <w:color w:val="auto"/>
                    </w:rPr>
                    <w:t>报告表</w:t>
                  </w:r>
                </w:p>
              </w:tc>
              <w:tc>
                <w:tcPr>
                  <w:tcW w:w="504" w:type="pct"/>
                  <w:vAlign w:val="center"/>
                </w:tcPr>
                <w:p w14:paraId="411B6AFE">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rPr>
                  </w:pPr>
                  <w:r>
                    <w:rPr>
                      <w:b/>
                      <w:bCs/>
                      <w:color w:val="auto"/>
                    </w:rPr>
                    <w:t>登记表</w:t>
                  </w:r>
                </w:p>
              </w:tc>
              <w:tc>
                <w:tcPr>
                  <w:tcW w:w="395" w:type="pct"/>
                  <w:vMerge w:val="continue"/>
                  <w:vAlign w:val="center"/>
                </w:tcPr>
                <w:p w14:paraId="2E3049DF">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rPr>
                  </w:pPr>
                </w:p>
              </w:tc>
              <w:tc>
                <w:tcPr>
                  <w:tcW w:w="401" w:type="pct"/>
                  <w:vMerge w:val="continue"/>
                  <w:vAlign w:val="center"/>
                </w:tcPr>
                <w:p w14:paraId="4D9F69AE">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rPr>
                  </w:pPr>
                </w:p>
              </w:tc>
            </w:tr>
            <w:tr w14:paraId="7494BF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7" w:type="pct"/>
                  <w:shd w:val="clear" w:color="auto" w:fill="auto"/>
                  <w:vAlign w:val="center"/>
                </w:tcPr>
                <w:p w14:paraId="2A76E80D">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rPr>
                  </w:pPr>
                  <w:r>
                    <w:rPr>
                      <w:color w:val="auto"/>
                    </w:rPr>
                    <w:t>C</w:t>
                  </w:r>
                  <w:r>
                    <w:rPr>
                      <w:rFonts w:hint="eastAsia"/>
                      <w:color w:val="auto"/>
                    </w:rPr>
                    <w:t>3819其他电机制造</w:t>
                  </w:r>
                </w:p>
              </w:tc>
              <w:tc>
                <w:tcPr>
                  <w:tcW w:w="685" w:type="pct"/>
                  <w:vMerge w:val="restart"/>
                  <w:shd w:val="clear" w:color="auto" w:fill="auto"/>
                  <w:vAlign w:val="center"/>
                </w:tcPr>
                <w:p w14:paraId="110E64D2">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rPr>
                  </w:pPr>
                  <w:r>
                    <w:rPr>
                      <w:rFonts w:hint="eastAsia"/>
                      <w:color w:val="auto"/>
                    </w:rPr>
                    <w:t>电机</w:t>
                  </w:r>
                  <w:r>
                    <w:rPr>
                      <w:color w:val="auto"/>
                    </w:rPr>
                    <w:t>制造</w:t>
                  </w:r>
                  <w:r>
                    <w:rPr>
                      <w:rFonts w:hint="eastAsia"/>
                      <w:color w:val="auto"/>
                    </w:rPr>
                    <w:t>381；输配电</w:t>
                  </w:r>
                  <w:r>
                    <w:rPr>
                      <w:color w:val="auto"/>
                    </w:rPr>
                    <w:t>及控制设备制造</w:t>
                  </w:r>
                  <w:r>
                    <w:rPr>
                      <w:rFonts w:hint="eastAsia"/>
                      <w:color w:val="auto"/>
                    </w:rPr>
                    <w:t>382；</w:t>
                  </w:r>
                  <w:r>
                    <w:rPr>
                      <w:color w:val="auto"/>
                    </w:rPr>
                    <w:t>……</w:t>
                  </w:r>
                </w:p>
              </w:tc>
              <w:tc>
                <w:tcPr>
                  <w:tcW w:w="1086" w:type="pct"/>
                  <w:vMerge w:val="restart"/>
                  <w:shd w:val="clear" w:color="auto" w:fill="auto"/>
                  <w:vAlign w:val="center"/>
                </w:tcPr>
                <w:p w14:paraId="6694D380">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rPr>
                  </w:pPr>
                  <w:r>
                    <w:rPr>
                      <w:rFonts w:hint="eastAsia"/>
                      <w:color w:val="auto"/>
                    </w:rPr>
                    <w:t>铅蓄电池制造；太阳能电池片生产；有电镀工艺的；年用溶剂型涂料（含稀释剂）10吨及以上的</w:t>
                  </w:r>
                </w:p>
              </w:tc>
              <w:tc>
                <w:tcPr>
                  <w:tcW w:w="1079" w:type="pct"/>
                  <w:vMerge w:val="restart"/>
                  <w:shd w:val="clear" w:color="auto" w:fill="auto"/>
                  <w:vAlign w:val="center"/>
                </w:tcPr>
                <w:p w14:paraId="4A6ADD20">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rPr>
                  </w:pPr>
                  <w:r>
                    <w:rPr>
                      <w:rFonts w:hint="eastAsia"/>
                      <w:color w:val="auto"/>
                    </w:rPr>
                    <w:t>其他（仅分割、焊接、组装的除外，年用非溶剂型低VOCs含量涂料10吨以下的除外）</w:t>
                  </w:r>
                </w:p>
              </w:tc>
              <w:tc>
                <w:tcPr>
                  <w:tcW w:w="504" w:type="pct"/>
                  <w:vMerge w:val="restart"/>
                  <w:vAlign w:val="center"/>
                </w:tcPr>
                <w:p w14:paraId="7D7C4B38">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rPr>
                  </w:pPr>
                  <w:r>
                    <w:rPr>
                      <w:color w:val="auto"/>
                    </w:rPr>
                    <w:t>-</w:t>
                  </w:r>
                </w:p>
              </w:tc>
              <w:tc>
                <w:tcPr>
                  <w:tcW w:w="395" w:type="pct"/>
                  <w:vMerge w:val="restart"/>
                  <w:vAlign w:val="center"/>
                </w:tcPr>
                <w:p w14:paraId="2C9D8557">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rPr>
                  </w:pPr>
                  <w:r>
                    <w:rPr>
                      <w:color w:val="auto"/>
                    </w:rPr>
                    <w:t>环境影响报告表</w:t>
                  </w:r>
                </w:p>
              </w:tc>
              <w:tc>
                <w:tcPr>
                  <w:tcW w:w="401" w:type="pct"/>
                  <w:vMerge w:val="restart"/>
                  <w:vAlign w:val="center"/>
                </w:tcPr>
                <w:p w14:paraId="06A75D97">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rPr>
                  </w:pPr>
                  <w:r>
                    <w:rPr>
                      <w:color w:val="auto"/>
                    </w:rPr>
                    <w:t>环境影响报告表</w:t>
                  </w:r>
                </w:p>
              </w:tc>
            </w:tr>
            <w:tr w14:paraId="55B1B3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7" w:type="pct"/>
                  <w:shd w:val="clear" w:color="auto" w:fill="auto"/>
                  <w:vAlign w:val="center"/>
                </w:tcPr>
                <w:p w14:paraId="3F599D8E">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rPr>
                  </w:pPr>
                  <w:r>
                    <w:rPr>
                      <w:rFonts w:hint="eastAsia"/>
                      <w:color w:val="auto"/>
                    </w:rPr>
                    <w:t>C3821变压器、整流器和电感器制造</w:t>
                  </w:r>
                </w:p>
              </w:tc>
              <w:tc>
                <w:tcPr>
                  <w:tcW w:w="685" w:type="pct"/>
                  <w:vMerge w:val="continue"/>
                  <w:shd w:val="clear" w:color="auto" w:fill="auto"/>
                  <w:vAlign w:val="center"/>
                </w:tcPr>
                <w:p w14:paraId="31C1A599">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rPr>
                  </w:pPr>
                </w:p>
              </w:tc>
              <w:tc>
                <w:tcPr>
                  <w:tcW w:w="1086" w:type="pct"/>
                  <w:vMerge w:val="continue"/>
                  <w:shd w:val="clear" w:color="auto" w:fill="auto"/>
                  <w:vAlign w:val="center"/>
                </w:tcPr>
                <w:p w14:paraId="7B28AFC2">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rPr>
                  </w:pPr>
                </w:p>
              </w:tc>
              <w:tc>
                <w:tcPr>
                  <w:tcW w:w="1079" w:type="pct"/>
                  <w:vMerge w:val="continue"/>
                  <w:shd w:val="clear" w:color="auto" w:fill="auto"/>
                  <w:vAlign w:val="center"/>
                </w:tcPr>
                <w:p w14:paraId="171A192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rPr>
                  </w:pPr>
                </w:p>
              </w:tc>
              <w:tc>
                <w:tcPr>
                  <w:tcW w:w="504" w:type="pct"/>
                  <w:vMerge w:val="continue"/>
                  <w:vAlign w:val="center"/>
                </w:tcPr>
                <w:p w14:paraId="28EB6A81">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rPr>
                  </w:pPr>
                </w:p>
              </w:tc>
              <w:tc>
                <w:tcPr>
                  <w:tcW w:w="395" w:type="pct"/>
                  <w:vMerge w:val="continue"/>
                  <w:vAlign w:val="center"/>
                </w:tcPr>
                <w:p w14:paraId="3D04E4EF">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rPr>
                  </w:pPr>
                </w:p>
              </w:tc>
              <w:tc>
                <w:tcPr>
                  <w:tcW w:w="401" w:type="pct"/>
                  <w:vMerge w:val="continue"/>
                  <w:vAlign w:val="center"/>
                </w:tcPr>
                <w:p w14:paraId="4D58697A">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rPr>
                  </w:pPr>
                </w:p>
              </w:tc>
            </w:tr>
          </w:tbl>
          <w:p w14:paraId="6EF0E0F8">
            <w:pPr>
              <w:adjustRightInd w:val="0"/>
              <w:snapToGrid w:val="0"/>
              <w:spacing w:before="120" w:beforeLines="50" w:line="360" w:lineRule="auto"/>
              <w:ind w:firstLine="480" w:firstLineChars="200"/>
              <w:rPr>
                <w:color w:val="auto"/>
                <w:sz w:val="24"/>
              </w:rPr>
            </w:pPr>
            <w:r>
              <w:rPr>
                <w:rFonts w:hint="eastAsia"/>
                <w:color w:val="auto"/>
                <w:sz w:val="24"/>
              </w:rPr>
              <w:t>本项目</w:t>
            </w:r>
            <w:r>
              <w:rPr>
                <w:color w:val="auto"/>
                <w:sz w:val="24"/>
              </w:rPr>
              <w:t>为</w:t>
            </w:r>
            <w:r>
              <w:rPr>
                <w:rFonts w:hint="eastAsia"/>
                <w:color w:val="auto"/>
                <w:sz w:val="24"/>
              </w:rPr>
              <w:t>新型电机、变频器生产项目，</w:t>
            </w:r>
            <w:r>
              <w:rPr>
                <w:color w:val="auto"/>
                <w:sz w:val="24"/>
              </w:rPr>
              <w:t>不</w:t>
            </w:r>
            <w:r>
              <w:rPr>
                <w:rFonts w:hint="eastAsia"/>
                <w:color w:val="auto"/>
                <w:sz w:val="24"/>
              </w:rPr>
              <w:t>属于</w:t>
            </w:r>
            <w:r>
              <w:rPr>
                <w:color w:val="auto"/>
                <w:sz w:val="24"/>
              </w:rPr>
              <w:t>铅蓄电池</w:t>
            </w:r>
            <w:r>
              <w:rPr>
                <w:rFonts w:hint="eastAsia"/>
                <w:color w:val="auto"/>
                <w:sz w:val="24"/>
              </w:rPr>
              <w:t>、</w:t>
            </w:r>
            <w:r>
              <w:rPr>
                <w:color w:val="auto"/>
                <w:sz w:val="24"/>
              </w:rPr>
              <w:t>太阳能电池片</w:t>
            </w:r>
            <w:r>
              <w:rPr>
                <w:rFonts w:hint="eastAsia"/>
                <w:color w:val="auto"/>
                <w:sz w:val="24"/>
              </w:rPr>
              <w:t>生产</w:t>
            </w:r>
            <w:r>
              <w:rPr>
                <w:color w:val="auto"/>
                <w:sz w:val="24"/>
              </w:rPr>
              <w:t>，</w:t>
            </w:r>
            <w:r>
              <w:rPr>
                <w:rFonts w:hint="eastAsia"/>
                <w:color w:val="auto"/>
                <w:sz w:val="24"/>
              </w:rPr>
              <w:t>不涉及</w:t>
            </w:r>
            <w:r>
              <w:rPr>
                <w:color w:val="auto"/>
                <w:sz w:val="24"/>
              </w:rPr>
              <w:t>电镀工艺</w:t>
            </w:r>
            <w:r>
              <w:rPr>
                <w:rFonts w:hint="eastAsia"/>
                <w:color w:val="auto"/>
                <w:sz w:val="24"/>
              </w:rPr>
              <w:t>，</w:t>
            </w:r>
            <w:r>
              <w:rPr>
                <w:color w:val="auto"/>
                <w:sz w:val="24"/>
              </w:rPr>
              <w:t>不使用溶剂型涂料，生产工艺</w:t>
            </w:r>
            <w:r>
              <w:rPr>
                <w:rFonts w:hint="eastAsia"/>
                <w:color w:val="auto"/>
                <w:sz w:val="24"/>
                <w:lang w:eastAsia="zh-CN"/>
              </w:rPr>
              <w:t>包括分割、焊接、组装、机加工、高温老化等</w:t>
            </w:r>
            <w:r>
              <w:rPr>
                <w:color w:val="auto"/>
                <w:sz w:val="24"/>
              </w:rPr>
              <w:t>工序，因此，本项目</w:t>
            </w:r>
            <w:r>
              <w:rPr>
                <w:rFonts w:hint="eastAsia"/>
                <w:color w:val="auto"/>
                <w:sz w:val="24"/>
              </w:rPr>
              <w:t>属于</w:t>
            </w:r>
            <w:r>
              <w:rPr>
                <w:rFonts w:ascii="宋体" w:hAnsi="宋体"/>
                <w:color w:val="auto"/>
                <w:sz w:val="24"/>
              </w:rPr>
              <w:t>“</w:t>
            </w:r>
            <w:r>
              <w:rPr>
                <w:rFonts w:hint="eastAsia"/>
                <w:color w:val="auto"/>
                <w:kern w:val="0"/>
                <w:sz w:val="24"/>
              </w:rPr>
              <w:t>其他（仅分割、焊接、组装的除外，年用非溶剂型低VOCs含量涂料10吨以下的除外）</w:t>
            </w:r>
            <w:r>
              <w:rPr>
                <w:rFonts w:ascii="宋体" w:hAnsi="宋体"/>
                <w:color w:val="auto"/>
                <w:sz w:val="24"/>
              </w:rPr>
              <w:t>”</w:t>
            </w:r>
            <w:r>
              <w:rPr>
                <w:rFonts w:hint="eastAsia" w:ascii="宋体" w:hAnsi="宋体"/>
                <w:color w:val="auto"/>
                <w:sz w:val="24"/>
              </w:rPr>
              <w:t>，</w:t>
            </w:r>
            <w:r>
              <w:rPr>
                <w:color w:val="auto"/>
                <w:sz w:val="24"/>
              </w:rPr>
              <w:t>应编制报告表</w:t>
            </w:r>
            <w:r>
              <w:rPr>
                <w:rFonts w:hint="eastAsia"/>
                <w:color w:val="auto"/>
                <w:sz w:val="24"/>
              </w:rPr>
              <w:t>。</w:t>
            </w:r>
          </w:p>
          <w:p w14:paraId="5CEB97E4">
            <w:pPr>
              <w:adjustRightInd w:val="0"/>
              <w:snapToGrid w:val="0"/>
              <w:spacing w:line="360" w:lineRule="auto"/>
              <w:ind w:firstLine="480" w:firstLineChars="200"/>
              <w:rPr>
                <w:color w:val="auto"/>
                <w:sz w:val="24"/>
              </w:rPr>
            </w:pPr>
            <w:r>
              <w:rPr>
                <w:color w:val="auto"/>
                <w:sz w:val="24"/>
              </w:rPr>
              <w:t>根据《中华人民共和国环境保护法》（2014修订）、《中华人民共和国环境影响评价法》（2018年修正），凡实施对环境有影响的建设项目都必须执行环境影响评价制度。根据国家环境影响评价工作管理要求，我单位在接受</w:t>
            </w:r>
            <w:r>
              <w:rPr>
                <w:rFonts w:hint="eastAsia"/>
                <w:color w:val="auto"/>
                <w:sz w:val="24"/>
                <w:lang w:eastAsia="zh-CN"/>
              </w:rPr>
              <w:t>涟水杰特电气有限公司</w:t>
            </w:r>
            <w:r>
              <w:rPr>
                <w:color w:val="auto"/>
                <w:sz w:val="24"/>
              </w:rPr>
              <w:t>委托后，随即组织人员到项目建设场地及其周围进行了实地勘查与调研，收集了有关的工程资料，结合该企业提供的资料和项目的建设特点，依据有关环评技术规范，编制了本报告表</w:t>
            </w:r>
            <w:r>
              <w:rPr>
                <w:rFonts w:hint="eastAsia"/>
                <w:color w:val="auto"/>
                <w:sz w:val="24"/>
                <w:lang w:eastAsia="zh-CN"/>
              </w:rPr>
              <w:t>，提</w:t>
            </w:r>
            <w:r>
              <w:rPr>
                <w:color w:val="auto"/>
                <w:sz w:val="24"/>
              </w:rPr>
              <w:t>供管理部门审查。</w:t>
            </w:r>
          </w:p>
          <w:p w14:paraId="5C336311">
            <w:pPr>
              <w:tabs>
                <w:tab w:val="left" w:pos="3321"/>
              </w:tabs>
              <w:adjustRightInd w:val="0"/>
              <w:snapToGrid w:val="0"/>
              <w:spacing w:line="360" w:lineRule="auto"/>
              <w:ind w:firstLine="482" w:firstLineChars="200"/>
              <w:rPr>
                <w:b/>
                <w:color w:val="auto"/>
                <w:sz w:val="24"/>
              </w:rPr>
            </w:pPr>
            <w:r>
              <w:rPr>
                <w:b/>
                <w:color w:val="auto"/>
                <w:sz w:val="24"/>
              </w:rPr>
              <w:t>2.</w:t>
            </w:r>
            <w:r>
              <w:rPr>
                <w:rFonts w:hint="eastAsia"/>
                <w:b/>
                <w:color w:val="auto"/>
                <w:sz w:val="24"/>
              </w:rPr>
              <w:t>主要</w:t>
            </w:r>
            <w:r>
              <w:rPr>
                <w:b/>
                <w:color w:val="auto"/>
                <w:sz w:val="24"/>
              </w:rPr>
              <w:t>产品方案</w:t>
            </w:r>
          </w:p>
          <w:p w14:paraId="177F0CD1">
            <w:pPr>
              <w:tabs>
                <w:tab w:val="left" w:pos="3321"/>
              </w:tabs>
              <w:adjustRightInd w:val="0"/>
              <w:snapToGrid w:val="0"/>
              <w:spacing w:line="360" w:lineRule="auto"/>
              <w:ind w:firstLine="480" w:firstLineChars="200"/>
              <w:rPr>
                <w:color w:val="auto"/>
                <w:sz w:val="24"/>
              </w:rPr>
            </w:pPr>
            <w:r>
              <w:rPr>
                <w:color w:val="auto"/>
                <w:sz w:val="24"/>
              </w:rPr>
              <w:t>本项目产品方案如下表所示。</w:t>
            </w:r>
          </w:p>
          <w:p w14:paraId="734A6EFF">
            <w:pPr>
              <w:ind w:firstLine="482"/>
              <w:jc w:val="center"/>
              <w:rPr>
                <w:color w:val="auto"/>
                <w:sz w:val="24"/>
              </w:rPr>
            </w:pPr>
            <w:r>
              <w:rPr>
                <w:b/>
                <w:bCs/>
                <w:color w:val="auto"/>
                <w:sz w:val="24"/>
              </w:rPr>
              <w:t>表2-2 项目产品方案一览表</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37"/>
              <w:gridCol w:w="629"/>
              <w:gridCol w:w="1707"/>
              <w:gridCol w:w="2224"/>
              <w:gridCol w:w="2391"/>
              <w:gridCol w:w="1061"/>
            </w:tblGrid>
            <w:tr w14:paraId="3FE600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9" w:type="pct"/>
                  <w:tcBorders>
                    <w:tl2br w:val="nil"/>
                    <w:tr2bl w:val="nil"/>
                  </w:tcBorders>
                  <w:vAlign w:val="center"/>
                </w:tcPr>
                <w:p w14:paraId="6FDA4A91">
                  <w:pPr>
                    <w:keepNext w:val="0"/>
                    <w:keepLines w:val="0"/>
                    <w:pageBreakBefore w:val="0"/>
                    <w:kinsoku/>
                    <w:wordWrap/>
                    <w:overflowPunct/>
                    <w:topLinePunct w:val="0"/>
                    <w:autoSpaceDE/>
                    <w:autoSpaceDN/>
                    <w:bidi w:val="0"/>
                    <w:adjustRightInd w:val="0"/>
                    <w:snapToGrid w:val="0"/>
                    <w:ind w:firstLine="0"/>
                    <w:jc w:val="center"/>
                    <w:rPr>
                      <w:b/>
                      <w:bCs/>
                      <w:color w:val="auto"/>
                      <w:szCs w:val="21"/>
                    </w:rPr>
                  </w:pPr>
                  <w:r>
                    <w:rPr>
                      <w:b/>
                      <w:bCs/>
                      <w:color w:val="auto"/>
                      <w:szCs w:val="21"/>
                    </w:rPr>
                    <w:t>序号</w:t>
                  </w:r>
                </w:p>
              </w:tc>
              <w:tc>
                <w:tcPr>
                  <w:tcW w:w="1381" w:type="pct"/>
                  <w:gridSpan w:val="2"/>
                  <w:tcBorders>
                    <w:tl2br w:val="nil"/>
                    <w:tr2bl w:val="nil"/>
                  </w:tcBorders>
                  <w:vAlign w:val="center"/>
                </w:tcPr>
                <w:p w14:paraId="0E82D225">
                  <w:pPr>
                    <w:keepNext w:val="0"/>
                    <w:keepLines w:val="0"/>
                    <w:pageBreakBefore w:val="0"/>
                    <w:kinsoku/>
                    <w:wordWrap/>
                    <w:overflowPunct/>
                    <w:topLinePunct w:val="0"/>
                    <w:autoSpaceDE/>
                    <w:autoSpaceDN/>
                    <w:bidi w:val="0"/>
                    <w:adjustRightInd w:val="0"/>
                    <w:snapToGrid w:val="0"/>
                    <w:ind w:firstLine="0"/>
                    <w:jc w:val="center"/>
                    <w:rPr>
                      <w:b/>
                      <w:bCs/>
                      <w:color w:val="auto"/>
                      <w:szCs w:val="21"/>
                    </w:rPr>
                  </w:pPr>
                  <w:r>
                    <w:rPr>
                      <w:b/>
                      <w:bCs/>
                      <w:color w:val="auto"/>
                      <w:szCs w:val="21"/>
                    </w:rPr>
                    <w:t>产品名称</w:t>
                  </w:r>
                </w:p>
              </w:tc>
              <w:tc>
                <w:tcPr>
                  <w:tcW w:w="1315" w:type="pct"/>
                  <w:tcBorders>
                    <w:tl2br w:val="nil"/>
                    <w:tr2bl w:val="nil"/>
                  </w:tcBorders>
                  <w:vAlign w:val="center"/>
                </w:tcPr>
                <w:p w14:paraId="74DDA5B7">
                  <w:pPr>
                    <w:keepNext w:val="0"/>
                    <w:keepLines w:val="0"/>
                    <w:pageBreakBefore w:val="0"/>
                    <w:widowControl/>
                    <w:kinsoku/>
                    <w:wordWrap/>
                    <w:overflowPunct/>
                    <w:topLinePunct w:val="0"/>
                    <w:autoSpaceDE/>
                    <w:autoSpaceDN/>
                    <w:bidi w:val="0"/>
                    <w:adjustRightInd w:val="0"/>
                    <w:snapToGrid w:val="0"/>
                    <w:ind w:firstLine="0"/>
                    <w:jc w:val="center"/>
                    <w:textAlignment w:val="center"/>
                    <w:rPr>
                      <w:b/>
                      <w:bCs/>
                      <w:color w:val="auto"/>
                      <w:szCs w:val="21"/>
                    </w:rPr>
                  </w:pPr>
                  <w:r>
                    <w:rPr>
                      <w:rFonts w:hint="eastAsia"/>
                      <w:b/>
                      <w:bCs/>
                      <w:color w:val="auto"/>
                      <w:szCs w:val="21"/>
                    </w:rPr>
                    <w:t>产品规格</w:t>
                  </w:r>
                </w:p>
              </w:tc>
              <w:tc>
                <w:tcPr>
                  <w:tcW w:w="1414" w:type="pct"/>
                  <w:tcBorders>
                    <w:tl2br w:val="nil"/>
                    <w:tr2bl w:val="nil"/>
                  </w:tcBorders>
                  <w:vAlign w:val="center"/>
                </w:tcPr>
                <w:p w14:paraId="74E0750A">
                  <w:pPr>
                    <w:keepNext w:val="0"/>
                    <w:keepLines w:val="0"/>
                    <w:pageBreakBefore w:val="0"/>
                    <w:widowControl/>
                    <w:kinsoku/>
                    <w:wordWrap/>
                    <w:overflowPunct/>
                    <w:topLinePunct w:val="0"/>
                    <w:autoSpaceDE/>
                    <w:autoSpaceDN/>
                    <w:bidi w:val="0"/>
                    <w:adjustRightInd w:val="0"/>
                    <w:snapToGrid w:val="0"/>
                    <w:ind w:firstLine="0"/>
                    <w:jc w:val="center"/>
                    <w:textAlignment w:val="center"/>
                    <w:rPr>
                      <w:b/>
                      <w:bCs/>
                      <w:color w:val="auto"/>
                      <w:szCs w:val="21"/>
                    </w:rPr>
                  </w:pPr>
                  <w:r>
                    <w:rPr>
                      <w:b/>
                      <w:bCs/>
                      <w:color w:val="auto"/>
                      <w:szCs w:val="21"/>
                    </w:rPr>
                    <w:t>设计能力</w:t>
                  </w:r>
                </w:p>
              </w:tc>
              <w:tc>
                <w:tcPr>
                  <w:tcW w:w="628" w:type="pct"/>
                  <w:tcBorders>
                    <w:tl2br w:val="nil"/>
                    <w:tr2bl w:val="nil"/>
                  </w:tcBorders>
                  <w:vAlign w:val="center"/>
                </w:tcPr>
                <w:p w14:paraId="17C5DE13">
                  <w:pPr>
                    <w:keepNext w:val="0"/>
                    <w:keepLines w:val="0"/>
                    <w:pageBreakBefore w:val="0"/>
                    <w:widowControl/>
                    <w:kinsoku/>
                    <w:wordWrap/>
                    <w:overflowPunct/>
                    <w:topLinePunct w:val="0"/>
                    <w:autoSpaceDE/>
                    <w:autoSpaceDN/>
                    <w:bidi w:val="0"/>
                    <w:adjustRightInd w:val="0"/>
                    <w:snapToGrid w:val="0"/>
                    <w:ind w:firstLine="0"/>
                    <w:jc w:val="center"/>
                    <w:rPr>
                      <w:b/>
                      <w:bCs/>
                      <w:color w:val="auto"/>
                      <w:szCs w:val="21"/>
                    </w:rPr>
                  </w:pPr>
                  <w:r>
                    <w:rPr>
                      <w:b/>
                      <w:bCs/>
                      <w:color w:val="auto"/>
                      <w:szCs w:val="21"/>
                    </w:rPr>
                    <w:t>年工作时间</w:t>
                  </w:r>
                </w:p>
              </w:tc>
            </w:tr>
            <w:tr w14:paraId="43A7C1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9" w:type="pct"/>
                  <w:tcBorders>
                    <w:tl2br w:val="nil"/>
                    <w:tr2bl w:val="nil"/>
                  </w:tcBorders>
                  <w:vAlign w:val="center"/>
                </w:tcPr>
                <w:p w14:paraId="0BCE407A">
                  <w:pPr>
                    <w:keepNext w:val="0"/>
                    <w:keepLines w:val="0"/>
                    <w:pageBreakBefore w:val="0"/>
                    <w:kinsoku/>
                    <w:wordWrap/>
                    <w:overflowPunct/>
                    <w:topLinePunct w:val="0"/>
                    <w:autoSpaceDE/>
                    <w:autoSpaceDN/>
                    <w:bidi w:val="0"/>
                    <w:adjustRightInd w:val="0"/>
                    <w:snapToGrid w:val="0"/>
                    <w:ind w:firstLine="0"/>
                    <w:jc w:val="center"/>
                    <w:rPr>
                      <w:color w:val="auto"/>
                      <w:szCs w:val="21"/>
                    </w:rPr>
                  </w:pPr>
                  <w:r>
                    <w:rPr>
                      <w:color w:val="auto"/>
                      <w:szCs w:val="21"/>
                    </w:rPr>
                    <w:t>1</w:t>
                  </w:r>
                </w:p>
              </w:tc>
              <w:tc>
                <w:tcPr>
                  <w:tcW w:w="372" w:type="pct"/>
                  <w:vMerge w:val="restart"/>
                  <w:tcBorders>
                    <w:tl2br w:val="nil"/>
                    <w:tr2bl w:val="nil"/>
                  </w:tcBorders>
                  <w:vAlign w:val="center"/>
                </w:tcPr>
                <w:p w14:paraId="46B36D96">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电机</w:t>
                  </w:r>
                </w:p>
              </w:tc>
              <w:tc>
                <w:tcPr>
                  <w:tcW w:w="1009" w:type="pct"/>
                  <w:tcBorders>
                    <w:tl2br w:val="nil"/>
                    <w:tr2bl w:val="nil"/>
                  </w:tcBorders>
                  <w:vAlign w:val="center"/>
                </w:tcPr>
                <w:p w14:paraId="62897874">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永磁同步电机</w:t>
                  </w:r>
                </w:p>
              </w:tc>
              <w:tc>
                <w:tcPr>
                  <w:tcW w:w="1315" w:type="pct"/>
                  <w:tcBorders>
                    <w:tl2br w:val="nil"/>
                    <w:tr2bl w:val="nil"/>
                  </w:tcBorders>
                  <w:vAlign w:val="center"/>
                </w:tcPr>
                <w:p w14:paraId="2C9B12E1">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40kW/套</w:t>
                  </w:r>
                  <w:r>
                    <w:rPr>
                      <w:rFonts w:hint="eastAsia"/>
                      <w:color w:val="auto"/>
                    </w:rPr>
                    <w:t>等</w:t>
                  </w:r>
                </w:p>
              </w:tc>
              <w:tc>
                <w:tcPr>
                  <w:tcW w:w="1414" w:type="pct"/>
                  <w:tcBorders>
                    <w:tl2br w:val="nil"/>
                    <w:tr2bl w:val="nil"/>
                  </w:tcBorders>
                  <w:vAlign w:val="center"/>
                </w:tcPr>
                <w:p w14:paraId="68218463">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1.5万套/年</w:t>
                  </w:r>
                </w:p>
              </w:tc>
              <w:tc>
                <w:tcPr>
                  <w:tcW w:w="628" w:type="pct"/>
                  <w:vMerge w:val="restart"/>
                  <w:tcBorders>
                    <w:tl2br w:val="nil"/>
                    <w:tr2bl w:val="nil"/>
                  </w:tcBorders>
                  <w:vAlign w:val="center"/>
                </w:tcPr>
                <w:p w14:paraId="302DC35E">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r>
                    <w:rPr>
                      <w:rFonts w:hint="eastAsia"/>
                      <w:color w:val="auto"/>
                      <w:kern w:val="0"/>
                      <w:szCs w:val="21"/>
                    </w:rPr>
                    <w:t>2400</w:t>
                  </w:r>
                  <w:r>
                    <w:rPr>
                      <w:color w:val="auto"/>
                      <w:kern w:val="0"/>
                      <w:szCs w:val="21"/>
                    </w:rPr>
                    <w:t>h</w:t>
                  </w:r>
                </w:p>
              </w:tc>
            </w:tr>
            <w:tr w14:paraId="3D1A42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9" w:type="pct"/>
                  <w:tcBorders>
                    <w:tl2br w:val="nil"/>
                    <w:tr2bl w:val="nil"/>
                  </w:tcBorders>
                  <w:vAlign w:val="center"/>
                </w:tcPr>
                <w:p w14:paraId="2568EB73">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2</w:t>
                  </w:r>
                </w:p>
              </w:tc>
              <w:tc>
                <w:tcPr>
                  <w:tcW w:w="372" w:type="pct"/>
                  <w:vMerge w:val="continue"/>
                  <w:tcBorders>
                    <w:tl2br w:val="nil"/>
                    <w:tr2bl w:val="nil"/>
                  </w:tcBorders>
                  <w:vAlign w:val="center"/>
                </w:tcPr>
                <w:p w14:paraId="7DB36B9F">
                  <w:pPr>
                    <w:keepNext w:val="0"/>
                    <w:keepLines w:val="0"/>
                    <w:pageBreakBefore w:val="0"/>
                    <w:kinsoku/>
                    <w:wordWrap/>
                    <w:overflowPunct/>
                    <w:topLinePunct w:val="0"/>
                    <w:autoSpaceDE/>
                    <w:autoSpaceDN/>
                    <w:bidi w:val="0"/>
                    <w:adjustRightInd w:val="0"/>
                    <w:snapToGrid w:val="0"/>
                    <w:ind w:firstLine="0"/>
                    <w:jc w:val="center"/>
                    <w:rPr>
                      <w:color w:val="auto"/>
                      <w:szCs w:val="21"/>
                    </w:rPr>
                  </w:pPr>
                </w:p>
              </w:tc>
              <w:tc>
                <w:tcPr>
                  <w:tcW w:w="1009" w:type="pct"/>
                  <w:tcBorders>
                    <w:tl2br w:val="nil"/>
                    <w:tr2bl w:val="nil"/>
                  </w:tcBorders>
                  <w:vAlign w:val="center"/>
                </w:tcPr>
                <w:p w14:paraId="0077D08B">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伺服电机</w:t>
                  </w:r>
                </w:p>
              </w:tc>
              <w:tc>
                <w:tcPr>
                  <w:tcW w:w="1315" w:type="pct"/>
                  <w:tcBorders>
                    <w:tl2br w:val="nil"/>
                    <w:tr2bl w:val="nil"/>
                  </w:tcBorders>
                  <w:vAlign w:val="center"/>
                </w:tcPr>
                <w:p w14:paraId="067D1B7A">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50kW/套等</w:t>
                  </w:r>
                </w:p>
              </w:tc>
              <w:tc>
                <w:tcPr>
                  <w:tcW w:w="1414" w:type="pct"/>
                  <w:tcBorders>
                    <w:tl2br w:val="nil"/>
                    <w:tr2bl w:val="nil"/>
                  </w:tcBorders>
                  <w:vAlign w:val="center"/>
                </w:tcPr>
                <w:p w14:paraId="0177B807">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0.2万套/年</w:t>
                  </w:r>
                </w:p>
              </w:tc>
              <w:tc>
                <w:tcPr>
                  <w:tcW w:w="628" w:type="pct"/>
                  <w:vMerge w:val="continue"/>
                  <w:tcBorders>
                    <w:tl2br w:val="nil"/>
                    <w:tr2bl w:val="nil"/>
                  </w:tcBorders>
                  <w:vAlign w:val="center"/>
                </w:tcPr>
                <w:p w14:paraId="6753B515">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r>
            <w:tr w14:paraId="675438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9" w:type="pct"/>
                  <w:tcBorders>
                    <w:tl2br w:val="nil"/>
                    <w:tr2bl w:val="nil"/>
                  </w:tcBorders>
                  <w:vAlign w:val="center"/>
                </w:tcPr>
                <w:p w14:paraId="2BC0DEDA">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3</w:t>
                  </w:r>
                </w:p>
              </w:tc>
              <w:tc>
                <w:tcPr>
                  <w:tcW w:w="372" w:type="pct"/>
                  <w:vMerge w:val="continue"/>
                  <w:tcBorders>
                    <w:tl2br w:val="nil"/>
                    <w:tr2bl w:val="nil"/>
                  </w:tcBorders>
                  <w:vAlign w:val="center"/>
                </w:tcPr>
                <w:p w14:paraId="11DBC174">
                  <w:pPr>
                    <w:keepNext w:val="0"/>
                    <w:keepLines w:val="0"/>
                    <w:pageBreakBefore w:val="0"/>
                    <w:kinsoku/>
                    <w:wordWrap/>
                    <w:overflowPunct/>
                    <w:topLinePunct w:val="0"/>
                    <w:autoSpaceDE/>
                    <w:autoSpaceDN/>
                    <w:bidi w:val="0"/>
                    <w:adjustRightInd w:val="0"/>
                    <w:snapToGrid w:val="0"/>
                    <w:ind w:firstLine="0"/>
                    <w:jc w:val="center"/>
                    <w:rPr>
                      <w:color w:val="auto"/>
                      <w:szCs w:val="21"/>
                    </w:rPr>
                  </w:pPr>
                </w:p>
              </w:tc>
              <w:tc>
                <w:tcPr>
                  <w:tcW w:w="1009" w:type="pct"/>
                  <w:tcBorders>
                    <w:tl2br w:val="nil"/>
                    <w:tr2bl w:val="nil"/>
                  </w:tcBorders>
                  <w:vAlign w:val="center"/>
                </w:tcPr>
                <w:p w14:paraId="28731DF9">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直驱电机</w:t>
                  </w:r>
                </w:p>
              </w:tc>
              <w:tc>
                <w:tcPr>
                  <w:tcW w:w="1315" w:type="pct"/>
                  <w:tcBorders>
                    <w:tl2br w:val="nil"/>
                    <w:tr2bl w:val="nil"/>
                  </w:tcBorders>
                  <w:vAlign w:val="center"/>
                </w:tcPr>
                <w:p w14:paraId="7A279F50">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100kW/套等</w:t>
                  </w:r>
                </w:p>
              </w:tc>
              <w:tc>
                <w:tcPr>
                  <w:tcW w:w="1414" w:type="pct"/>
                  <w:tcBorders>
                    <w:tl2br w:val="nil"/>
                    <w:tr2bl w:val="nil"/>
                  </w:tcBorders>
                  <w:vAlign w:val="center"/>
                </w:tcPr>
                <w:p w14:paraId="6F26451E">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0.3万套/年</w:t>
                  </w:r>
                </w:p>
              </w:tc>
              <w:tc>
                <w:tcPr>
                  <w:tcW w:w="628" w:type="pct"/>
                  <w:vMerge w:val="continue"/>
                  <w:tcBorders>
                    <w:tl2br w:val="nil"/>
                    <w:tr2bl w:val="nil"/>
                  </w:tcBorders>
                  <w:vAlign w:val="center"/>
                </w:tcPr>
                <w:p w14:paraId="5646D676">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r>
            <w:tr w14:paraId="34ABDC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9" w:type="pct"/>
                  <w:tcBorders>
                    <w:tl2br w:val="nil"/>
                    <w:tr2bl w:val="nil"/>
                  </w:tcBorders>
                  <w:vAlign w:val="center"/>
                </w:tcPr>
                <w:p w14:paraId="0CED2A04">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4</w:t>
                  </w:r>
                </w:p>
              </w:tc>
              <w:tc>
                <w:tcPr>
                  <w:tcW w:w="1381" w:type="pct"/>
                  <w:gridSpan w:val="2"/>
                  <w:tcBorders>
                    <w:tl2br w:val="nil"/>
                    <w:tr2bl w:val="nil"/>
                  </w:tcBorders>
                  <w:vAlign w:val="center"/>
                </w:tcPr>
                <w:p w14:paraId="3155E798">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变频器</w:t>
                  </w:r>
                </w:p>
              </w:tc>
              <w:tc>
                <w:tcPr>
                  <w:tcW w:w="1315" w:type="pct"/>
                  <w:tcBorders>
                    <w:tl2br w:val="nil"/>
                    <w:tr2bl w:val="nil"/>
                  </w:tcBorders>
                  <w:vAlign w:val="center"/>
                </w:tcPr>
                <w:p w14:paraId="17B0C2F6">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w:t>
                  </w:r>
                </w:p>
              </w:tc>
              <w:tc>
                <w:tcPr>
                  <w:tcW w:w="1414" w:type="pct"/>
                  <w:tcBorders>
                    <w:tl2br w:val="nil"/>
                    <w:tr2bl w:val="nil"/>
                  </w:tcBorders>
                  <w:vAlign w:val="center"/>
                </w:tcPr>
                <w:p w14:paraId="4CF37648">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1万套/年</w:t>
                  </w:r>
                </w:p>
              </w:tc>
              <w:tc>
                <w:tcPr>
                  <w:tcW w:w="628" w:type="pct"/>
                  <w:vMerge w:val="continue"/>
                  <w:tcBorders>
                    <w:tl2br w:val="nil"/>
                    <w:tr2bl w:val="nil"/>
                  </w:tcBorders>
                  <w:vAlign w:val="center"/>
                </w:tcPr>
                <w:p w14:paraId="5E35B841">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r>
          </w:tbl>
          <w:p w14:paraId="190EE6B5">
            <w:pPr>
              <w:autoSpaceDE w:val="0"/>
              <w:autoSpaceDN w:val="0"/>
              <w:adjustRightInd w:val="0"/>
              <w:snapToGrid w:val="0"/>
              <w:spacing w:before="120" w:beforeLines="50" w:line="360" w:lineRule="auto"/>
              <w:ind w:left="105" w:leftChars="50" w:firstLine="482" w:firstLineChars="200"/>
              <w:rPr>
                <w:b/>
                <w:bCs/>
                <w:color w:val="auto"/>
                <w:sz w:val="24"/>
              </w:rPr>
            </w:pPr>
            <w:r>
              <w:rPr>
                <w:b/>
                <w:color w:val="auto"/>
                <w:sz w:val="24"/>
              </w:rPr>
              <w:t>3.</w:t>
            </w:r>
            <w:r>
              <w:rPr>
                <w:b/>
                <w:bCs/>
                <w:color w:val="auto"/>
                <w:sz w:val="24"/>
              </w:rPr>
              <w:t>建设项目设备情况</w:t>
            </w:r>
          </w:p>
          <w:p w14:paraId="0FE423CE">
            <w:pPr>
              <w:autoSpaceDE w:val="0"/>
              <w:autoSpaceDN w:val="0"/>
              <w:adjustRightInd w:val="0"/>
              <w:snapToGrid w:val="0"/>
              <w:spacing w:line="360" w:lineRule="auto"/>
              <w:ind w:firstLine="480" w:firstLineChars="200"/>
              <w:rPr>
                <w:color w:val="auto"/>
                <w:sz w:val="24"/>
              </w:rPr>
            </w:pPr>
            <w:r>
              <w:rPr>
                <w:color w:val="auto"/>
                <w:sz w:val="24"/>
              </w:rPr>
              <w:t>本项目主要生产设备情况见表2-</w:t>
            </w:r>
            <w:r>
              <w:rPr>
                <w:rFonts w:hint="eastAsia"/>
                <w:color w:val="auto"/>
                <w:sz w:val="24"/>
              </w:rPr>
              <w:t>3</w:t>
            </w:r>
            <w:r>
              <w:rPr>
                <w:color w:val="auto"/>
                <w:sz w:val="24"/>
              </w:rPr>
              <w:t>。</w:t>
            </w:r>
          </w:p>
          <w:p w14:paraId="64FB7FE9">
            <w:pPr>
              <w:adjustRightInd w:val="0"/>
              <w:snapToGrid w:val="0"/>
              <w:ind w:firstLine="482"/>
              <w:jc w:val="center"/>
              <w:rPr>
                <w:b/>
                <w:color w:val="auto"/>
                <w:sz w:val="24"/>
                <w:lang w:val="zh-CN"/>
              </w:rPr>
            </w:pPr>
            <w:r>
              <w:rPr>
                <w:rFonts w:hint="eastAsia"/>
                <w:b/>
                <w:color w:val="auto"/>
                <w:sz w:val="24"/>
                <w:lang w:val="zh-CN"/>
              </w:rPr>
              <w:t>表2-</w:t>
            </w:r>
            <w:r>
              <w:rPr>
                <w:rFonts w:hint="eastAsia"/>
                <w:b/>
                <w:color w:val="auto"/>
                <w:sz w:val="24"/>
              </w:rPr>
              <w:t>3</w:t>
            </w:r>
            <w:r>
              <w:rPr>
                <w:rFonts w:hint="eastAsia"/>
                <w:b/>
                <w:color w:val="auto"/>
                <w:sz w:val="24"/>
                <w:lang w:val="zh-CN"/>
              </w:rPr>
              <w:t>拟建项目主要生产设备一览表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6"/>
              <w:gridCol w:w="462"/>
              <w:gridCol w:w="2493"/>
              <w:gridCol w:w="1634"/>
              <w:gridCol w:w="1078"/>
              <w:gridCol w:w="2219"/>
            </w:tblGrid>
            <w:tr w14:paraId="1CFE8F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6" w:type="dxa"/>
                  <w:vMerge w:val="restart"/>
                  <w:tcBorders>
                    <w:tl2br w:val="nil"/>
                    <w:tr2bl w:val="nil"/>
                  </w:tcBorders>
                  <w:vAlign w:val="center"/>
                </w:tcPr>
                <w:p w14:paraId="42740926">
                  <w:pPr>
                    <w:keepNext w:val="0"/>
                    <w:keepLines w:val="0"/>
                    <w:pageBreakBefore w:val="0"/>
                    <w:widowControl w:val="0"/>
                    <w:kinsoku/>
                    <w:wordWrap/>
                    <w:overflowPunct/>
                    <w:topLinePunct w:val="0"/>
                    <w:autoSpaceDE/>
                    <w:autoSpaceDN/>
                    <w:bidi w:val="0"/>
                    <w:adjustRightInd w:val="0"/>
                    <w:snapToGrid w:val="0"/>
                    <w:spacing w:before="120" w:beforeLines="50"/>
                    <w:ind w:firstLine="0"/>
                    <w:jc w:val="center"/>
                    <w:textAlignment w:val="auto"/>
                    <w:rPr>
                      <w:b/>
                      <w:bCs/>
                      <w:color w:val="auto"/>
                      <w:szCs w:val="21"/>
                    </w:rPr>
                  </w:pPr>
                  <w:r>
                    <w:rPr>
                      <w:b/>
                      <w:bCs/>
                      <w:color w:val="auto"/>
                      <w:szCs w:val="21"/>
                    </w:rPr>
                    <w:t>序号</w:t>
                  </w:r>
                </w:p>
              </w:tc>
              <w:tc>
                <w:tcPr>
                  <w:tcW w:w="2955" w:type="dxa"/>
                  <w:gridSpan w:val="2"/>
                  <w:vMerge w:val="restart"/>
                  <w:tcBorders>
                    <w:tl2br w:val="nil"/>
                    <w:tr2bl w:val="nil"/>
                  </w:tcBorders>
                  <w:vAlign w:val="center"/>
                </w:tcPr>
                <w:p w14:paraId="0A5D22C9">
                  <w:pPr>
                    <w:keepNext w:val="0"/>
                    <w:keepLines w:val="0"/>
                    <w:pageBreakBefore w:val="0"/>
                    <w:widowControl w:val="0"/>
                    <w:kinsoku/>
                    <w:wordWrap/>
                    <w:overflowPunct/>
                    <w:topLinePunct w:val="0"/>
                    <w:autoSpaceDE/>
                    <w:autoSpaceDN/>
                    <w:bidi w:val="0"/>
                    <w:adjustRightInd w:val="0"/>
                    <w:snapToGrid w:val="0"/>
                    <w:spacing w:before="120" w:beforeLines="50"/>
                    <w:ind w:firstLine="0"/>
                    <w:jc w:val="center"/>
                    <w:textAlignment w:val="auto"/>
                    <w:rPr>
                      <w:b/>
                      <w:bCs/>
                      <w:color w:val="auto"/>
                      <w:szCs w:val="21"/>
                    </w:rPr>
                  </w:pPr>
                  <w:r>
                    <w:rPr>
                      <w:b/>
                      <w:bCs/>
                      <w:color w:val="auto"/>
                      <w:szCs w:val="21"/>
                    </w:rPr>
                    <w:t>设备名称</w:t>
                  </w:r>
                </w:p>
              </w:tc>
              <w:tc>
                <w:tcPr>
                  <w:tcW w:w="1634" w:type="dxa"/>
                  <w:vMerge w:val="restart"/>
                  <w:tcBorders>
                    <w:tl2br w:val="nil"/>
                    <w:tr2bl w:val="nil"/>
                  </w:tcBorders>
                  <w:vAlign w:val="center"/>
                </w:tcPr>
                <w:p w14:paraId="4AE39E4B">
                  <w:pPr>
                    <w:keepNext w:val="0"/>
                    <w:keepLines w:val="0"/>
                    <w:pageBreakBefore w:val="0"/>
                    <w:widowControl w:val="0"/>
                    <w:kinsoku/>
                    <w:wordWrap/>
                    <w:overflowPunct/>
                    <w:topLinePunct w:val="0"/>
                    <w:autoSpaceDE/>
                    <w:autoSpaceDN/>
                    <w:bidi w:val="0"/>
                    <w:adjustRightInd w:val="0"/>
                    <w:snapToGrid w:val="0"/>
                    <w:spacing w:before="120" w:beforeLines="50"/>
                    <w:ind w:firstLine="0"/>
                    <w:jc w:val="center"/>
                    <w:textAlignment w:val="auto"/>
                    <w:rPr>
                      <w:b/>
                      <w:bCs/>
                      <w:color w:val="auto"/>
                      <w:szCs w:val="21"/>
                    </w:rPr>
                  </w:pPr>
                  <w:r>
                    <w:rPr>
                      <w:b/>
                      <w:bCs/>
                      <w:color w:val="auto"/>
                      <w:szCs w:val="21"/>
                    </w:rPr>
                    <w:t>型号</w:t>
                  </w:r>
                </w:p>
              </w:tc>
              <w:tc>
                <w:tcPr>
                  <w:tcW w:w="1078" w:type="dxa"/>
                  <w:vMerge w:val="restart"/>
                  <w:tcBorders>
                    <w:tl2br w:val="nil"/>
                    <w:tr2bl w:val="nil"/>
                  </w:tcBorders>
                  <w:vAlign w:val="center"/>
                </w:tcPr>
                <w:p w14:paraId="4852F7A0">
                  <w:pPr>
                    <w:keepNext w:val="0"/>
                    <w:keepLines w:val="0"/>
                    <w:pageBreakBefore w:val="0"/>
                    <w:widowControl w:val="0"/>
                    <w:kinsoku/>
                    <w:wordWrap/>
                    <w:overflowPunct/>
                    <w:topLinePunct w:val="0"/>
                    <w:autoSpaceDE/>
                    <w:autoSpaceDN/>
                    <w:bidi w:val="0"/>
                    <w:adjustRightInd w:val="0"/>
                    <w:snapToGrid w:val="0"/>
                    <w:spacing w:before="120" w:beforeLines="50"/>
                    <w:ind w:firstLine="0"/>
                    <w:jc w:val="center"/>
                    <w:textAlignment w:val="auto"/>
                    <w:rPr>
                      <w:b/>
                      <w:bCs/>
                      <w:color w:val="auto"/>
                      <w:szCs w:val="21"/>
                    </w:rPr>
                  </w:pPr>
                  <w:r>
                    <w:rPr>
                      <w:b/>
                      <w:bCs/>
                      <w:color w:val="auto"/>
                      <w:szCs w:val="21"/>
                    </w:rPr>
                    <w:t>数量（台/套）</w:t>
                  </w:r>
                </w:p>
              </w:tc>
              <w:tc>
                <w:tcPr>
                  <w:tcW w:w="2219" w:type="dxa"/>
                  <w:vMerge w:val="restart"/>
                  <w:tcBorders>
                    <w:tl2br w:val="nil"/>
                    <w:tr2bl w:val="nil"/>
                  </w:tcBorders>
                  <w:vAlign w:val="center"/>
                </w:tcPr>
                <w:p w14:paraId="24C944D8">
                  <w:pPr>
                    <w:keepNext w:val="0"/>
                    <w:keepLines w:val="0"/>
                    <w:pageBreakBefore w:val="0"/>
                    <w:widowControl w:val="0"/>
                    <w:kinsoku/>
                    <w:wordWrap/>
                    <w:overflowPunct/>
                    <w:topLinePunct w:val="0"/>
                    <w:autoSpaceDE/>
                    <w:autoSpaceDN/>
                    <w:bidi w:val="0"/>
                    <w:adjustRightInd w:val="0"/>
                    <w:snapToGrid w:val="0"/>
                    <w:spacing w:before="120" w:beforeLines="50"/>
                    <w:ind w:firstLine="0"/>
                    <w:jc w:val="center"/>
                    <w:textAlignment w:val="auto"/>
                    <w:rPr>
                      <w:b/>
                      <w:bCs/>
                      <w:color w:val="auto"/>
                      <w:szCs w:val="21"/>
                    </w:rPr>
                  </w:pPr>
                  <w:r>
                    <w:rPr>
                      <w:b/>
                      <w:bCs/>
                      <w:color w:val="auto"/>
                      <w:szCs w:val="21"/>
                    </w:rPr>
                    <w:t>备注</w:t>
                  </w:r>
                </w:p>
              </w:tc>
            </w:tr>
            <w:tr w14:paraId="369711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566" w:type="dxa"/>
                  <w:vMerge w:val="continue"/>
                  <w:tcBorders>
                    <w:tl2br w:val="nil"/>
                    <w:tr2bl w:val="nil"/>
                  </w:tcBorders>
                  <w:vAlign w:val="center"/>
                </w:tcPr>
                <w:p w14:paraId="1814AD2A">
                  <w:pPr>
                    <w:keepNext w:val="0"/>
                    <w:keepLines w:val="0"/>
                    <w:pageBreakBefore w:val="0"/>
                    <w:widowControl w:val="0"/>
                    <w:kinsoku/>
                    <w:wordWrap/>
                    <w:overflowPunct/>
                    <w:topLinePunct w:val="0"/>
                    <w:autoSpaceDE/>
                    <w:autoSpaceDN/>
                    <w:bidi w:val="0"/>
                    <w:adjustRightInd w:val="0"/>
                    <w:snapToGrid w:val="0"/>
                    <w:spacing w:before="120" w:beforeLines="50"/>
                    <w:ind w:firstLine="0"/>
                    <w:jc w:val="center"/>
                    <w:textAlignment w:val="auto"/>
                    <w:rPr>
                      <w:b/>
                      <w:bCs/>
                      <w:color w:val="auto"/>
                      <w:szCs w:val="21"/>
                    </w:rPr>
                  </w:pPr>
                </w:p>
              </w:tc>
              <w:tc>
                <w:tcPr>
                  <w:tcW w:w="2955" w:type="dxa"/>
                  <w:gridSpan w:val="2"/>
                  <w:vMerge w:val="continue"/>
                  <w:tcBorders>
                    <w:tl2br w:val="nil"/>
                    <w:tr2bl w:val="nil"/>
                  </w:tcBorders>
                  <w:vAlign w:val="center"/>
                </w:tcPr>
                <w:p w14:paraId="58F70A0F">
                  <w:pPr>
                    <w:keepNext w:val="0"/>
                    <w:keepLines w:val="0"/>
                    <w:pageBreakBefore w:val="0"/>
                    <w:widowControl w:val="0"/>
                    <w:kinsoku/>
                    <w:wordWrap/>
                    <w:overflowPunct/>
                    <w:topLinePunct w:val="0"/>
                    <w:autoSpaceDE/>
                    <w:autoSpaceDN/>
                    <w:bidi w:val="0"/>
                    <w:adjustRightInd w:val="0"/>
                    <w:snapToGrid w:val="0"/>
                    <w:spacing w:before="120" w:beforeLines="50"/>
                    <w:ind w:firstLine="0"/>
                    <w:jc w:val="center"/>
                    <w:textAlignment w:val="auto"/>
                    <w:rPr>
                      <w:b/>
                      <w:bCs/>
                      <w:color w:val="auto"/>
                      <w:szCs w:val="21"/>
                    </w:rPr>
                  </w:pPr>
                </w:p>
              </w:tc>
              <w:tc>
                <w:tcPr>
                  <w:tcW w:w="1634" w:type="dxa"/>
                  <w:vMerge w:val="continue"/>
                  <w:tcBorders>
                    <w:tl2br w:val="nil"/>
                    <w:tr2bl w:val="nil"/>
                  </w:tcBorders>
                  <w:vAlign w:val="center"/>
                </w:tcPr>
                <w:p w14:paraId="40CD04AB">
                  <w:pPr>
                    <w:keepNext w:val="0"/>
                    <w:keepLines w:val="0"/>
                    <w:pageBreakBefore w:val="0"/>
                    <w:widowControl w:val="0"/>
                    <w:kinsoku/>
                    <w:wordWrap/>
                    <w:overflowPunct/>
                    <w:topLinePunct w:val="0"/>
                    <w:autoSpaceDE/>
                    <w:autoSpaceDN/>
                    <w:bidi w:val="0"/>
                    <w:adjustRightInd w:val="0"/>
                    <w:snapToGrid w:val="0"/>
                    <w:spacing w:before="120" w:beforeLines="50"/>
                    <w:ind w:firstLine="0"/>
                    <w:jc w:val="center"/>
                    <w:textAlignment w:val="auto"/>
                    <w:rPr>
                      <w:b/>
                      <w:bCs/>
                      <w:color w:val="auto"/>
                      <w:szCs w:val="21"/>
                    </w:rPr>
                  </w:pPr>
                </w:p>
              </w:tc>
              <w:tc>
                <w:tcPr>
                  <w:tcW w:w="1078" w:type="dxa"/>
                  <w:vMerge w:val="continue"/>
                  <w:tcBorders>
                    <w:tl2br w:val="nil"/>
                    <w:tr2bl w:val="nil"/>
                  </w:tcBorders>
                  <w:vAlign w:val="center"/>
                </w:tcPr>
                <w:p w14:paraId="40207230">
                  <w:pPr>
                    <w:keepNext w:val="0"/>
                    <w:keepLines w:val="0"/>
                    <w:pageBreakBefore w:val="0"/>
                    <w:widowControl w:val="0"/>
                    <w:kinsoku/>
                    <w:wordWrap/>
                    <w:overflowPunct/>
                    <w:topLinePunct w:val="0"/>
                    <w:autoSpaceDE/>
                    <w:autoSpaceDN/>
                    <w:bidi w:val="0"/>
                    <w:adjustRightInd w:val="0"/>
                    <w:snapToGrid w:val="0"/>
                    <w:spacing w:before="120" w:beforeLines="50"/>
                    <w:ind w:firstLine="0"/>
                    <w:jc w:val="center"/>
                    <w:textAlignment w:val="auto"/>
                    <w:rPr>
                      <w:b/>
                      <w:bCs/>
                      <w:color w:val="auto"/>
                      <w:szCs w:val="21"/>
                    </w:rPr>
                  </w:pPr>
                </w:p>
              </w:tc>
              <w:tc>
                <w:tcPr>
                  <w:tcW w:w="2219" w:type="dxa"/>
                  <w:vMerge w:val="continue"/>
                  <w:tcBorders>
                    <w:tl2br w:val="nil"/>
                    <w:tr2bl w:val="nil"/>
                  </w:tcBorders>
                  <w:vAlign w:val="center"/>
                </w:tcPr>
                <w:p w14:paraId="19B4198C">
                  <w:pPr>
                    <w:keepNext w:val="0"/>
                    <w:keepLines w:val="0"/>
                    <w:pageBreakBefore w:val="0"/>
                    <w:widowControl w:val="0"/>
                    <w:kinsoku/>
                    <w:wordWrap/>
                    <w:overflowPunct/>
                    <w:topLinePunct w:val="0"/>
                    <w:autoSpaceDE/>
                    <w:autoSpaceDN/>
                    <w:bidi w:val="0"/>
                    <w:adjustRightInd w:val="0"/>
                    <w:snapToGrid w:val="0"/>
                    <w:spacing w:before="120" w:beforeLines="50"/>
                    <w:ind w:firstLine="0"/>
                    <w:jc w:val="center"/>
                    <w:textAlignment w:val="auto"/>
                    <w:rPr>
                      <w:b/>
                      <w:bCs/>
                      <w:color w:val="auto"/>
                      <w:szCs w:val="21"/>
                    </w:rPr>
                  </w:pPr>
                </w:p>
              </w:tc>
            </w:tr>
            <w:tr w14:paraId="722067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6" w:type="dxa"/>
                  <w:tcBorders>
                    <w:tl2br w:val="nil"/>
                    <w:tr2bl w:val="nil"/>
                  </w:tcBorders>
                  <w:vAlign w:val="center"/>
                </w:tcPr>
                <w:p w14:paraId="7218A7E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1</w:t>
                  </w:r>
                </w:p>
              </w:tc>
              <w:tc>
                <w:tcPr>
                  <w:tcW w:w="462" w:type="dxa"/>
                  <w:vMerge w:val="restart"/>
                  <w:tcBorders>
                    <w:right w:val="single" w:color="000000" w:sz="4" w:space="0"/>
                    <w:tl2br w:val="nil"/>
                    <w:tr2bl w:val="nil"/>
                  </w:tcBorders>
                  <w:vAlign w:val="center"/>
                </w:tcPr>
                <w:p w14:paraId="1770510A">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电机</w:t>
                  </w:r>
                </w:p>
              </w:tc>
              <w:tc>
                <w:tcPr>
                  <w:tcW w:w="2493" w:type="dxa"/>
                  <w:tcBorders>
                    <w:left w:val="single" w:color="000000" w:sz="4" w:space="0"/>
                    <w:tl2br w:val="nil"/>
                    <w:tr2bl w:val="nil"/>
                  </w:tcBorders>
                  <w:shd w:val="clear" w:color="auto" w:fill="auto"/>
                  <w:vAlign w:val="center"/>
                </w:tcPr>
                <w:p w14:paraId="37641017">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电机组装线</w:t>
                  </w:r>
                </w:p>
              </w:tc>
              <w:tc>
                <w:tcPr>
                  <w:tcW w:w="1634" w:type="dxa"/>
                  <w:tcBorders>
                    <w:tl2br w:val="nil"/>
                    <w:tr2bl w:val="nil"/>
                  </w:tcBorders>
                  <w:vAlign w:val="center"/>
                </w:tcPr>
                <w:p w14:paraId="6BB25A3F">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180L-250M</w:t>
                  </w:r>
                </w:p>
              </w:tc>
              <w:tc>
                <w:tcPr>
                  <w:tcW w:w="1078" w:type="dxa"/>
                  <w:tcBorders>
                    <w:left w:val="single" w:color="auto" w:sz="4" w:space="0"/>
                    <w:tl2br w:val="nil"/>
                    <w:tr2bl w:val="nil"/>
                  </w:tcBorders>
                  <w:vAlign w:val="center"/>
                </w:tcPr>
                <w:p w14:paraId="1F264E39">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w:t>
                  </w:r>
                </w:p>
              </w:tc>
              <w:tc>
                <w:tcPr>
                  <w:tcW w:w="2219" w:type="dxa"/>
                  <w:tcBorders>
                    <w:tl2br w:val="nil"/>
                    <w:tr2bl w:val="nil"/>
                  </w:tcBorders>
                  <w:vAlign w:val="center"/>
                </w:tcPr>
                <w:p w14:paraId="72ED4FB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电机组装</w:t>
                  </w:r>
                </w:p>
              </w:tc>
            </w:tr>
            <w:tr w14:paraId="50F9E4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6" w:type="dxa"/>
                  <w:tcBorders>
                    <w:tl2br w:val="nil"/>
                    <w:tr2bl w:val="nil"/>
                  </w:tcBorders>
                  <w:vAlign w:val="center"/>
                </w:tcPr>
                <w:p w14:paraId="23EE018E">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2</w:t>
                  </w:r>
                </w:p>
              </w:tc>
              <w:tc>
                <w:tcPr>
                  <w:tcW w:w="462" w:type="dxa"/>
                  <w:vMerge w:val="continue"/>
                  <w:tcBorders>
                    <w:right w:val="single" w:color="000000" w:sz="4" w:space="0"/>
                    <w:tl2br w:val="nil"/>
                    <w:tr2bl w:val="nil"/>
                  </w:tcBorders>
                  <w:vAlign w:val="center"/>
                </w:tcPr>
                <w:p w14:paraId="743CABDB">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2493" w:type="dxa"/>
                  <w:tcBorders>
                    <w:left w:val="single" w:color="000000" w:sz="4" w:space="0"/>
                    <w:tl2br w:val="nil"/>
                    <w:tr2bl w:val="nil"/>
                  </w:tcBorders>
                  <w:shd w:val="clear" w:color="auto" w:fill="auto"/>
                  <w:vAlign w:val="center"/>
                </w:tcPr>
                <w:p w14:paraId="05398180">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电机组装线</w:t>
                  </w:r>
                </w:p>
              </w:tc>
              <w:tc>
                <w:tcPr>
                  <w:tcW w:w="1634" w:type="dxa"/>
                  <w:tcBorders>
                    <w:tl2br w:val="nil"/>
                    <w:tr2bl w:val="nil"/>
                  </w:tcBorders>
                  <w:vAlign w:val="center"/>
                </w:tcPr>
                <w:p w14:paraId="2B88B248">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90</w:t>
                  </w:r>
                  <w:r>
                    <w:rPr>
                      <w:rFonts w:hint="eastAsia"/>
                      <w:color w:val="auto"/>
                      <w:szCs w:val="21"/>
                      <w:lang w:eastAsia="zh-CN"/>
                    </w:rPr>
                    <w:t>—</w:t>
                  </w:r>
                  <w:r>
                    <w:rPr>
                      <w:color w:val="auto"/>
                      <w:szCs w:val="21"/>
                    </w:rPr>
                    <w:t>160L</w:t>
                  </w:r>
                </w:p>
              </w:tc>
              <w:tc>
                <w:tcPr>
                  <w:tcW w:w="1078" w:type="dxa"/>
                  <w:tcBorders>
                    <w:left w:val="single" w:color="auto" w:sz="4" w:space="0"/>
                    <w:tl2br w:val="nil"/>
                    <w:tr2bl w:val="nil"/>
                  </w:tcBorders>
                  <w:vAlign w:val="center"/>
                </w:tcPr>
                <w:p w14:paraId="4FD8405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w:t>
                  </w:r>
                </w:p>
              </w:tc>
              <w:tc>
                <w:tcPr>
                  <w:tcW w:w="2219" w:type="dxa"/>
                  <w:tcBorders>
                    <w:tl2br w:val="nil"/>
                    <w:tr2bl w:val="nil"/>
                  </w:tcBorders>
                  <w:vAlign w:val="center"/>
                </w:tcPr>
                <w:p w14:paraId="0DD33972">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电机组装</w:t>
                  </w:r>
                </w:p>
              </w:tc>
            </w:tr>
            <w:tr w14:paraId="396A4E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6" w:type="dxa"/>
                  <w:tcBorders>
                    <w:tl2br w:val="nil"/>
                    <w:tr2bl w:val="nil"/>
                  </w:tcBorders>
                  <w:vAlign w:val="center"/>
                </w:tcPr>
                <w:p w14:paraId="4EAD410C">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3</w:t>
                  </w:r>
                </w:p>
              </w:tc>
              <w:tc>
                <w:tcPr>
                  <w:tcW w:w="462" w:type="dxa"/>
                  <w:vMerge w:val="continue"/>
                  <w:tcBorders>
                    <w:right w:val="single" w:color="000000" w:sz="4" w:space="0"/>
                    <w:tl2br w:val="nil"/>
                    <w:tr2bl w:val="nil"/>
                  </w:tcBorders>
                  <w:vAlign w:val="center"/>
                </w:tcPr>
                <w:p w14:paraId="0E9B31ED">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2493" w:type="dxa"/>
                  <w:tcBorders>
                    <w:left w:val="single" w:color="000000" w:sz="4" w:space="0"/>
                    <w:tl2br w:val="nil"/>
                    <w:tr2bl w:val="nil"/>
                  </w:tcBorders>
                  <w:shd w:val="clear" w:color="auto" w:fill="auto"/>
                  <w:vAlign w:val="center"/>
                </w:tcPr>
                <w:p w14:paraId="6FBDD62E">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电机单工位组装线</w:t>
                  </w:r>
                </w:p>
              </w:tc>
              <w:tc>
                <w:tcPr>
                  <w:tcW w:w="1634" w:type="dxa"/>
                  <w:tcBorders>
                    <w:tl2br w:val="nil"/>
                    <w:tr2bl w:val="nil"/>
                  </w:tcBorders>
                  <w:vAlign w:val="center"/>
                </w:tcPr>
                <w:p w14:paraId="0F270A62">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1078" w:type="dxa"/>
                  <w:tcBorders>
                    <w:left w:val="single" w:color="auto" w:sz="4" w:space="0"/>
                    <w:tl2br w:val="nil"/>
                    <w:tr2bl w:val="nil"/>
                  </w:tcBorders>
                  <w:vAlign w:val="center"/>
                </w:tcPr>
                <w:p w14:paraId="1BA66FBD">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w:t>
                  </w:r>
                </w:p>
              </w:tc>
              <w:tc>
                <w:tcPr>
                  <w:tcW w:w="2219" w:type="dxa"/>
                  <w:tcBorders>
                    <w:tl2br w:val="nil"/>
                    <w:tr2bl w:val="nil"/>
                  </w:tcBorders>
                  <w:vAlign w:val="center"/>
                </w:tcPr>
                <w:p w14:paraId="189A5F4B">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电机组装</w:t>
                  </w:r>
                </w:p>
              </w:tc>
            </w:tr>
            <w:tr w14:paraId="2804F8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6" w:type="dxa"/>
                  <w:tcBorders>
                    <w:tl2br w:val="nil"/>
                    <w:tr2bl w:val="nil"/>
                  </w:tcBorders>
                  <w:vAlign w:val="center"/>
                </w:tcPr>
                <w:p w14:paraId="08EE3F44">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4</w:t>
                  </w:r>
                </w:p>
              </w:tc>
              <w:tc>
                <w:tcPr>
                  <w:tcW w:w="462" w:type="dxa"/>
                  <w:vMerge w:val="continue"/>
                  <w:tcBorders>
                    <w:right w:val="single" w:color="000000" w:sz="4" w:space="0"/>
                    <w:tl2br w:val="nil"/>
                    <w:tr2bl w:val="nil"/>
                  </w:tcBorders>
                  <w:vAlign w:val="center"/>
                </w:tcPr>
                <w:p w14:paraId="2B8AD6A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2493" w:type="dxa"/>
                  <w:tcBorders>
                    <w:left w:val="single" w:color="000000" w:sz="4" w:space="0"/>
                    <w:tl2br w:val="nil"/>
                    <w:tr2bl w:val="nil"/>
                  </w:tcBorders>
                  <w:shd w:val="clear" w:color="auto" w:fill="auto"/>
                  <w:vAlign w:val="center"/>
                </w:tcPr>
                <w:p w14:paraId="5E5E830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电机喷漆生产线</w:t>
                  </w:r>
                </w:p>
              </w:tc>
              <w:tc>
                <w:tcPr>
                  <w:tcW w:w="1634" w:type="dxa"/>
                  <w:tcBorders>
                    <w:tl2br w:val="nil"/>
                    <w:tr2bl w:val="nil"/>
                  </w:tcBorders>
                  <w:vAlign w:val="center"/>
                </w:tcPr>
                <w:p w14:paraId="668E83BE">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1078" w:type="dxa"/>
                  <w:tcBorders>
                    <w:left w:val="single" w:color="auto" w:sz="4" w:space="0"/>
                    <w:tl2br w:val="nil"/>
                    <w:tr2bl w:val="nil"/>
                  </w:tcBorders>
                  <w:vAlign w:val="center"/>
                </w:tcPr>
                <w:p w14:paraId="6F45C9CA">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w:t>
                  </w:r>
                </w:p>
              </w:tc>
              <w:tc>
                <w:tcPr>
                  <w:tcW w:w="2219" w:type="dxa"/>
                  <w:tcBorders>
                    <w:tl2br w:val="nil"/>
                    <w:tr2bl w:val="nil"/>
                  </w:tcBorders>
                  <w:vAlign w:val="center"/>
                </w:tcPr>
                <w:p w14:paraId="03A9767E">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Cs w:val="21"/>
                      <w:lang w:eastAsia="zh-CN"/>
                    </w:rPr>
                  </w:pPr>
                  <w:r>
                    <w:rPr>
                      <w:color w:val="auto"/>
                      <w:szCs w:val="21"/>
                    </w:rPr>
                    <w:t>电机</w:t>
                  </w:r>
                  <w:r>
                    <w:rPr>
                      <w:rFonts w:hint="eastAsia"/>
                      <w:color w:val="auto"/>
                      <w:szCs w:val="21"/>
                      <w:lang w:eastAsia="zh-CN"/>
                    </w:rPr>
                    <w:t>喷漆</w:t>
                  </w:r>
                </w:p>
              </w:tc>
            </w:tr>
            <w:tr w14:paraId="78BD49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6" w:type="dxa"/>
                  <w:tcBorders>
                    <w:tl2br w:val="nil"/>
                    <w:tr2bl w:val="nil"/>
                  </w:tcBorders>
                  <w:vAlign w:val="center"/>
                </w:tcPr>
                <w:p w14:paraId="3C95240F">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5</w:t>
                  </w:r>
                </w:p>
              </w:tc>
              <w:tc>
                <w:tcPr>
                  <w:tcW w:w="462" w:type="dxa"/>
                  <w:vMerge w:val="continue"/>
                  <w:tcBorders>
                    <w:right w:val="single" w:color="000000" w:sz="4" w:space="0"/>
                    <w:tl2br w:val="nil"/>
                    <w:tr2bl w:val="nil"/>
                  </w:tcBorders>
                  <w:vAlign w:val="center"/>
                </w:tcPr>
                <w:p w14:paraId="2C3A29F4">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2493" w:type="dxa"/>
                  <w:tcBorders>
                    <w:left w:val="single" w:color="000000" w:sz="4" w:space="0"/>
                    <w:tl2br w:val="nil"/>
                    <w:tr2bl w:val="nil"/>
                  </w:tcBorders>
                  <w:shd w:val="clear" w:color="auto" w:fill="auto"/>
                  <w:vAlign w:val="center"/>
                </w:tcPr>
                <w:p w14:paraId="16021A72">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定子真空浸漆系统</w:t>
                  </w:r>
                </w:p>
              </w:tc>
              <w:tc>
                <w:tcPr>
                  <w:tcW w:w="1634" w:type="dxa"/>
                  <w:tcBorders>
                    <w:tl2br w:val="nil"/>
                    <w:tr2bl w:val="nil"/>
                  </w:tcBorders>
                  <w:vAlign w:val="center"/>
                </w:tcPr>
                <w:p w14:paraId="0946B267">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1078" w:type="dxa"/>
                  <w:tcBorders>
                    <w:left w:val="single" w:color="auto" w:sz="4" w:space="0"/>
                    <w:tl2br w:val="nil"/>
                    <w:tr2bl w:val="nil"/>
                  </w:tcBorders>
                  <w:vAlign w:val="center"/>
                </w:tcPr>
                <w:p w14:paraId="591D01C3">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w:t>
                  </w:r>
                </w:p>
              </w:tc>
              <w:tc>
                <w:tcPr>
                  <w:tcW w:w="2219" w:type="dxa"/>
                  <w:tcBorders>
                    <w:tl2br w:val="nil"/>
                    <w:tr2bl w:val="nil"/>
                  </w:tcBorders>
                  <w:vAlign w:val="center"/>
                </w:tcPr>
                <w:p w14:paraId="5AC18F01">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Cs w:val="21"/>
                      <w:lang w:eastAsia="zh-CN"/>
                    </w:rPr>
                  </w:pPr>
                  <w:r>
                    <w:rPr>
                      <w:color w:val="auto"/>
                      <w:szCs w:val="21"/>
                    </w:rPr>
                    <w:t>定子浸漆</w:t>
                  </w:r>
                </w:p>
              </w:tc>
            </w:tr>
            <w:tr w14:paraId="788F1E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6" w:type="dxa"/>
                  <w:tcBorders>
                    <w:tl2br w:val="nil"/>
                    <w:tr2bl w:val="nil"/>
                  </w:tcBorders>
                  <w:shd w:val="clear" w:color="auto" w:fill="auto"/>
                  <w:vAlign w:val="center"/>
                </w:tcPr>
                <w:p w14:paraId="56394F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kern w:val="2"/>
                      <w:sz w:val="21"/>
                      <w:szCs w:val="21"/>
                      <w:lang w:val="en-US" w:eastAsia="zh-CN" w:bidi="ar-SA"/>
                    </w:rPr>
                  </w:pPr>
                  <w:r>
                    <w:rPr>
                      <w:color w:val="auto"/>
                      <w:szCs w:val="21"/>
                    </w:rPr>
                    <w:t>6</w:t>
                  </w:r>
                </w:p>
              </w:tc>
              <w:tc>
                <w:tcPr>
                  <w:tcW w:w="462" w:type="dxa"/>
                  <w:vMerge w:val="continue"/>
                  <w:tcBorders>
                    <w:right w:val="single" w:color="000000" w:sz="4" w:space="0"/>
                    <w:tl2br w:val="nil"/>
                    <w:tr2bl w:val="nil"/>
                  </w:tcBorders>
                  <w:vAlign w:val="center"/>
                </w:tcPr>
                <w:p w14:paraId="70676BA3">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2493" w:type="dxa"/>
                  <w:tcBorders>
                    <w:left w:val="single" w:color="000000" w:sz="4" w:space="0"/>
                    <w:tl2br w:val="nil"/>
                    <w:tr2bl w:val="nil"/>
                  </w:tcBorders>
                  <w:shd w:val="clear" w:color="auto" w:fill="auto"/>
                  <w:vAlign w:val="center"/>
                </w:tcPr>
                <w:p w14:paraId="4A4B950D">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Cs w:val="21"/>
                      <w:lang w:eastAsia="zh-CN"/>
                    </w:rPr>
                  </w:pPr>
                  <w:r>
                    <w:rPr>
                      <w:rFonts w:hint="eastAsia"/>
                      <w:color w:val="auto"/>
                      <w:szCs w:val="21"/>
                      <w:lang w:eastAsia="zh-CN"/>
                    </w:rPr>
                    <w:t>热风烘干机</w:t>
                  </w:r>
                </w:p>
              </w:tc>
              <w:tc>
                <w:tcPr>
                  <w:tcW w:w="1634" w:type="dxa"/>
                  <w:tcBorders>
                    <w:tl2br w:val="nil"/>
                    <w:tr2bl w:val="nil"/>
                  </w:tcBorders>
                  <w:vAlign w:val="center"/>
                </w:tcPr>
                <w:p w14:paraId="0B3E10C5">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Cs w:val="21"/>
                      <w:lang w:val="en-US" w:eastAsia="zh-CN"/>
                    </w:rPr>
                  </w:pPr>
                  <w:r>
                    <w:rPr>
                      <w:rFonts w:hint="eastAsia"/>
                      <w:color w:val="auto"/>
                      <w:szCs w:val="21"/>
                      <w:lang w:val="en-US" w:eastAsia="zh-CN"/>
                    </w:rPr>
                    <w:t>/</w:t>
                  </w:r>
                </w:p>
              </w:tc>
              <w:tc>
                <w:tcPr>
                  <w:tcW w:w="1078" w:type="dxa"/>
                  <w:tcBorders>
                    <w:left w:val="single" w:color="auto" w:sz="4" w:space="0"/>
                    <w:tl2br w:val="nil"/>
                    <w:tr2bl w:val="nil"/>
                  </w:tcBorders>
                  <w:vAlign w:val="center"/>
                </w:tcPr>
                <w:p w14:paraId="4B225150">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Cs w:val="21"/>
                      <w:lang w:val="en-US" w:eastAsia="zh-CN"/>
                    </w:rPr>
                  </w:pPr>
                  <w:r>
                    <w:rPr>
                      <w:rFonts w:hint="eastAsia"/>
                      <w:color w:val="auto"/>
                      <w:szCs w:val="21"/>
                      <w:lang w:val="en-US" w:eastAsia="zh-CN"/>
                    </w:rPr>
                    <w:t>2</w:t>
                  </w:r>
                </w:p>
              </w:tc>
              <w:tc>
                <w:tcPr>
                  <w:tcW w:w="2219" w:type="dxa"/>
                  <w:tcBorders>
                    <w:tl2br w:val="nil"/>
                    <w:tr2bl w:val="nil"/>
                  </w:tcBorders>
                  <w:vAlign w:val="center"/>
                </w:tcPr>
                <w:p w14:paraId="48F5C7C0">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Cs w:val="21"/>
                      <w:lang w:eastAsia="zh-CN"/>
                    </w:rPr>
                  </w:pPr>
                  <w:r>
                    <w:rPr>
                      <w:rFonts w:hint="eastAsia"/>
                      <w:color w:val="auto"/>
                      <w:szCs w:val="21"/>
                      <w:lang w:eastAsia="zh-CN"/>
                    </w:rPr>
                    <w:t>烘干</w:t>
                  </w:r>
                </w:p>
              </w:tc>
            </w:tr>
            <w:tr w14:paraId="1DF71F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6" w:type="dxa"/>
                  <w:tcBorders>
                    <w:tl2br w:val="nil"/>
                    <w:tr2bl w:val="nil"/>
                  </w:tcBorders>
                  <w:shd w:val="clear" w:color="auto" w:fill="auto"/>
                  <w:vAlign w:val="center"/>
                </w:tcPr>
                <w:p w14:paraId="6DB7A0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kern w:val="2"/>
                      <w:sz w:val="21"/>
                      <w:szCs w:val="21"/>
                      <w:lang w:val="en-US" w:eastAsia="zh-CN" w:bidi="ar-SA"/>
                    </w:rPr>
                  </w:pPr>
                  <w:r>
                    <w:rPr>
                      <w:color w:val="auto"/>
                      <w:szCs w:val="21"/>
                    </w:rPr>
                    <w:t>7</w:t>
                  </w:r>
                </w:p>
              </w:tc>
              <w:tc>
                <w:tcPr>
                  <w:tcW w:w="462" w:type="dxa"/>
                  <w:vMerge w:val="continue"/>
                  <w:tcBorders>
                    <w:right w:val="single" w:color="000000" w:sz="4" w:space="0"/>
                    <w:tl2br w:val="nil"/>
                    <w:tr2bl w:val="nil"/>
                  </w:tcBorders>
                  <w:vAlign w:val="center"/>
                </w:tcPr>
                <w:p w14:paraId="7B94A30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2493" w:type="dxa"/>
                  <w:tcBorders>
                    <w:left w:val="single" w:color="000000" w:sz="4" w:space="0"/>
                    <w:tl2br w:val="nil"/>
                    <w:tr2bl w:val="nil"/>
                  </w:tcBorders>
                  <w:shd w:val="clear" w:color="auto" w:fill="auto"/>
                  <w:vAlign w:val="center"/>
                </w:tcPr>
                <w:p w14:paraId="2183A0B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高速冲床</w:t>
                  </w:r>
                </w:p>
              </w:tc>
              <w:tc>
                <w:tcPr>
                  <w:tcW w:w="1634" w:type="dxa"/>
                  <w:tcBorders>
                    <w:tl2br w:val="nil"/>
                    <w:tr2bl w:val="nil"/>
                  </w:tcBorders>
                  <w:vAlign w:val="center"/>
                </w:tcPr>
                <w:p w14:paraId="49C3B319">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400T</w:t>
                  </w:r>
                </w:p>
              </w:tc>
              <w:tc>
                <w:tcPr>
                  <w:tcW w:w="1078" w:type="dxa"/>
                  <w:tcBorders>
                    <w:left w:val="single" w:color="auto" w:sz="4" w:space="0"/>
                    <w:tl2br w:val="nil"/>
                    <w:tr2bl w:val="nil"/>
                  </w:tcBorders>
                  <w:vAlign w:val="center"/>
                </w:tcPr>
                <w:p w14:paraId="7E0E1EDB">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w:t>
                  </w:r>
                </w:p>
              </w:tc>
              <w:tc>
                <w:tcPr>
                  <w:tcW w:w="2219" w:type="dxa"/>
                  <w:tcBorders>
                    <w:tl2br w:val="nil"/>
                    <w:tr2bl w:val="nil"/>
                  </w:tcBorders>
                  <w:vAlign w:val="center"/>
                </w:tcPr>
                <w:p w14:paraId="5B9F7B4A">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Cs w:val="21"/>
                      <w:lang w:eastAsia="zh-CN"/>
                    </w:rPr>
                  </w:pPr>
                  <w:r>
                    <w:rPr>
                      <w:color w:val="auto"/>
                      <w:szCs w:val="21"/>
                    </w:rPr>
                    <w:t>定、转子冲片</w:t>
                  </w:r>
                  <w:r>
                    <w:rPr>
                      <w:rFonts w:hint="eastAsia"/>
                      <w:color w:val="auto"/>
                      <w:szCs w:val="21"/>
                      <w:lang w:eastAsia="zh-CN"/>
                    </w:rPr>
                    <w:t>机加工</w:t>
                  </w:r>
                </w:p>
              </w:tc>
            </w:tr>
            <w:tr w14:paraId="0CA9C0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6" w:type="dxa"/>
                  <w:tcBorders>
                    <w:tl2br w:val="nil"/>
                    <w:tr2bl w:val="nil"/>
                  </w:tcBorders>
                  <w:shd w:val="clear" w:color="auto" w:fill="auto"/>
                  <w:vAlign w:val="center"/>
                </w:tcPr>
                <w:p w14:paraId="1CD90B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kern w:val="2"/>
                      <w:sz w:val="21"/>
                      <w:szCs w:val="21"/>
                      <w:lang w:val="en-US" w:eastAsia="zh-CN" w:bidi="ar-SA"/>
                    </w:rPr>
                  </w:pPr>
                  <w:r>
                    <w:rPr>
                      <w:color w:val="auto"/>
                      <w:szCs w:val="21"/>
                    </w:rPr>
                    <w:t>8</w:t>
                  </w:r>
                </w:p>
              </w:tc>
              <w:tc>
                <w:tcPr>
                  <w:tcW w:w="462" w:type="dxa"/>
                  <w:vMerge w:val="continue"/>
                  <w:tcBorders>
                    <w:right w:val="single" w:color="000000" w:sz="4" w:space="0"/>
                    <w:tl2br w:val="nil"/>
                    <w:tr2bl w:val="nil"/>
                  </w:tcBorders>
                  <w:vAlign w:val="center"/>
                </w:tcPr>
                <w:p w14:paraId="5FE08EA7">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2493" w:type="dxa"/>
                  <w:tcBorders>
                    <w:left w:val="single" w:color="000000" w:sz="4" w:space="0"/>
                    <w:tl2br w:val="nil"/>
                    <w:tr2bl w:val="nil"/>
                  </w:tcBorders>
                  <w:shd w:val="clear" w:color="auto" w:fill="auto"/>
                  <w:vAlign w:val="center"/>
                </w:tcPr>
                <w:p w14:paraId="10B52071">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高速冲床</w:t>
                  </w:r>
                </w:p>
              </w:tc>
              <w:tc>
                <w:tcPr>
                  <w:tcW w:w="1634" w:type="dxa"/>
                  <w:tcBorders>
                    <w:tl2br w:val="nil"/>
                    <w:tr2bl w:val="nil"/>
                  </w:tcBorders>
                  <w:vAlign w:val="center"/>
                </w:tcPr>
                <w:p w14:paraId="48A42125">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315T</w:t>
                  </w:r>
                </w:p>
              </w:tc>
              <w:tc>
                <w:tcPr>
                  <w:tcW w:w="1078" w:type="dxa"/>
                  <w:tcBorders>
                    <w:left w:val="single" w:color="auto" w:sz="4" w:space="0"/>
                    <w:tl2br w:val="nil"/>
                    <w:tr2bl w:val="nil"/>
                  </w:tcBorders>
                  <w:vAlign w:val="center"/>
                </w:tcPr>
                <w:p w14:paraId="7148902A">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w:t>
                  </w:r>
                </w:p>
              </w:tc>
              <w:tc>
                <w:tcPr>
                  <w:tcW w:w="2219" w:type="dxa"/>
                  <w:tcBorders>
                    <w:tl2br w:val="nil"/>
                    <w:tr2bl w:val="nil"/>
                  </w:tcBorders>
                  <w:vAlign w:val="center"/>
                </w:tcPr>
                <w:p w14:paraId="6888FE14">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定、转子冲片</w:t>
                  </w:r>
                  <w:r>
                    <w:rPr>
                      <w:rFonts w:hint="eastAsia"/>
                      <w:color w:val="auto"/>
                      <w:szCs w:val="21"/>
                      <w:lang w:eastAsia="zh-CN"/>
                    </w:rPr>
                    <w:t>机加工</w:t>
                  </w:r>
                </w:p>
              </w:tc>
            </w:tr>
            <w:tr w14:paraId="11F362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6" w:type="dxa"/>
                  <w:tcBorders>
                    <w:tl2br w:val="nil"/>
                    <w:tr2bl w:val="nil"/>
                  </w:tcBorders>
                  <w:shd w:val="clear" w:color="auto" w:fill="auto"/>
                  <w:vAlign w:val="center"/>
                </w:tcPr>
                <w:p w14:paraId="2BC1E9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kern w:val="2"/>
                      <w:sz w:val="21"/>
                      <w:szCs w:val="21"/>
                      <w:lang w:val="en-US" w:eastAsia="zh-CN" w:bidi="ar-SA"/>
                    </w:rPr>
                  </w:pPr>
                  <w:r>
                    <w:rPr>
                      <w:color w:val="auto"/>
                      <w:szCs w:val="21"/>
                    </w:rPr>
                    <w:t>9</w:t>
                  </w:r>
                </w:p>
              </w:tc>
              <w:tc>
                <w:tcPr>
                  <w:tcW w:w="462" w:type="dxa"/>
                  <w:vMerge w:val="continue"/>
                  <w:tcBorders>
                    <w:right w:val="single" w:color="000000" w:sz="4" w:space="0"/>
                    <w:tl2br w:val="nil"/>
                    <w:tr2bl w:val="nil"/>
                  </w:tcBorders>
                  <w:vAlign w:val="center"/>
                </w:tcPr>
                <w:p w14:paraId="5B3409E5">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2493" w:type="dxa"/>
                  <w:tcBorders>
                    <w:left w:val="single" w:color="000000" w:sz="4" w:space="0"/>
                    <w:tl2br w:val="nil"/>
                    <w:tr2bl w:val="nil"/>
                  </w:tcBorders>
                  <w:shd w:val="clear" w:color="auto" w:fill="auto"/>
                  <w:vAlign w:val="center"/>
                </w:tcPr>
                <w:p w14:paraId="28FBD337">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高速冲床</w:t>
                  </w:r>
                </w:p>
              </w:tc>
              <w:tc>
                <w:tcPr>
                  <w:tcW w:w="1634" w:type="dxa"/>
                  <w:tcBorders>
                    <w:tl2br w:val="nil"/>
                    <w:tr2bl w:val="nil"/>
                  </w:tcBorders>
                  <w:vAlign w:val="center"/>
                </w:tcPr>
                <w:p w14:paraId="4984A362">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250T</w:t>
                  </w:r>
                </w:p>
              </w:tc>
              <w:tc>
                <w:tcPr>
                  <w:tcW w:w="1078" w:type="dxa"/>
                  <w:tcBorders>
                    <w:left w:val="single" w:color="auto" w:sz="4" w:space="0"/>
                    <w:tl2br w:val="nil"/>
                    <w:tr2bl w:val="nil"/>
                  </w:tcBorders>
                  <w:vAlign w:val="center"/>
                </w:tcPr>
                <w:p w14:paraId="3632519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w:t>
                  </w:r>
                </w:p>
              </w:tc>
              <w:tc>
                <w:tcPr>
                  <w:tcW w:w="2219" w:type="dxa"/>
                  <w:tcBorders>
                    <w:tl2br w:val="nil"/>
                    <w:tr2bl w:val="nil"/>
                  </w:tcBorders>
                  <w:vAlign w:val="center"/>
                </w:tcPr>
                <w:p w14:paraId="0A25DF19">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定、转子冲片</w:t>
                  </w:r>
                  <w:r>
                    <w:rPr>
                      <w:rFonts w:hint="eastAsia"/>
                      <w:color w:val="auto"/>
                      <w:szCs w:val="21"/>
                      <w:lang w:eastAsia="zh-CN"/>
                    </w:rPr>
                    <w:t>机加工</w:t>
                  </w:r>
                </w:p>
              </w:tc>
            </w:tr>
            <w:tr w14:paraId="4D7498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6" w:type="dxa"/>
                  <w:tcBorders>
                    <w:tl2br w:val="nil"/>
                    <w:tr2bl w:val="nil"/>
                  </w:tcBorders>
                  <w:shd w:val="clear" w:color="auto" w:fill="auto"/>
                  <w:vAlign w:val="center"/>
                </w:tcPr>
                <w:p w14:paraId="169758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kern w:val="2"/>
                      <w:sz w:val="21"/>
                      <w:szCs w:val="21"/>
                      <w:lang w:val="en-US" w:eastAsia="zh-CN" w:bidi="ar-SA"/>
                    </w:rPr>
                  </w:pPr>
                  <w:r>
                    <w:rPr>
                      <w:color w:val="auto"/>
                      <w:szCs w:val="21"/>
                    </w:rPr>
                    <w:t>10</w:t>
                  </w:r>
                </w:p>
              </w:tc>
              <w:tc>
                <w:tcPr>
                  <w:tcW w:w="462" w:type="dxa"/>
                  <w:vMerge w:val="continue"/>
                  <w:tcBorders>
                    <w:right w:val="single" w:color="000000" w:sz="4" w:space="0"/>
                    <w:tl2br w:val="nil"/>
                    <w:tr2bl w:val="nil"/>
                  </w:tcBorders>
                  <w:vAlign w:val="center"/>
                </w:tcPr>
                <w:p w14:paraId="53BF36CA">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2493" w:type="dxa"/>
                  <w:tcBorders>
                    <w:left w:val="single" w:color="000000" w:sz="4" w:space="0"/>
                    <w:tl2br w:val="nil"/>
                    <w:tr2bl w:val="nil"/>
                  </w:tcBorders>
                  <w:shd w:val="clear" w:color="auto" w:fill="auto"/>
                  <w:vAlign w:val="center"/>
                </w:tcPr>
                <w:p w14:paraId="5C09A15E">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高速冲床</w:t>
                  </w:r>
                </w:p>
              </w:tc>
              <w:tc>
                <w:tcPr>
                  <w:tcW w:w="1634" w:type="dxa"/>
                  <w:tcBorders>
                    <w:tl2br w:val="nil"/>
                    <w:tr2bl w:val="nil"/>
                  </w:tcBorders>
                  <w:vAlign w:val="center"/>
                </w:tcPr>
                <w:p w14:paraId="48BBEEC9">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160T</w:t>
                  </w:r>
                </w:p>
              </w:tc>
              <w:tc>
                <w:tcPr>
                  <w:tcW w:w="1078" w:type="dxa"/>
                  <w:tcBorders>
                    <w:left w:val="single" w:color="auto" w:sz="4" w:space="0"/>
                    <w:tl2br w:val="nil"/>
                    <w:tr2bl w:val="nil"/>
                  </w:tcBorders>
                  <w:vAlign w:val="center"/>
                </w:tcPr>
                <w:p w14:paraId="202E0B23">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w:t>
                  </w:r>
                </w:p>
              </w:tc>
              <w:tc>
                <w:tcPr>
                  <w:tcW w:w="2219" w:type="dxa"/>
                  <w:tcBorders>
                    <w:tl2br w:val="nil"/>
                    <w:tr2bl w:val="nil"/>
                  </w:tcBorders>
                  <w:vAlign w:val="center"/>
                </w:tcPr>
                <w:p w14:paraId="1C16B05F">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定、转子冲片</w:t>
                  </w:r>
                  <w:r>
                    <w:rPr>
                      <w:rFonts w:hint="eastAsia"/>
                      <w:color w:val="auto"/>
                      <w:szCs w:val="21"/>
                      <w:lang w:eastAsia="zh-CN"/>
                    </w:rPr>
                    <w:t>机加工</w:t>
                  </w:r>
                </w:p>
              </w:tc>
            </w:tr>
            <w:tr w14:paraId="1B035C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6" w:type="dxa"/>
                  <w:tcBorders>
                    <w:tl2br w:val="nil"/>
                    <w:tr2bl w:val="nil"/>
                  </w:tcBorders>
                  <w:shd w:val="clear" w:color="auto" w:fill="auto"/>
                  <w:vAlign w:val="center"/>
                </w:tcPr>
                <w:p w14:paraId="143C1C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kern w:val="2"/>
                      <w:sz w:val="21"/>
                      <w:szCs w:val="21"/>
                      <w:lang w:val="en-US" w:eastAsia="zh-CN" w:bidi="ar-SA"/>
                    </w:rPr>
                  </w:pPr>
                  <w:r>
                    <w:rPr>
                      <w:color w:val="auto"/>
                      <w:szCs w:val="21"/>
                    </w:rPr>
                    <w:t>11</w:t>
                  </w:r>
                </w:p>
              </w:tc>
              <w:tc>
                <w:tcPr>
                  <w:tcW w:w="462" w:type="dxa"/>
                  <w:vMerge w:val="continue"/>
                  <w:tcBorders>
                    <w:right w:val="single" w:color="000000" w:sz="4" w:space="0"/>
                    <w:tl2br w:val="nil"/>
                    <w:tr2bl w:val="nil"/>
                  </w:tcBorders>
                  <w:vAlign w:val="center"/>
                </w:tcPr>
                <w:p w14:paraId="7BAD0BCA">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2493" w:type="dxa"/>
                  <w:tcBorders>
                    <w:left w:val="single" w:color="000000" w:sz="4" w:space="0"/>
                    <w:tl2br w:val="nil"/>
                    <w:tr2bl w:val="nil"/>
                  </w:tcBorders>
                  <w:shd w:val="clear" w:color="auto" w:fill="auto"/>
                  <w:vAlign w:val="center"/>
                </w:tcPr>
                <w:p w14:paraId="09C613CD">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高速冲床</w:t>
                  </w:r>
                </w:p>
              </w:tc>
              <w:tc>
                <w:tcPr>
                  <w:tcW w:w="1634" w:type="dxa"/>
                  <w:tcBorders>
                    <w:tl2br w:val="nil"/>
                    <w:tr2bl w:val="nil"/>
                  </w:tcBorders>
                  <w:vAlign w:val="center"/>
                </w:tcPr>
                <w:p w14:paraId="184D238D">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125T</w:t>
                  </w:r>
                </w:p>
              </w:tc>
              <w:tc>
                <w:tcPr>
                  <w:tcW w:w="1078" w:type="dxa"/>
                  <w:tcBorders>
                    <w:left w:val="single" w:color="auto" w:sz="4" w:space="0"/>
                    <w:tl2br w:val="nil"/>
                    <w:tr2bl w:val="nil"/>
                  </w:tcBorders>
                  <w:vAlign w:val="center"/>
                </w:tcPr>
                <w:p w14:paraId="7EB5D92C">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w:t>
                  </w:r>
                </w:p>
              </w:tc>
              <w:tc>
                <w:tcPr>
                  <w:tcW w:w="2219" w:type="dxa"/>
                  <w:tcBorders>
                    <w:tl2br w:val="nil"/>
                    <w:tr2bl w:val="nil"/>
                  </w:tcBorders>
                  <w:vAlign w:val="center"/>
                </w:tcPr>
                <w:p w14:paraId="43EC4C9D">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定、转子冲片</w:t>
                  </w:r>
                  <w:r>
                    <w:rPr>
                      <w:rFonts w:hint="eastAsia"/>
                      <w:color w:val="auto"/>
                      <w:szCs w:val="21"/>
                      <w:lang w:eastAsia="zh-CN"/>
                    </w:rPr>
                    <w:t>机加工</w:t>
                  </w:r>
                </w:p>
              </w:tc>
            </w:tr>
            <w:tr w14:paraId="0CDC76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6" w:type="dxa"/>
                  <w:tcBorders>
                    <w:tl2br w:val="nil"/>
                    <w:tr2bl w:val="nil"/>
                  </w:tcBorders>
                  <w:shd w:val="clear" w:color="auto" w:fill="auto"/>
                  <w:vAlign w:val="center"/>
                </w:tcPr>
                <w:p w14:paraId="209B54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kern w:val="2"/>
                      <w:sz w:val="21"/>
                      <w:szCs w:val="21"/>
                      <w:lang w:val="en-US" w:eastAsia="zh-CN" w:bidi="ar-SA"/>
                    </w:rPr>
                  </w:pPr>
                  <w:r>
                    <w:rPr>
                      <w:color w:val="auto"/>
                      <w:szCs w:val="21"/>
                    </w:rPr>
                    <w:t>12</w:t>
                  </w:r>
                </w:p>
              </w:tc>
              <w:tc>
                <w:tcPr>
                  <w:tcW w:w="462" w:type="dxa"/>
                  <w:vMerge w:val="continue"/>
                  <w:tcBorders>
                    <w:right w:val="single" w:color="000000" w:sz="4" w:space="0"/>
                    <w:tl2br w:val="nil"/>
                    <w:tr2bl w:val="nil"/>
                  </w:tcBorders>
                  <w:vAlign w:val="center"/>
                </w:tcPr>
                <w:p w14:paraId="74D2B50A">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2493" w:type="dxa"/>
                  <w:tcBorders>
                    <w:left w:val="single" w:color="000000" w:sz="4" w:space="0"/>
                    <w:tl2br w:val="nil"/>
                    <w:tr2bl w:val="nil"/>
                  </w:tcBorders>
                  <w:shd w:val="clear" w:color="auto" w:fill="auto"/>
                  <w:vAlign w:val="center"/>
                </w:tcPr>
                <w:p w14:paraId="6B7886C1">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激光切割机</w:t>
                  </w:r>
                </w:p>
              </w:tc>
              <w:tc>
                <w:tcPr>
                  <w:tcW w:w="1634" w:type="dxa"/>
                  <w:tcBorders>
                    <w:tl2br w:val="nil"/>
                    <w:tr2bl w:val="nil"/>
                  </w:tcBorders>
                  <w:vAlign w:val="center"/>
                </w:tcPr>
                <w:p w14:paraId="64814F1C">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RA-JM-1500W</w:t>
                  </w:r>
                </w:p>
              </w:tc>
              <w:tc>
                <w:tcPr>
                  <w:tcW w:w="1078" w:type="dxa"/>
                  <w:tcBorders>
                    <w:left w:val="single" w:color="auto" w:sz="4" w:space="0"/>
                    <w:tl2br w:val="nil"/>
                    <w:tr2bl w:val="nil"/>
                  </w:tcBorders>
                  <w:vAlign w:val="center"/>
                </w:tcPr>
                <w:p w14:paraId="50A616D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w:t>
                  </w:r>
                </w:p>
              </w:tc>
              <w:tc>
                <w:tcPr>
                  <w:tcW w:w="2219" w:type="dxa"/>
                  <w:tcBorders>
                    <w:tl2br w:val="nil"/>
                    <w:tr2bl w:val="nil"/>
                  </w:tcBorders>
                  <w:vAlign w:val="center"/>
                </w:tcPr>
                <w:p w14:paraId="40A28BE9">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配件下料</w:t>
                  </w:r>
                </w:p>
              </w:tc>
            </w:tr>
            <w:tr w14:paraId="5D3AED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6" w:type="dxa"/>
                  <w:tcBorders>
                    <w:tl2br w:val="nil"/>
                    <w:tr2bl w:val="nil"/>
                  </w:tcBorders>
                  <w:shd w:val="clear" w:color="auto" w:fill="auto"/>
                  <w:vAlign w:val="center"/>
                </w:tcPr>
                <w:p w14:paraId="47FAC1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kern w:val="2"/>
                      <w:sz w:val="21"/>
                      <w:szCs w:val="21"/>
                      <w:lang w:val="en-US" w:eastAsia="zh-CN" w:bidi="ar-SA"/>
                    </w:rPr>
                  </w:pPr>
                  <w:r>
                    <w:rPr>
                      <w:color w:val="auto"/>
                      <w:szCs w:val="21"/>
                    </w:rPr>
                    <w:t>13</w:t>
                  </w:r>
                </w:p>
              </w:tc>
              <w:tc>
                <w:tcPr>
                  <w:tcW w:w="462" w:type="dxa"/>
                  <w:vMerge w:val="continue"/>
                  <w:tcBorders>
                    <w:right w:val="single" w:color="000000" w:sz="4" w:space="0"/>
                    <w:tl2br w:val="nil"/>
                    <w:tr2bl w:val="nil"/>
                  </w:tcBorders>
                  <w:vAlign w:val="center"/>
                </w:tcPr>
                <w:p w14:paraId="559F5EF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2493" w:type="dxa"/>
                  <w:tcBorders>
                    <w:left w:val="single" w:color="000000" w:sz="4" w:space="0"/>
                    <w:tl2br w:val="nil"/>
                    <w:tr2bl w:val="nil"/>
                  </w:tcBorders>
                  <w:shd w:val="clear" w:color="auto" w:fill="auto"/>
                  <w:vAlign w:val="center"/>
                </w:tcPr>
                <w:p w14:paraId="2E7FA291">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全自动绕线机</w:t>
                  </w:r>
                </w:p>
              </w:tc>
              <w:tc>
                <w:tcPr>
                  <w:tcW w:w="1634" w:type="dxa"/>
                  <w:tcBorders>
                    <w:tl2br w:val="nil"/>
                    <w:tr2bl w:val="nil"/>
                  </w:tcBorders>
                  <w:vAlign w:val="center"/>
                </w:tcPr>
                <w:p w14:paraId="72375A9C">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1078" w:type="dxa"/>
                  <w:tcBorders>
                    <w:left w:val="single" w:color="auto" w:sz="4" w:space="0"/>
                    <w:tl2br w:val="nil"/>
                    <w:tr2bl w:val="nil"/>
                  </w:tcBorders>
                  <w:vAlign w:val="center"/>
                </w:tcPr>
                <w:p w14:paraId="0ED84330">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w:t>
                  </w:r>
                </w:p>
              </w:tc>
              <w:tc>
                <w:tcPr>
                  <w:tcW w:w="2219" w:type="dxa"/>
                  <w:tcBorders>
                    <w:tl2br w:val="nil"/>
                    <w:tr2bl w:val="nil"/>
                  </w:tcBorders>
                  <w:vAlign w:val="center"/>
                </w:tcPr>
                <w:p w14:paraId="37593E85">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电机线圈绕制</w:t>
                  </w:r>
                </w:p>
              </w:tc>
            </w:tr>
            <w:tr w14:paraId="78908C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6" w:type="dxa"/>
                  <w:tcBorders>
                    <w:tl2br w:val="nil"/>
                    <w:tr2bl w:val="nil"/>
                  </w:tcBorders>
                  <w:shd w:val="clear" w:color="auto" w:fill="auto"/>
                  <w:vAlign w:val="center"/>
                </w:tcPr>
                <w:p w14:paraId="25C76D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kern w:val="2"/>
                      <w:sz w:val="21"/>
                      <w:szCs w:val="21"/>
                      <w:lang w:val="en-US" w:eastAsia="zh-CN" w:bidi="ar-SA"/>
                    </w:rPr>
                  </w:pPr>
                  <w:r>
                    <w:rPr>
                      <w:color w:val="auto"/>
                      <w:szCs w:val="21"/>
                    </w:rPr>
                    <w:t>14</w:t>
                  </w:r>
                </w:p>
              </w:tc>
              <w:tc>
                <w:tcPr>
                  <w:tcW w:w="462" w:type="dxa"/>
                  <w:vMerge w:val="continue"/>
                  <w:tcBorders>
                    <w:right w:val="single" w:color="000000" w:sz="4" w:space="0"/>
                    <w:tl2br w:val="nil"/>
                    <w:tr2bl w:val="nil"/>
                  </w:tcBorders>
                  <w:vAlign w:val="center"/>
                </w:tcPr>
                <w:p w14:paraId="414047D9">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2493" w:type="dxa"/>
                  <w:tcBorders>
                    <w:left w:val="single" w:color="000000" w:sz="4" w:space="0"/>
                    <w:tl2br w:val="nil"/>
                    <w:tr2bl w:val="nil"/>
                  </w:tcBorders>
                  <w:shd w:val="clear" w:color="auto" w:fill="auto"/>
                  <w:vAlign w:val="center"/>
                </w:tcPr>
                <w:p w14:paraId="4B467B34">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氢氧焊机</w:t>
                  </w:r>
                </w:p>
              </w:tc>
              <w:tc>
                <w:tcPr>
                  <w:tcW w:w="1634" w:type="dxa"/>
                  <w:tcBorders>
                    <w:tl2br w:val="nil"/>
                    <w:tr2bl w:val="nil"/>
                  </w:tcBorders>
                  <w:vAlign w:val="center"/>
                </w:tcPr>
                <w:p w14:paraId="7B149551">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1078" w:type="dxa"/>
                  <w:tcBorders>
                    <w:left w:val="single" w:color="auto" w:sz="4" w:space="0"/>
                    <w:tl2br w:val="nil"/>
                    <w:tr2bl w:val="nil"/>
                  </w:tcBorders>
                  <w:vAlign w:val="center"/>
                </w:tcPr>
                <w:p w14:paraId="650E75A3">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w:t>
                  </w:r>
                </w:p>
              </w:tc>
              <w:tc>
                <w:tcPr>
                  <w:tcW w:w="2219" w:type="dxa"/>
                  <w:tcBorders>
                    <w:tl2br w:val="nil"/>
                    <w:tr2bl w:val="nil"/>
                  </w:tcBorders>
                  <w:vAlign w:val="center"/>
                </w:tcPr>
                <w:p w14:paraId="1C594CEB">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电机线圈焊接</w:t>
                  </w:r>
                </w:p>
              </w:tc>
            </w:tr>
            <w:tr w14:paraId="5B5B81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6" w:type="dxa"/>
                  <w:tcBorders>
                    <w:tl2br w:val="nil"/>
                    <w:tr2bl w:val="nil"/>
                  </w:tcBorders>
                  <w:shd w:val="clear" w:color="auto" w:fill="auto"/>
                  <w:vAlign w:val="center"/>
                </w:tcPr>
                <w:p w14:paraId="400AE8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kern w:val="2"/>
                      <w:sz w:val="21"/>
                      <w:szCs w:val="21"/>
                      <w:lang w:val="en-US" w:eastAsia="zh-CN" w:bidi="ar-SA"/>
                    </w:rPr>
                  </w:pPr>
                  <w:r>
                    <w:rPr>
                      <w:color w:val="auto"/>
                      <w:szCs w:val="21"/>
                    </w:rPr>
                    <w:t>15</w:t>
                  </w:r>
                </w:p>
              </w:tc>
              <w:tc>
                <w:tcPr>
                  <w:tcW w:w="462" w:type="dxa"/>
                  <w:vMerge w:val="continue"/>
                  <w:tcBorders>
                    <w:right w:val="single" w:color="000000" w:sz="4" w:space="0"/>
                    <w:tl2br w:val="nil"/>
                    <w:tr2bl w:val="nil"/>
                  </w:tcBorders>
                  <w:vAlign w:val="center"/>
                </w:tcPr>
                <w:p w14:paraId="52A98B9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2493" w:type="dxa"/>
                  <w:tcBorders>
                    <w:left w:val="single" w:color="000000" w:sz="4" w:space="0"/>
                    <w:tl2br w:val="nil"/>
                    <w:tr2bl w:val="nil"/>
                  </w:tcBorders>
                  <w:shd w:val="clear" w:color="auto" w:fill="auto"/>
                  <w:vAlign w:val="center"/>
                </w:tcPr>
                <w:p w14:paraId="6B71A7F0">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数控车床</w:t>
                  </w:r>
                </w:p>
              </w:tc>
              <w:tc>
                <w:tcPr>
                  <w:tcW w:w="1634" w:type="dxa"/>
                  <w:tcBorders>
                    <w:tl2br w:val="nil"/>
                    <w:tr2bl w:val="nil"/>
                  </w:tcBorders>
                  <w:vAlign w:val="center"/>
                </w:tcPr>
                <w:p w14:paraId="746CDE2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1078" w:type="dxa"/>
                  <w:tcBorders>
                    <w:left w:val="single" w:color="auto" w:sz="4" w:space="0"/>
                    <w:tl2br w:val="nil"/>
                    <w:tr2bl w:val="nil"/>
                  </w:tcBorders>
                  <w:vAlign w:val="center"/>
                </w:tcPr>
                <w:p w14:paraId="7DAA97DA">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4</w:t>
                  </w:r>
                </w:p>
              </w:tc>
              <w:tc>
                <w:tcPr>
                  <w:tcW w:w="2219" w:type="dxa"/>
                  <w:tcBorders>
                    <w:tl2br w:val="nil"/>
                    <w:tr2bl w:val="nil"/>
                  </w:tcBorders>
                  <w:vAlign w:val="center"/>
                </w:tcPr>
                <w:p w14:paraId="527AB6D2">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机壳、转轴</w:t>
                  </w:r>
                  <w:r>
                    <w:rPr>
                      <w:rFonts w:hint="eastAsia"/>
                      <w:color w:val="auto"/>
                      <w:szCs w:val="21"/>
                      <w:lang w:eastAsia="zh-CN"/>
                    </w:rPr>
                    <w:t>机</w:t>
                  </w:r>
                  <w:r>
                    <w:rPr>
                      <w:color w:val="auto"/>
                      <w:szCs w:val="21"/>
                    </w:rPr>
                    <w:t>加工</w:t>
                  </w:r>
                </w:p>
              </w:tc>
            </w:tr>
            <w:tr w14:paraId="43A40D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6" w:type="dxa"/>
                  <w:tcBorders>
                    <w:tl2br w:val="nil"/>
                    <w:tr2bl w:val="nil"/>
                  </w:tcBorders>
                  <w:shd w:val="clear" w:color="auto" w:fill="auto"/>
                  <w:vAlign w:val="center"/>
                </w:tcPr>
                <w:p w14:paraId="25E865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kern w:val="2"/>
                      <w:sz w:val="21"/>
                      <w:szCs w:val="21"/>
                      <w:lang w:val="en-US" w:eastAsia="zh-CN" w:bidi="ar-SA"/>
                    </w:rPr>
                  </w:pPr>
                  <w:r>
                    <w:rPr>
                      <w:color w:val="auto"/>
                      <w:szCs w:val="21"/>
                    </w:rPr>
                    <w:t>16</w:t>
                  </w:r>
                </w:p>
              </w:tc>
              <w:tc>
                <w:tcPr>
                  <w:tcW w:w="462" w:type="dxa"/>
                  <w:vMerge w:val="continue"/>
                  <w:tcBorders>
                    <w:right w:val="single" w:color="000000" w:sz="4" w:space="0"/>
                    <w:tl2br w:val="nil"/>
                    <w:tr2bl w:val="nil"/>
                  </w:tcBorders>
                  <w:vAlign w:val="center"/>
                </w:tcPr>
                <w:p w14:paraId="74410B0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2493" w:type="dxa"/>
                  <w:tcBorders>
                    <w:left w:val="single" w:color="000000" w:sz="4" w:space="0"/>
                    <w:tl2br w:val="nil"/>
                    <w:tr2bl w:val="nil"/>
                  </w:tcBorders>
                  <w:shd w:val="clear" w:color="auto" w:fill="auto"/>
                  <w:vAlign w:val="center"/>
                </w:tcPr>
                <w:p w14:paraId="7D10F92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数控磨床</w:t>
                  </w:r>
                </w:p>
              </w:tc>
              <w:tc>
                <w:tcPr>
                  <w:tcW w:w="1634" w:type="dxa"/>
                  <w:tcBorders>
                    <w:tl2br w:val="nil"/>
                    <w:tr2bl w:val="nil"/>
                  </w:tcBorders>
                  <w:vAlign w:val="center"/>
                </w:tcPr>
                <w:p w14:paraId="4530E51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1078" w:type="dxa"/>
                  <w:tcBorders>
                    <w:left w:val="single" w:color="auto" w:sz="4" w:space="0"/>
                    <w:tl2br w:val="nil"/>
                    <w:tr2bl w:val="nil"/>
                  </w:tcBorders>
                  <w:vAlign w:val="center"/>
                </w:tcPr>
                <w:p w14:paraId="5B7F6430">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w:t>
                  </w:r>
                </w:p>
              </w:tc>
              <w:tc>
                <w:tcPr>
                  <w:tcW w:w="2219" w:type="dxa"/>
                  <w:tcBorders>
                    <w:tl2br w:val="nil"/>
                    <w:tr2bl w:val="nil"/>
                  </w:tcBorders>
                  <w:vAlign w:val="center"/>
                </w:tcPr>
                <w:p w14:paraId="7D050958">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转轴</w:t>
                  </w:r>
                  <w:r>
                    <w:rPr>
                      <w:rFonts w:hint="eastAsia"/>
                      <w:color w:val="auto"/>
                      <w:szCs w:val="21"/>
                      <w:lang w:eastAsia="zh-CN"/>
                    </w:rPr>
                    <w:t>机</w:t>
                  </w:r>
                  <w:r>
                    <w:rPr>
                      <w:color w:val="auto"/>
                      <w:szCs w:val="21"/>
                    </w:rPr>
                    <w:t>加工</w:t>
                  </w:r>
                </w:p>
              </w:tc>
            </w:tr>
            <w:tr w14:paraId="74A9CF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6" w:type="dxa"/>
                  <w:tcBorders>
                    <w:tl2br w:val="nil"/>
                    <w:tr2bl w:val="nil"/>
                  </w:tcBorders>
                  <w:shd w:val="clear" w:color="auto" w:fill="auto"/>
                  <w:vAlign w:val="center"/>
                </w:tcPr>
                <w:p w14:paraId="2EC86C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kern w:val="2"/>
                      <w:sz w:val="21"/>
                      <w:szCs w:val="21"/>
                      <w:lang w:val="en-US" w:eastAsia="zh-CN" w:bidi="ar-SA"/>
                    </w:rPr>
                  </w:pPr>
                  <w:r>
                    <w:rPr>
                      <w:color w:val="auto"/>
                      <w:szCs w:val="21"/>
                    </w:rPr>
                    <w:t>17</w:t>
                  </w:r>
                </w:p>
              </w:tc>
              <w:tc>
                <w:tcPr>
                  <w:tcW w:w="462" w:type="dxa"/>
                  <w:vMerge w:val="continue"/>
                  <w:tcBorders>
                    <w:right w:val="single" w:color="000000" w:sz="4" w:space="0"/>
                    <w:tl2br w:val="nil"/>
                    <w:tr2bl w:val="nil"/>
                  </w:tcBorders>
                  <w:vAlign w:val="center"/>
                </w:tcPr>
                <w:p w14:paraId="6F15413F">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2493" w:type="dxa"/>
                  <w:tcBorders>
                    <w:left w:val="single" w:color="000000" w:sz="4" w:space="0"/>
                    <w:tl2br w:val="nil"/>
                    <w:tr2bl w:val="nil"/>
                  </w:tcBorders>
                  <w:shd w:val="clear" w:color="auto" w:fill="auto"/>
                  <w:vAlign w:val="center"/>
                </w:tcPr>
                <w:p w14:paraId="23DC223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加工中心</w:t>
                  </w:r>
                </w:p>
              </w:tc>
              <w:tc>
                <w:tcPr>
                  <w:tcW w:w="1634" w:type="dxa"/>
                  <w:tcBorders>
                    <w:tl2br w:val="nil"/>
                    <w:tr2bl w:val="nil"/>
                  </w:tcBorders>
                  <w:vAlign w:val="center"/>
                </w:tcPr>
                <w:p w14:paraId="26B649F1">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1078" w:type="dxa"/>
                  <w:tcBorders>
                    <w:left w:val="single" w:color="auto" w:sz="4" w:space="0"/>
                    <w:tl2br w:val="nil"/>
                    <w:tr2bl w:val="nil"/>
                  </w:tcBorders>
                  <w:vAlign w:val="center"/>
                </w:tcPr>
                <w:p w14:paraId="57FB0593">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4</w:t>
                  </w:r>
                </w:p>
              </w:tc>
              <w:tc>
                <w:tcPr>
                  <w:tcW w:w="2219" w:type="dxa"/>
                  <w:tcBorders>
                    <w:tl2br w:val="nil"/>
                    <w:tr2bl w:val="nil"/>
                  </w:tcBorders>
                  <w:vAlign w:val="center"/>
                </w:tcPr>
                <w:p w14:paraId="6A6D21F0">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转轴、端盖类配件</w:t>
                  </w:r>
                  <w:r>
                    <w:rPr>
                      <w:rFonts w:hint="eastAsia"/>
                      <w:color w:val="auto"/>
                      <w:szCs w:val="21"/>
                      <w:lang w:eastAsia="zh-CN"/>
                    </w:rPr>
                    <w:t>机</w:t>
                  </w:r>
                  <w:r>
                    <w:rPr>
                      <w:color w:val="auto"/>
                      <w:szCs w:val="21"/>
                    </w:rPr>
                    <w:t>加工</w:t>
                  </w:r>
                </w:p>
              </w:tc>
            </w:tr>
            <w:tr w14:paraId="462696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6" w:type="dxa"/>
                  <w:tcBorders>
                    <w:tl2br w:val="nil"/>
                    <w:tr2bl w:val="nil"/>
                  </w:tcBorders>
                  <w:shd w:val="clear" w:color="auto" w:fill="auto"/>
                  <w:vAlign w:val="center"/>
                </w:tcPr>
                <w:p w14:paraId="643157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kern w:val="2"/>
                      <w:sz w:val="21"/>
                      <w:szCs w:val="21"/>
                      <w:lang w:val="en-US" w:eastAsia="zh-CN" w:bidi="ar-SA"/>
                    </w:rPr>
                  </w:pPr>
                  <w:r>
                    <w:rPr>
                      <w:color w:val="auto"/>
                      <w:szCs w:val="21"/>
                    </w:rPr>
                    <w:t>18</w:t>
                  </w:r>
                </w:p>
              </w:tc>
              <w:tc>
                <w:tcPr>
                  <w:tcW w:w="462" w:type="dxa"/>
                  <w:vMerge w:val="continue"/>
                  <w:tcBorders>
                    <w:right w:val="single" w:color="000000" w:sz="4" w:space="0"/>
                    <w:tl2br w:val="nil"/>
                    <w:tr2bl w:val="nil"/>
                  </w:tcBorders>
                  <w:vAlign w:val="center"/>
                </w:tcPr>
                <w:p w14:paraId="2EEA396D">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2493" w:type="dxa"/>
                  <w:tcBorders>
                    <w:left w:val="single" w:color="000000" w:sz="4" w:space="0"/>
                    <w:tl2br w:val="nil"/>
                    <w:tr2bl w:val="nil"/>
                  </w:tcBorders>
                  <w:shd w:val="clear" w:color="auto" w:fill="auto"/>
                  <w:vAlign w:val="center"/>
                </w:tcPr>
                <w:p w14:paraId="152A7D3F">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转子动平衡测试仪</w:t>
                  </w:r>
                </w:p>
              </w:tc>
              <w:tc>
                <w:tcPr>
                  <w:tcW w:w="1634" w:type="dxa"/>
                  <w:tcBorders>
                    <w:tl2br w:val="nil"/>
                    <w:tr2bl w:val="nil"/>
                  </w:tcBorders>
                  <w:vAlign w:val="center"/>
                </w:tcPr>
                <w:p w14:paraId="5DFEF4EB">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1078" w:type="dxa"/>
                  <w:tcBorders>
                    <w:left w:val="single" w:color="auto" w:sz="4" w:space="0"/>
                    <w:tl2br w:val="nil"/>
                    <w:tr2bl w:val="nil"/>
                  </w:tcBorders>
                  <w:vAlign w:val="center"/>
                </w:tcPr>
                <w:p w14:paraId="427FCA77">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w:t>
                  </w:r>
                </w:p>
              </w:tc>
              <w:tc>
                <w:tcPr>
                  <w:tcW w:w="2219" w:type="dxa"/>
                  <w:tcBorders>
                    <w:tl2br w:val="nil"/>
                    <w:tr2bl w:val="nil"/>
                  </w:tcBorders>
                  <w:vAlign w:val="center"/>
                </w:tcPr>
                <w:p w14:paraId="7771C3FB">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转子动平衡测试</w:t>
                  </w:r>
                </w:p>
              </w:tc>
            </w:tr>
            <w:tr w14:paraId="0F15B2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6" w:type="dxa"/>
                  <w:tcBorders>
                    <w:tl2br w:val="nil"/>
                    <w:tr2bl w:val="nil"/>
                  </w:tcBorders>
                  <w:shd w:val="clear" w:color="auto" w:fill="auto"/>
                  <w:vAlign w:val="center"/>
                </w:tcPr>
                <w:p w14:paraId="30BEB6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kern w:val="2"/>
                      <w:sz w:val="21"/>
                      <w:szCs w:val="21"/>
                      <w:lang w:val="en-US" w:eastAsia="zh-CN" w:bidi="ar-SA"/>
                    </w:rPr>
                  </w:pPr>
                  <w:r>
                    <w:rPr>
                      <w:color w:val="auto"/>
                      <w:szCs w:val="21"/>
                    </w:rPr>
                    <w:t>19</w:t>
                  </w:r>
                </w:p>
              </w:tc>
              <w:tc>
                <w:tcPr>
                  <w:tcW w:w="462" w:type="dxa"/>
                  <w:vMerge w:val="continue"/>
                  <w:tcBorders>
                    <w:right w:val="single" w:color="000000" w:sz="4" w:space="0"/>
                    <w:tl2br w:val="nil"/>
                    <w:tr2bl w:val="nil"/>
                  </w:tcBorders>
                  <w:vAlign w:val="center"/>
                </w:tcPr>
                <w:p w14:paraId="435D2239">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2493" w:type="dxa"/>
                  <w:tcBorders>
                    <w:left w:val="single" w:color="000000" w:sz="4" w:space="0"/>
                    <w:tl2br w:val="nil"/>
                    <w:tr2bl w:val="nil"/>
                  </w:tcBorders>
                  <w:shd w:val="clear" w:color="auto" w:fill="auto"/>
                  <w:vAlign w:val="center"/>
                </w:tcPr>
                <w:p w14:paraId="5D19FBA1">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定子综合测试仪</w:t>
                  </w:r>
                </w:p>
              </w:tc>
              <w:tc>
                <w:tcPr>
                  <w:tcW w:w="1634" w:type="dxa"/>
                  <w:tcBorders>
                    <w:tl2br w:val="nil"/>
                    <w:tr2bl w:val="nil"/>
                  </w:tcBorders>
                  <w:vAlign w:val="center"/>
                </w:tcPr>
                <w:p w14:paraId="63842282">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w:t>
                  </w:r>
                </w:p>
              </w:tc>
              <w:tc>
                <w:tcPr>
                  <w:tcW w:w="1078" w:type="dxa"/>
                  <w:tcBorders>
                    <w:left w:val="single" w:color="auto" w:sz="4" w:space="0"/>
                    <w:tl2br w:val="nil"/>
                    <w:tr2bl w:val="nil"/>
                  </w:tcBorders>
                  <w:vAlign w:val="center"/>
                </w:tcPr>
                <w:p w14:paraId="083A505E">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w:t>
                  </w:r>
                </w:p>
              </w:tc>
              <w:tc>
                <w:tcPr>
                  <w:tcW w:w="2219" w:type="dxa"/>
                  <w:tcBorders>
                    <w:tl2br w:val="nil"/>
                    <w:tr2bl w:val="nil"/>
                  </w:tcBorders>
                  <w:vAlign w:val="center"/>
                </w:tcPr>
                <w:p w14:paraId="1B14DF98">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定子综合测试</w:t>
                  </w:r>
                </w:p>
              </w:tc>
            </w:tr>
            <w:tr w14:paraId="3928ED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6" w:type="dxa"/>
                  <w:tcBorders>
                    <w:tl2br w:val="nil"/>
                    <w:tr2bl w:val="nil"/>
                  </w:tcBorders>
                  <w:shd w:val="clear" w:color="auto" w:fill="auto"/>
                  <w:vAlign w:val="center"/>
                </w:tcPr>
                <w:p w14:paraId="0D3F5A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kern w:val="2"/>
                      <w:sz w:val="21"/>
                      <w:szCs w:val="21"/>
                      <w:lang w:val="en-US" w:eastAsia="zh-CN" w:bidi="ar-SA"/>
                    </w:rPr>
                  </w:pPr>
                  <w:r>
                    <w:rPr>
                      <w:color w:val="auto"/>
                      <w:szCs w:val="21"/>
                    </w:rPr>
                    <w:t>20</w:t>
                  </w:r>
                </w:p>
              </w:tc>
              <w:tc>
                <w:tcPr>
                  <w:tcW w:w="462" w:type="dxa"/>
                  <w:vMerge w:val="continue"/>
                  <w:tcBorders>
                    <w:right w:val="single" w:color="000000" w:sz="4" w:space="0"/>
                    <w:tl2br w:val="nil"/>
                    <w:tr2bl w:val="nil"/>
                  </w:tcBorders>
                  <w:vAlign w:val="center"/>
                </w:tcPr>
                <w:p w14:paraId="1BDB6DF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2493" w:type="dxa"/>
                  <w:tcBorders>
                    <w:left w:val="single" w:color="000000" w:sz="4" w:space="0"/>
                    <w:tl2br w:val="nil"/>
                    <w:tr2bl w:val="nil"/>
                  </w:tcBorders>
                  <w:shd w:val="clear" w:color="auto" w:fill="auto"/>
                  <w:vAlign w:val="center"/>
                </w:tcPr>
                <w:p w14:paraId="25404D0B">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电机负载测试平台</w:t>
                  </w:r>
                </w:p>
              </w:tc>
              <w:tc>
                <w:tcPr>
                  <w:tcW w:w="1634" w:type="dxa"/>
                  <w:tcBorders>
                    <w:tl2br w:val="nil"/>
                    <w:tr2bl w:val="nil"/>
                  </w:tcBorders>
                  <w:vAlign w:val="center"/>
                </w:tcPr>
                <w:p w14:paraId="3410E6E1">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1078" w:type="dxa"/>
                  <w:tcBorders>
                    <w:left w:val="single" w:color="auto" w:sz="4" w:space="0"/>
                    <w:tl2br w:val="nil"/>
                    <w:tr2bl w:val="nil"/>
                  </w:tcBorders>
                  <w:vAlign w:val="center"/>
                </w:tcPr>
                <w:p w14:paraId="5D0B1CBF">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w:t>
                  </w:r>
                </w:p>
              </w:tc>
              <w:tc>
                <w:tcPr>
                  <w:tcW w:w="2219" w:type="dxa"/>
                  <w:tcBorders>
                    <w:tl2br w:val="nil"/>
                    <w:tr2bl w:val="nil"/>
                  </w:tcBorders>
                  <w:vAlign w:val="center"/>
                </w:tcPr>
                <w:p w14:paraId="17F1C59F">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整机测试</w:t>
                  </w:r>
                </w:p>
              </w:tc>
            </w:tr>
            <w:tr w14:paraId="72E6FB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6" w:type="dxa"/>
                  <w:tcBorders>
                    <w:tl2br w:val="nil"/>
                    <w:tr2bl w:val="nil"/>
                  </w:tcBorders>
                  <w:shd w:val="clear" w:color="auto" w:fill="auto"/>
                  <w:vAlign w:val="center"/>
                </w:tcPr>
                <w:p w14:paraId="366F2E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color w:val="auto"/>
                      <w:szCs w:val="21"/>
                    </w:rPr>
                    <w:t>21</w:t>
                  </w:r>
                </w:p>
              </w:tc>
              <w:tc>
                <w:tcPr>
                  <w:tcW w:w="462" w:type="dxa"/>
                  <w:vMerge w:val="continue"/>
                  <w:tcBorders>
                    <w:right w:val="single" w:color="000000" w:sz="4" w:space="0"/>
                    <w:tl2br w:val="nil"/>
                    <w:tr2bl w:val="nil"/>
                  </w:tcBorders>
                  <w:vAlign w:val="center"/>
                </w:tcPr>
                <w:p w14:paraId="7CBDA954">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2493" w:type="dxa"/>
                  <w:tcBorders>
                    <w:left w:val="single" w:color="000000" w:sz="4" w:space="0"/>
                    <w:tl2br w:val="nil"/>
                    <w:tr2bl w:val="nil"/>
                  </w:tcBorders>
                  <w:shd w:val="clear" w:color="auto" w:fill="auto"/>
                  <w:vAlign w:val="center"/>
                </w:tcPr>
                <w:p w14:paraId="4804DA7D">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全自动扁铜线制线机</w:t>
                  </w:r>
                </w:p>
              </w:tc>
              <w:tc>
                <w:tcPr>
                  <w:tcW w:w="1634" w:type="dxa"/>
                  <w:tcBorders>
                    <w:tl2br w:val="nil"/>
                    <w:tr2bl w:val="nil"/>
                  </w:tcBorders>
                  <w:vAlign w:val="center"/>
                </w:tcPr>
                <w:p w14:paraId="6C3681A9">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1078" w:type="dxa"/>
                  <w:tcBorders>
                    <w:left w:val="single" w:color="auto" w:sz="4" w:space="0"/>
                    <w:tl2br w:val="nil"/>
                    <w:tr2bl w:val="nil"/>
                  </w:tcBorders>
                  <w:vAlign w:val="center"/>
                </w:tcPr>
                <w:p w14:paraId="7163B6C4">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w:t>
                  </w:r>
                </w:p>
              </w:tc>
              <w:tc>
                <w:tcPr>
                  <w:tcW w:w="2219" w:type="dxa"/>
                  <w:tcBorders>
                    <w:tl2br w:val="nil"/>
                    <w:tr2bl w:val="nil"/>
                  </w:tcBorders>
                  <w:vAlign w:val="center"/>
                </w:tcPr>
                <w:p w14:paraId="71F0787F">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铜、铝</w:t>
                  </w:r>
                  <w:r>
                    <w:rPr>
                      <w:rFonts w:hint="eastAsia"/>
                      <w:color w:val="auto"/>
                      <w:szCs w:val="21"/>
                      <w:lang w:eastAsia="zh-CN"/>
                    </w:rPr>
                    <w:t>机</w:t>
                  </w:r>
                  <w:r>
                    <w:rPr>
                      <w:color w:val="auto"/>
                      <w:szCs w:val="21"/>
                    </w:rPr>
                    <w:t>加工</w:t>
                  </w:r>
                </w:p>
              </w:tc>
            </w:tr>
            <w:tr w14:paraId="5945B9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6" w:type="dxa"/>
                  <w:tcBorders>
                    <w:tl2br w:val="nil"/>
                    <w:tr2bl w:val="nil"/>
                  </w:tcBorders>
                  <w:shd w:val="clear" w:color="auto" w:fill="auto"/>
                  <w:vAlign w:val="center"/>
                </w:tcPr>
                <w:p w14:paraId="2C9553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color w:val="auto"/>
                      <w:szCs w:val="21"/>
                    </w:rPr>
                    <w:t>22</w:t>
                  </w:r>
                </w:p>
              </w:tc>
              <w:tc>
                <w:tcPr>
                  <w:tcW w:w="462" w:type="dxa"/>
                  <w:vMerge w:val="continue"/>
                  <w:tcBorders>
                    <w:right w:val="single" w:color="000000" w:sz="4" w:space="0"/>
                    <w:tl2br w:val="nil"/>
                    <w:tr2bl w:val="nil"/>
                  </w:tcBorders>
                  <w:vAlign w:val="center"/>
                </w:tcPr>
                <w:p w14:paraId="76B27112">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2493" w:type="dxa"/>
                  <w:tcBorders>
                    <w:left w:val="single" w:color="000000" w:sz="4" w:space="0"/>
                    <w:tl2br w:val="nil"/>
                    <w:tr2bl w:val="nil"/>
                  </w:tcBorders>
                  <w:shd w:val="clear" w:color="auto" w:fill="auto"/>
                  <w:vAlign w:val="center"/>
                </w:tcPr>
                <w:p w14:paraId="3B510BA1">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变频伺服驱动器组装线</w:t>
                  </w:r>
                </w:p>
              </w:tc>
              <w:tc>
                <w:tcPr>
                  <w:tcW w:w="1634" w:type="dxa"/>
                  <w:tcBorders>
                    <w:tl2br w:val="nil"/>
                    <w:tr2bl w:val="nil"/>
                  </w:tcBorders>
                  <w:vAlign w:val="center"/>
                </w:tcPr>
                <w:p w14:paraId="7DA3805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1078" w:type="dxa"/>
                  <w:tcBorders>
                    <w:left w:val="single" w:color="auto" w:sz="4" w:space="0"/>
                    <w:tl2br w:val="nil"/>
                    <w:tr2bl w:val="nil"/>
                  </w:tcBorders>
                  <w:vAlign w:val="center"/>
                </w:tcPr>
                <w:p w14:paraId="0E5B1DA1">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w:t>
                  </w:r>
                </w:p>
              </w:tc>
              <w:tc>
                <w:tcPr>
                  <w:tcW w:w="2219" w:type="dxa"/>
                  <w:tcBorders>
                    <w:tl2br w:val="nil"/>
                    <w:tr2bl w:val="nil"/>
                  </w:tcBorders>
                  <w:vAlign w:val="center"/>
                </w:tcPr>
                <w:p w14:paraId="3E0470EA">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变频伺服组装</w:t>
                  </w:r>
                </w:p>
              </w:tc>
            </w:tr>
            <w:tr w14:paraId="3215FA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6" w:type="dxa"/>
                  <w:tcBorders>
                    <w:tl2br w:val="nil"/>
                    <w:tr2bl w:val="nil"/>
                  </w:tcBorders>
                  <w:shd w:val="clear" w:color="auto" w:fill="auto"/>
                  <w:vAlign w:val="center"/>
                </w:tcPr>
                <w:p w14:paraId="081EA9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color w:val="auto"/>
                      <w:szCs w:val="21"/>
                    </w:rPr>
                    <w:t>23</w:t>
                  </w:r>
                </w:p>
              </w:tc>
              <w:tc>
                <w:tcPr>
                  <w:tcW w:w="462" w:type="dxa"/>
                  <w:vMerge w:val="restart"/>
                  <w:tcBorders>
                    <w:right w:val="single" w:color="000000" w:sz="4" w:space="0"/>
                    <w:tl2br w:val="nil"/>
                    <w:tr2bl w:val="nil"/>
                  </w:tcBorders>
                  <w:vAlign w:val="center"/>
                </w:tcPr>
                <w:p w14:paraId="645DA667">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变频器</w:t>
                  </w:r>
                </w:p>
              </w:tc>
              <w:tc>
                <w:tcPr>
                  <w:tcW w:w="2493" w:type="dxa"/>
                  <w:tcBorders>
                    <w:left w:val="single" w:color="000000" w:sz="4" w:space="0"/>
                    <w:tl2br w:val="nil"/>
                    <w:tr2bl w:val="nil"/>
                  </w:tcBorders>
                  <w:shd w:val="clear" w:color="auto" w:fill="auto"/>
                  <w:vAlign w:val="center"/>
                </w:tcPr>
                <w:p w14:paraId="12D80199">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老化房</w:t>
                  </w:r>
                </w:p>
              </w:tc>
              <w:tc>
                <w:tcPr>
                  <w:tcW w:w="1634" w:type="dxa"/>
                  <w:tcBorders>
                    <w:tl2br w:val="nil"/>
                    <w:tr2bl w:val="nil"/>
                  </w:tcBorders>
                  <w:vAlign w:val="center"/>
                </w:tcPr>
                <w:p w14:paraId="17BFE76B">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1078" w:type="dxa"/>
                  <w:tcBorders>
                    <w:left w:val="single" w:color="auto" w:sz="4" w:space="0"/>
                    <w:tl2br w:val="nil"/>
                    <w:tr2bl w:val="nil"/>
                  </w:tcBorders>
                  <w:shd w:val="clear" w:color="auto" w:fill="auto"/>
                  <w:vAlign w:val="center"/>
                </w:tcPr>
                <w:p w14:paraId="0F9AD92A">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w:t>
                  </w:r>
                </w:p>
              </w:tc>
              <w:tc>
                <w:tcPr>
                  <w:tcW w:w="2219" w:type="dxa"/>
                  <w:tcBorders>
                    <w:tl2br w:val="nil"/>
                    <w:tr2bl w:val="nil"/>
                  </w:tcBorders>
                  <w:vAlign w:val="center"/>
                </w:tcPr>
                <w:p w14:paraId="4D8022E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高温老化测试</w:t>
                  </w:r>
                </w:p>
              </w:tc>
            </w:tr>
            <w:tr w14:paraId="0A819F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6" w:type="dxa"/>
                  <w:tcBorders>
                    <w:tl2br w:val="nil"/>
                    <w:tr2bl w:val="nil"/>
                  </w:tcBorders>
                  <w:shd w:val="clear" w:color="auto" w:fill="auto"/>
                  <w:vAlign w:val="center"/>
                </w:tcPr>
                <w:p w14:paraId="6516AC6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color w:val="auto"/>
                      <w:szCs w:val="21"/>
                    </w:rPr>
                    <w:t>24</w:t>
                  </w:r>
                </w:p>
              </w:tc>
              <w:tc>
                <w:tcPr>
                  <w:tcW w:w="462" w:type="dxa"/>
                  <w:vMerge w:val="continue"/>
                  <w:tcBorders>
                    <w:right w:val="single" w:color="000000" w:sz="4" w:space="0"/>
                    <w:tl2br w:val="nil"/>
                    <w:tr2bl w:val="nil"/>
                  </w:tcBorders>
                  <w:vAlign w:val="center"/>
                </w:tcPr>
                <w:p w14:paraId="7B5BCAC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2493" w:type="dxa"/>
                  <w:tcBorders>
                    <w:left w:val="single" w:color="000000" w:sz="4" w:space="0"/>
                    <w:tl2br w:val="nil"/>
                    <w:tr2bl w:val="nil"/>
                  </w:tcBorders>
                  <w:shd w:val="clear" w:color="auto" w:fill="auto"/>
                  <w:vAlign w:val="center"/>
                </w:tcPr>
                <w:p w14:paraId="1150BA6F">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整机负载测试系统</w:t>
                  </w:r>
                </w:p>
              </w:tc>
              <w:tc>
                <w:tcPr>
                  <w:tcW w:w="1634" w:type="dxa"/>
                  <w:tcBorders>
                    <w:tl2br w:val="nil"/>
                    <w:tr2bl w:val="nil"/>
                  </w:tcBorders>
                  <w:vAlign w:val="center"/>
                </w:tcPr>
                <w:p w14:paraId="52C33CF7">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1078" w:type="dxa"/>
                  <w:tcBorders>
                    <w:left w:val="single" w:color="auto" w:sz="4" w:space="0"/>
                    <w:tl2br w:val="nil"/>
                    <w:tr2bl w:val="nil"/>
                  </w:tcBorders>
                  <w:shd w:val="clear" w:color="auto" w:fill="auto"/>
                  <w:vAlign w:val="center"/>
                </w:tcPr>
                <w:p w14:paraId="3D6FEBAC">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w:t>
                  </w:r>
                </w:p>
              </w:tc>
              <w:tc>
                <w:tcPr>
                  <w:tcW w:w="2219" w:type="dxa"/>
                  <w:tcBorders>
                    <w:tl2br w:val="nil"/>
                    <w:tr2bl w:val="nil"/>
                  </w:tcBorders>
                  <w:vAlign w:val="center"/>
                </w:tcPr>
                <w:p w14:paraId="370D905A">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负载测试</w:t>
                  </w:r>
                </w:p>
              </w:tc>
            </w:tr>
            <w:tr w14:paraId="56D807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6" w:type="dxa"/>
                  <w:tcBorders>
                    <w:tl2br w:val="nil"/>
                    <w:tr2bl w:val="nil"/>
                  </w:tcBorders>
                  <w:shd w:val="clear" w:color="auto" w:fill="auto"/>
                  <w:vAlign w:val="center"/>
                </w:tcPr>
                <w:p w14:paraId="27E19D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color w:val="auto"/>
                      <w:szCs w:val="21"/>
                    </w:rPr>
                    <w:t>25</w:t>
                  </w:r>
                </w:p>
              </w:tc>
              <w:tc>
                <w:tcPr>
                  <w:tcW w:w="462" w:type="dxa"/>
                  <w:vMerge w:val="continue"/>
                  <w:tcBorders>
                    <w:right w:val="single" w:color="000000" w:sz="4" w:space="0"/>
                    <w:tl2br w:val="nil"/>
                    <w:tr2bl w:val="nil"/>
                  </w:tcBorders>
                  <w:vAlign w:val="center"/>
                </w:tcPr>
                <w:p w14:paraId="31FA51CF">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2493" w:type="dxa"/>
                  <w:tcBorders>
                    <w:left w:val="single" w:color="000000" w:sz="4" w:space="0"/>
                    <w:tl2br w:val="nil"/>
                    <w:tr2bl w:val="nil"/>
                  </w:tcBorders>
                  <w:shd w:val="clear" w:color="auto" w:fill="auto"/>
                  <w:vAlign w:val="center"/>
                </w:tcPr>
                <w:p w14:paraId="1286B48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雷击浪涌测试仪</w:t>
                  </w:r>
                </w:p>
              </w:tc>
              <w:tc>
                <w:tcPr>
                  <w:tcW w:w="1634" w:type="dxa"/>
                  <w:tcBorders>
                    <w:tl2br w:val="nil"/>
                    <w:tr2bl w:val="nil"/>
                  </w:tcBorders>
                  <w:vAlign w:val="center"/>
                </w:tcPr>
                <w:p w14:paraId="4BE420FB">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1078" w:type="dxa"/>
                  <w:tcBorders>
                    <w:left w:val="single" w:color="auto" w:sz="4" w:space="0"/>
                    <w:tl2br w:val="nil"/>
                    <w:tr2bl w:val="nil"/>
                  </w:tcBorders>
                  <w:shd w:val="clear" w:color="auto" w:fill="auto"/>
                  <w:vAlign w:val="center"/>
                </w:tcPr>
                <w:p w14:paraId="67C7BA35">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w:t>
                  </w:r>
                </w:p>
              </w:tc>
              <w:tc>
                <w:tcPr>
                  <w:tcW w:w="2219" w:type="dxa"/>
                  <w:tcBorders>
                    <w:tl2br w:val="nil"/>
                    <w:tr2bl w:val="nil"/>
                  </w:tcBorders>
                  <w:vAlign w:val="center"/>
                </w:tcPr>
                <w:p w14:paraId="0FA768D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tr w14:paraId="134B25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6" w:type="dxa"/>
                  <w:tcBorders>
                    <w:tl2br w:val="nil"/>
                    <w:tr2bl w:val="nil"/>
                  </w:tcBorders>
                  <w:shd w:val="clear" w:color="auto" w:fill="auto"/>
                  <w:vAlign w:val="center"/>
                </w:tcPr>
                <w:p w14:paraId="23D8C1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color w:val="auto"/>
                      <w:szCs w:val="21"/>
                    </w:rPr>
                    <w:t>26</w:t>
                  </w:r>
                </w:p>
              </w:tc>
              <w:tc>
                <w:tcPr>
                  <w:tcW w:w="462" w:type="dxa"/>
                  <w:vMerge w:val="continue"/>
                  <w:tcBorders>
                    <w:right w:val="single" w:color="000000" w:sz="4" w:space="0"/>
                    <w:tl2br w:val="nil"/>
                    <w:tr2bl w:val="nil"/>
                  </w:tcBorders>
                  <w:vAlign w:val="center"/>
                </w:tcPr>
                <w:p w14:paraId="7224A40F">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2493" w:type="dxa"/>
                  <w:tcBorders>
                    <w:left w:val="single" w:color="000000" w:sz="4" w:space="0"/>
                    <w:tl2br w:val="nil"/>
                    <w:tr2bl w:val="nil"/>
                  </w:tcBorders>
                  <w:shd w:val="clear" w:color="auto" w:fill="auto"/>
                  <w:vAlign w:val="center"/>
                </w:tcPr>
                <w:p w14:paraId="62D87BAA">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PCBA自动测试平台</w:t>
                  </w:r>
                </w:p>
              </w:tc>
              <w:tc>
                <w:tcPr>
                  <w:tcW w:w="1634" w:type="dxa"/>
                  <w:tcBorders>
                    <w:tl2br w:val="nil"/>
                    <w:tr2bl w:val="nil"/>
                  </w:tcBorders>
                  <w:vAlign w:val="center"/>
                </w:tcPr>
                <w:p w14:paraId="7CB699BA">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1078" w:type="dxa"/>
                  <w:tcBorders>
                    <w:left w:val="single" w:color="auto" w:sz="4" w:space="0"/>
                    <w:tl2br w:val="nil"/>
                    <w:tr2bl w:val="nil"/>
                  </w:tcBorders>
                  <w:shd w:val="clear" w:color="auto" w:fill="auto"/>
                  <w:vAlign w:val="center"/>
                </w:tcPr>
                <w:p w14:paraId="2D2EDF0A">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w:t>
                  </w:r>
                </w:p>
              </w:tc>
              <w:tc>
                <w:tcPr>
                  <w:tcW w:w="2219" w:type="dxa"/>
                  <w:tcBorders>
                    <w:tl2br w:val="nil"/>
                    <w:tr2bl w:val="nil"/>
                  </w:tcBorders>
                  <w:vAlign w:val="center"/>
                </w:tcPr>
                <w:p w14:paraId="3F9F653A">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PCBA半成品板测试</w:t>
                  </w:r>
                </w:p>
              </w:tc>
            </w:tr>
            <w:tr w14:paraId="45CF89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6" w:type="dxa"/>
                  <w:tcBorders>
                    <w:tl2br w:val="nil"/>
                    <w:tr2bl w:val="nil"/>
                  </w:tcBorders>
                  <w:shd w:val="clear" w:color="auto" w:fill="auto"/>
                  <w:vAlign w:val="center"/>
                </w:tcPr>
                <w:p w14:paraId="79AB05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color w:val="auto"/>
                      <w:szCs w:val="21"/>
                    </w:rPr>
                    <w:t>27</w:t>
                  </w:r>
                </w:p>
              </w:tc>
              <w:tc>
                <w:tcPr>
                  <w:tcW w:w="462" w:type="dxa"/>
                  <w:vMerge w:val="continue"/>
                  <w:tcBorders>
                    <w:right w:val="single" w:color="000000" w:sz="4" w:space="0"/>
                    <w:tl2br w:val="nil"/>
                    <w:tr2bl w:val="nil"/>
                  </w:tcBorders>
                  <w:vAlign w:val="center"/>
                </w:tcPr>
                <w:p w14:paraId="668C5261">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2493" w:type="dxa"/>
                  <w:tcBorders>
                    <w:left w:val="single" w:color="000000" w:sz="4" w:space="0"/>
                    <w:tl2br w:val="nil"/>
                    <w:tr2bl w:val="nil"/>
                  </w:tcBorders>
                  <w:shd w:val="clear" w:color="auto" w:fill="auto"/>
                  <w:vAlign w:val="center"/>
                </w:tcPr>
                <w:p w14:paraId="6F16A58D">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高低温交变湿热试验箱</w:t>
                  </w:r>
                </w:p>
              </w:tc>
              <w:tc>
                <w:tcPr>
                  <w:tcW w:w="1634" w:type="dxa"/>
                  <w:tcBorders>
                    <w:tl2br w:val="nil"/>
                    <w:tr2bl w:val="nil"/>
                  </w:tcBorders>
                  <w:vAlign w:val="center"/>
                </w:tcPr>
                <w:p w14:paraId="008BD92B">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1078" w:type="dxa"/>
                  <w:tcBorders>
                    <w:left w:val="single" w:color="auto" w:sz="4" w:space="0"/>
                    <w:tl2br w:val="nil"/>
                    <w:tr2bl w:val="nil"/>
                  </w:tcBorders>
                  <w:shd w:val="clear" w:color="auto" w:fill="auto"/>
                  <w:vAlign w:val="center"/>
                </w:tcPr>
                <w:p w14:paraId="4AD8D8A8">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w:t>
                  </w:r>
                </w:p>
              </w:tc>
              <w:tc>
                <w:tcPr>
                  <w:tcW w:w="2219" w:type="dxa"/>
                  <w:tcBorders>
                    <w:tl2br w:val="nil"/>
                    <w:tr2bl w:val="nil"/>
                  </w:tcBorders>
                  <w:vAlign w:val="center"/>
                </w:tcPr>
                <w:p w14:paraId="696D7B64">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tr w14:paraId="052373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6" w:type="dxa"/>
                  <w:tcBorders>
                    <w:tl2br w:val="nil"/>
                    <w:tr2bl w:val="nil"/>
                  </w:tcBorders>
                  <w:vAlign w:val="center"/>
                </w:tcPr>
                <w:p w14:paraId="2D9A42CA">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val="en-US" w:eastAsia="zh-CN"/>
                    </w:rPr>
                    <w:t>28</w:t>
                  </w:r>
                </w:p>
              </w:tc>
              <w:tc>
                <w:tcPr>
                  <w:tcW w:w="462" w:type="dxa"/>
                  <w:vMerge w:val="continue"/>
                  <w:tcBorders>
                    <w:right w:val="single" w:color="000000" w:sz="4" w:space="0"/>
                    <w:tl2br w:val="nil"/>
                    <w:tr2bl w:val="nil"/>
                  </w:tcBorders>
                  <w:vAlign w:val="center"/>
                </w:tcPr>
                <w:p w14:paraId="071DE885">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2493" w:type="dxa"/>
                  <w:tcBorders>
                    <w:left w:val="single" w:color="000000" w:sz="4" w:space="0"/>
                    <w:tl2br w:val="nil"/>
                    <w:tr2bl w:val="nil"/>
                  </w:tcBorders>
                  <w:shd w:val="clear" w:color="auto" w:fill="auto"/>
                  <w:vAlign w:val="center"/>
                </w:tcPr>
                <w:p w14:paraId="7BC5B7DF">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励磁电机</w:t>
                  </w:r>
                </w:p>
              </w:tc>
              <w:tc>
                <w:tcPr>
                  <w:tcW w:w="1634" w:type="dxa"/>
                  <w:tcBorders>
                    <w:tl2br w:val="nil"/>
                    <w:tr2bl w:val="nil"/>
                  </w:tcBorders>
                  <w:shd w:val="clear" w:color="auto" w:fill="auto"/>
                  <w:vAlign w:val="center"/>
                </w:tcPr>
                <w:p w14:paraId="558F15B1">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1078" w:type="dxa"/>
                  <w:tcBorders>
                    <w:left w:val="single" w:color="auto" w:sz="4" w:space="0"/>
                    <w:tl2br w:val="nil"/>
                    <w:tr2bl w:val="nil"/>
                  </w:tcBorders>
                  <w:shd w:val="clear" w:color="auto" w:fill="auto"/>
                  <w:vAlign w:val="center"/>
                </w:tcPr>
                <w:p w14:paraId="0D241FD3">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w:t>
                  </w:r>
                </w:p>
              </w:tc>
              <w:tc>
                <w:tcPr>
                  <w:tcW w:w="2219" w:type="dxa"/>
                  <w:tcBorders>
                    <w:tl2br w:val="nil"/>
                    <w:tr2bl w:val="nil"/>
                  </w:tcBorders>
                  <w:shd w:val="clear" w:color="auto" w:fill="auto"/>
                  <w:vAlign w:val="center"/>
                </w:tcPr>
                <w:p w14:paraId="582FD117">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tr w14:paraId="4CC04F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6" w:type="dxa"/>
                  <w:tcBorders>
                    <w:tl2br w:val="nil"/>
                    <w:tr2bl w:val="nil"/>
                  </w:tcBorders>
                  <w:vAlign w:val="center"/>
                </w:tcPr>
                <w:p w14:paraId="56C49DAE">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color w:val="auto"/>
                      <w:szCs w:val="21"/>
                      <w:lang w:val="en-US" w:eastAsia="zh-CN"/>
                    </w:rPr>
                  </w:pPr>
                  <w:r>
                    <w:rPr>
                      <w:rFonts w:hint="eastAsia"/>
                      <w:color w:val="auto"/>
                      <w:szCs w:val="21"/>
                      <w:lang w:val="en-US" w:eastAsia="zh-CN"/>
                    </w:rPr>
                    <w:t>29</w:t>
                  </w:r>
                </w:p>
              </w:tc>
              <w:tc>
                <w:tcPr>
                  <w:tcW w:w="2955" w:type="dxa"/>
                  <w:gridSpan w:val="2"/>
                  <w:tcBorders>
                    <w:tl2br w:val="nil"/>
                    <w:tr2bl w:val="nil"/>
                  </w:tcBorders>
                  <w:vAlign w:val="center"/>
                </w:tcPr>
                <w:p w14:paraId="27A12E64">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Cs w:val="21"/>
                      <w:lang w:eastAsia="zh-CN"/>
                    </w:rPr>
                  </w:pPr>
                  <w:r>
                    <w:rPr>
                      <w:rFonts w:hint="eastAsia"/>
                      <w:color w:val="auto"/>
                      <w:szCs w:val="21"/>
                      <w:lang w:eastAsia="zh-CN"/>
                    </w:rPr>
                    <w:t>空压机</w:t>
                  </w:r>
                </w:p>
              </w:tc>
              <w:tc>
                <w:tcPr>
                  <w:tcW w:w="1634" w:type="dxa"/>
                  <w:tcBorders>
                    <w:tl2br w:val="nil"/>
                    <w:tr2bl w:val="nil"/>
                  </w:tcBorders>
                  <w:shd w:val="clear" w:color="auto" w:fill="auto"/>
                  <w:vAlign w:val="center"/>
                </w:tcPr>
                <w:p w14:paraId="57D343D1">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Cs w:val="21"/>
                      <w:lang w:val="en-US" w:eastAsia="zh-CN"/>
                    </w:rPr>
                  </w:pPr>
                  <w:r>
                    <w:rPr>
                      <w:rFonts w:hint="eastAsia"/>
                      <w:color w:val="auto"/>
                      <w:szCs w:val="21"/>
                      <w:lang w:val="en-US" w:eastAsia="zh-CN"/>
                    </w:rPr>
                    <w:t>/</w:t>
                  </w:r>
                </w:p>
              </w:tc>
              <w:tc>
                <w:tcPr>
                  <w:tcW w:w="1078" w:type="dxa"/>
                  <w:tcBorders>
                    <w:left w:val="single" w:color="auto" w:sz="4" w:space="0"/>
                    <w:tl2br w:val="nil"/>
                    <w:tr2bl w:val="nil"/>
                  </w:tcBorders>
                  <w:shd w:val="clear" w:color="auto" w:fill="auto"/>
                  <w:vAlign w:val="center"/>
                </w:tcPr>
                <w:p w14:paraId="5BFB6A6F">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Cs w:val="21"/>
                      <w:lang w:val="en-US" w:eastAsia="zh-CN"/>
                    </w:rPr>
                  </w:pPr>
                  <w:r>
                    <w:rPr>
                      <w:rFonts w:hint="eastAsia"/>
                      <w:color w:val="auto"/>
                      <w:szCs w:val="21"/>
                      <w:lang w:val="en-US" w:eastAsia="zh-CN"/>
                    </w:rPr>
                    <w:t>2</w:t>
                  </w:r>
                </w:p>
              </w:tc>
              <w:tc>
                <w:tcPr>
                  <w:tcW w:w="2219" w:type="dxa"/>
                  <w:tcBorders>
                    <w:tl2br w:val="nil"/>
                    <w:tr2bl w:val="nil"/>
                  </w:tcBorders>
                  <w:shd w:val="clear" w:color="auto" w:fill="auto"/>
                  <w:vAlign w:val="center"/>
                </w:tcPr>
                <w:p w14:paraId="0B4312AA">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Cs w:val="21"/>
                      <w:lang w:val="en-US" w:eastAsia="zh-CN"/>
                    </w:rPr>
                  </w:pPr>
                  <w:r>
                    <w:rPr>
                      <w:rFonts w:hint="eastAsia"/>
                      <w:color w:val="auto"/>
                      <w:szCs w:val="21"/>
                      <w:lang w:val="en-US" w:eastAsia="zh-CN"/>
                    </w:rPr>
                    <w:t>/</w:t>
                  </w:r>
                </w:p>
              </w:tc>
            </w:tr>
          </w:tbl>
          <w:p w14:paraId="3DDE2AE6">
            <w:pPr>
              <w:adjustRightInd w:val="0"/>
              <w:snapToGrid w:val="0"/>
              <w:spacing w:before="120" w:beforeLines="50" w:line="360" w:lineRule="auto"/>
              <w:ind w:firstLine="482" w:firstLineChars="200"/>
              <w:rPr>
                <w:b/>
                <w:color w:val="auto"/>
                <w:sz w:val="24"/>
              </w:rPr>
            </w:pPr>
            <w:r>
              <w:rPr>
                <w:b/>
                <w:color w:val="auto"/>
                <w:sz w:val="24"/>
              </w:rPr>
              <w:t>4．建设项目原辅材料</w:t>
            </w:r>
          </w:p>
          <w:p w14:paraId="3A8EF4C4">
            <w:pPr>
              <w:autoSpaceDE w:val="0"/>
              <w:autoSpaceDN w:val="0"/>
              <w:adjustRightInd w:val="0"/>
              <w:snapToGrid w:val="0"/>
              <w:spacing w:line="360" w:lineRule="auto"/>
              <w:ind w:firstLine="480" w:firstLineChars="200"/>
              <w:rPr>
                <w:b/>
                <w:color w:val="auto"/>
                <w:sz w:val="24"/>
                <w:lang w:val="zh-CN"/>
              </w:rPr>
            </w:pPr>
            <w:r>
              <w:rPr>
                <w:color w:val="auto"/>
                <w:sz w:val="24"/>
              </w:rPr>
              <w:t>本项目主要原辅材料及能源消耗见表2-4。</w:t>
            </w:r>
          </w:p>
          <w:p w14:paraId="3ADDB970">
            <w:pPr>
              <w:adjustRightInd w:val="0"/>
              <w:snapToGrid w:val="0"/>
              <w:ind w:firstLine="482"/>
              <w:jc w:val="center"/>
              <w:rPr>
                <w:b/>
                <w:color w:val="auto"/>
                <w:sz w:val="24"/>
                <w:lang w:val="zh-CN"/>
              </w:rPr>
            </w:pPr>
            <w:r>
              <w:rPr>
                <w:b/>
                <w:color w:val="auto"/>
                <w:sz w:val="24"/>
                <w:lang w:val="zh-CN"/>
              </w:rPr>
              <w:t>表2-</w:t>
            </w:r>
            <w:r>
              <w:rPr>
                <w:b/>
                <w:color w:val="auto"/>
                <w:sz w:val="24"/>
              </w:rPr>
              <w:t xml:space="preserve">4 </w:t>
            </w:r>
            <w:r>
              <w:rPr>
                <w:b/>
                <w:color w:val="auto"/>
                <w:sz w:val="24"/>
                <w:lang w:val="zh-CN"/>
              </w:rPr>
              <w:t>主要原辅材料用量表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0"/>
              <w:gridCol w:w="429"/>
              <w:gridCol w:w="429"/>
              <w:gridCol w:w="1264"/>
              <w:gridCol w:w="2977"/>
              <w:gridCol w:w="1099"/>
              <w:gridCol w:w="969"/>
              <w:gridCol w:w="855"/>
            </w:tblGrid>
            <w:tr w14:paraId="465A3D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254" w:type="pct"/>
                  <w:tcBorders>
                    <w:tl2br w:val="nil"/>
                    <w:tr2bl w:val="nil"/>
                  </w:tcBorders>
                  <w:vAlign w:val="center"/>
                </w:tcPr>
                <w:p w14:paraId="608AE5CD">
                  <w:pPr>
                    <w:keepNext w:val="0"/>
                    <w:keepLines w:val="0"/>
                    <w:pageBreakBefore w:val="0"/>
                    <w:widowControl/>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序号</w:t>
                  </w:r>
                </w:p>
              </w:tc>
              <w:tc>
                <w:tcPr>
                  <w:tcW w:w="1255" w:type="pct"/>
                  <w:gridSpan w:val="3"/>
                  <w:tcBorders>
                    <w:tl2br w:val="nil"/>
                    <w:tr2bl w:val="nil"/>
                  </w:tcBorders>
                  <w:vAlign w:val="center"/>
                </w:tcPr>
                <w:p w14:paraId="60232389">
                  <w:pPr>
                    <w:keepNext w:val="0"/>
                    <w:keepLines w:val="0"/>
                    <w:pageBreakBefore w:val="0"/>
                    <w:widowControl/>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原料名称</w:t>
                  </w:r>
                </w:p>
              </w:tc>
              <w:tc>
                <w:tcPr>
                  <w:tcW w:w="1761" w:type="pct"/>
                  <w:tcBorders>
                    <w:tl2br w:val="nil"/>
                    <w:tr2bl w:val="nil"/>
                  </w:tcBorders>
                  <w:vAlign w:val="center"/>
                </w:tcPr>
                <w:p w14:paraId="0367FE3E">
                  <w:pPr>
                    <w:keepNext w:val="0"/>
                    <w:keepLines w:val="0"/>
                    <w:pageBreakBefore w:val="0"/>
                    <w:widowControl/>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规格/型号</w:t>
                  </w:r>
                </w:p>
              </w:tc>
              <w:tc>
                <w:tcPr>
                  <w:tcW w:w="650" w:type="pct"/>
                  <w:tcBorders>
                    <w:tl2br w:val="nil"/>
                    <w:tr2bl w:val="nil"/>
                  </w:tcBorders>
                  <w:vAlign w:val="center"/>
                </w:tcPr>
                <w:p w14:paraId="597427D6">
                  <w:pPr>
                    <w:keepNext w:val="0"/>
                    <w:keepLines w:val="0"/>
                    <w:pageBreakBefore w:val="0"/>
                    <w:widowControl/>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年耗量（t/a）</w:t>
                  </w:r>
                </w:p>
              </w:tc>
              <w:tc>
                <w:tcPr>
                  <w:tcW w:w="573" w:type="pct"/>
                  <w:tcBorders>
                    <w:tl2br w:val="nil"/>
                    <w:tr2bl w:val="nil"/>
                  </w:tcBorders>
                  <w:vAlign w:val="center"/>
                </w:tcPr>
                <w:p w14:paraId="0E1C311C">
                  <w:pPr>
                    <w:keepNext w:val="0"/>
                    <w:keepLines w:val="0"/>
                    <w:pageBreakBefore w:val="0"/>
                    <w:widowControl/>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储存量（t）</w:t>
                  </w:r>
                </w:p>
              </w:tc>
              <w:tc>
                <w:tcPr>
                  <w:tcW w:w="505" w:type="pct"/>
                  <w:tcBorders>
                    <w:tl2br w:val="nil"/>
                    <w:tr2bl w:val="nil"/>
                  </w:tcBorders>
                  <w:vAlign w:val="center"/>
                </w:tcPr>
                <w:p w14:paraId="767C7B89">
                  <w:pPr>
                    <w:keepNext w:val="0"/>
                    <w:keepLines w:val="0"/>
                    <w:pageBreakBefore w:val="0"/>
                    <w:widowControl/>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备注</w:t>
                  </w:r>
                </w:p>
              </w:tc>
            </w:tr>
            <w:tr w14:paraId="2CA687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vAlign w:val="center"/>
                </w:tcPr>
                <w:p w14:paraId="7CD02868">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bookmarkStart w:id="6" w:name="_Hlk49780314"/>
                  <w:bookmarkStart w:id="7" w:name="OLE_LINK13" w:colFirst="2" w:colLast="3"/>
                  <w:bookmarkStart w:id="8" w:name="OLE_LINK12" w:colFirst="2" w:colLast="3"/>
                  <w:r>
                    <w:rPr>
                      <w:color w:val="auto"/>
                      <w:szCs w:val="21"/>
                    </w:rPr>
                    <w:t>1</w:t>
                  </w:r>
                </w:p>
              </w:tc>
              <w:tc>
                <w:tcPr>
                  <w:tcW w:w="253" w:type="pct"/>
                  <w:vMerge w:val="restart"/>
                  <w:tcBorders>
                    <w:tl2br w:val="nil"/>
                    <w:tr2bl w:val="nil"/>
                  </w:tcBorders>
                  <w:vAlign w:val="center"/>
                </w:tcPr>
                <w:p w14:paraId="2FAED82A">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原料</w:t>
                  </w:r>
                </w:p>
              </w:tc>
              <w:tc>
                <w:tcPr>
                  <w:tcW w:w="1001" w:type="pct"/>
                  <w:gridSpan w:val="2"/>
                  <w:tcBorders>
                    <w:tl2br w:val="nil"/>
                    <w:tr2bl w:val="nil"/>
                  </w:tcBorders>
                  <w:vAlign w:val="center"/>
                </w:tcPr>
                <w:p w14:paraId="55C091AF">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铝合金</w:t>
                  </w:r>
                </w:p>
              </w:tc>
              <w:tc>
                <w:tcPr>
                  <w:tcW w:w="1761" w:type="pct"/>
                  <w:tcBorders>
                    <w:tl2br w:val="nil"/>
                    <w:tr2bl w:val="nil"/>
                  </w:tcBorders>
                  <w:vAlign w:val="center"/>
                </w:tcPr>
                <w:p w14:paraId="071DD59F">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铝拉伸壳</w:t>
                  </w:r>
                </w:p>
              </w:tc>
              <w:tc>
                <w:tcPr>
                  <w:tcW w:w="650" w:type="pct"/>
                  <w:tcBorders>
                    <w:tl2br w:val="nil"/>
                    <w:tr2bl w:val="nil"/>
                  </w:tcBorders>
                  <w:vAlign w:val="center"/>
                </w:tcPr>
                <w:p w14:paraId="074BE7F2">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w:t>
                  </w:r>
                  <w:r>
                    <w:rPr>
                      <w:color w:val="auto"/>
                      <w:szCs w:val="21"/>
                    </w:rPr>
                    <w:t>万套</w:t>
                  </w:r>
                </w:p>
              </w:tc>
              <w:tc>
                <w:tcPr>
                  <w:tcW w:w="573" w:type="pct"/>
                  <w:tcBorders>
                    <w:tl2br w:val="nil"/>
                    <w:tr2bl w:val="nil"/>
                  </w:tcBorders>
                  <w:vAlign w:val="center"/>
                </w:tcPr>
                <w:p w14:paraId="619E0402">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w:t>
                  </w:r>
                  <w:r>
                    <w:rPr>
                      <w:color w:val="auto"/>
                      <w:szCs w:val="21"/>
                    </w:rPr>
                    <w:t>00套</w:t>
                  </w:r>
                </w:p>
              </w:tc>
              <w:tc>
                <w:tcPr>
                  <w:tcW w:w="505" w:type="pct"/>
                  <w:tcBorders>
                    <w:tl2br w:val="nil"/>
                    <w:tr2bl w:val="nil"/>
                  </w:tcBorders>
                  <w:vAlign w:val="center"/>
                </w:tcPr>
                <w:p w14:paraId="06477F69">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tr w14:paraId="3D0FEA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vAlign w:val="center"/>
                </w:tcPr>
                <w:p w14:paraId="57CDE4DD">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2</w:t>
                  </w:r>
                </w:p>
              </w:tc>
              <w:tc>
                <w:tcPr>
                  <w:tcW w:w="253" w:type="pct"/>
                  <w:vMerge w:val="continue"/>
                  <w:tcBorders>
                    <w:tl2br w:val="nil"/>
                    <w:tr2bl w:val="nil"/>
                  </w:tcBorders>
                  <w:vAlign w:val="center"/>
                </w:tcPr>
                <w:p w14:paraId="39C776E0">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253" w:type="pct"/>
                  <w:vMerge w:val="restart"/>
                  <w:tcBorders>
                    <w:tl2br w:val="nil"/>
                    <w:tr2bl w:val="nil"/>
                  </w:tcBorders>
                  <w:vAlign w:val="center"/>
                </w:tcPr>
                <w:p w14:paraId="3A14F4B7">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钢材</w:t>
                  </w:r>
                </w:p>
              </w:tc>
              <w:tc>
                <w:tcPr>
                  <w:tcW w:w="747" w:type="pct"/>
                  <w:tcBorders>
                    <w:tl2br w:val="nil"/>
                    <w:tr2bl w:val="nil"/>
                  </w:tcBorders>
                  <w:vAlign w:val="center"/>
                </w:tcPr>
                <w:p w14:paraId="43C25C6F">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硅钢片</w:t>
                  </w:r>
                </w:p>
              </w:tc>
              <w:tc>
                <w:tcPr>
                  <w:tcW w:w="1761" w:type="pct"/>
                  <w:tcBorders>
                    <w:tl2br w:val="nil"/>
                    <w:tr2bl w:val="nil"/>
                  </w:tcBorders>
                  <w:vAlign w:val="center"/>
                </w:tcPr>
                <w:p w14:paraId="12225818">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硅铁软磁合金</w:t>
                  </w:r>
                </w:p>
              </w:tc>
              <w:tc>
                <w:tcPr>
                  <w:tcW w:w="650" w:type="pct"/>
                  <w:tcBorders>
                    <w:tl2br w:val="nil"/>
                    <w:tr2bl w:val="nil"/>
                  </w:tcBorders>
                  <w:vAlign w:val="center"/>
                </w:tcPr>
                <w:p w14:paraId="0AAC71BF">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200</w:t>
                  </w:r>
                </w:p>
              </w:tc>
              <w:tc>
                <w:tcPr>
                  <w:tcW w:w="573" w:type="pct"/>
                  <w:tcBorders>
                    <w:tl2br w:val="nil"/>
                    <w:tr2bl w:val="nil"/>
                  </w:tcBorders>
                  <w:vAlign w:val="center"/>
                </w:tcPr>
                <w:p w14:paraId="29B7FF62">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w:t>
                  </w:r>
                </w:p>
              </w:tc>
              <w:tc>
                <w:tcPr>
                  <w:tcW w:w="505" w:type="pct"/>
                  <w:tcBorders>
                    <w:tl2br w:val="nil"/>
                    <w:tr2bl w:val="nil"/>
                  </w:tcBorders>
                  <w:vAlign w:val="center"/>
                </w:tcPr>
                <w:p w14:paraId="2BAC249B">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tr w14:paraId="603DB6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vAlign w:val="center"/>
                </w:tcPr>
                <w:p w14:paraId="5CD44588">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3</w:t>
                  </w:r>
                </w:p>
              </w:tc>
              <w:tc>
                <w:tcPr>
                  <w:tcW w:w="253" w:type="pct"/>
                  <w:vMerge w:val="continue"/>
                  <w:tcBorders>
                    <w:tl2br w:val="nil"/>
                    <w:tr2bl w:val="nil"/>
                  </w:tcBorders>
                  <w:vAlign w:val="center"/>
                </w:tcPr>
                <w:p w14:paraId="25BDFF7F">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253" w:type="pct"/>
                  <w:vMerge w:val="continue"/>
                  <w:tcBorders>
                    <w:tl2br w:val="nil"/>
                    <w:tr2bl w:val="nil"/>
                  </w:tcBorders>
                  <w:vAlign w:val="center"/>
                </w:tcPr>
                <w:p w14:paraId="34758461">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747" w:type="pct"/>
                  <w:tcBorders>
                    <w:tl2br w:val="nil"/>
                    <w:tr2bl w:val="nil"/>
                  </w:tcBorders>
                  <w:vAlign w:val="center"/>
                </w:tcPr>
                <w:p w14:paraId="575B14E4">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40Cr圆棒</w:t>
                  </w:r>
                </w:p>
              </w:tc>
              <w:tc>
                <w:tcPr>
                  <w:tcW w:w="1761" w:type="pct"/>
                  <w:tcBorders>
                    <w:tl2br w:val="nil"/>
                    <w:tr2bl w:val="nil"/>
                  </w:tcBorders>
                  <w:vAlign w:val="center"/>
                </w:tcPr>
                <w:p w14:paraId="0B3DCC6C">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40铬是高锰耐磨钢</w:t>
                  </w:r>
                </w:p>
              </w:tc>
              <w:tc>
                <w:tcPr>
                  <w:tcW w:w="650" w:type="pct"/>
                  <w:tcBorders>
                    <w:tl2br w:val="nil"/>
                    <w:tr2bl w:val="nil"/>
                  </w:tcBorders>
                  <w:vAlign w:val="center"/>
                </w:tcPr>
                <w:p w14:paraId="3EB3A689">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80</w:t>
                  </w:r>
                </w:p>
              </w:tc>
              <w:tc>
                <w:tcPr>
                  <w:tcW w:w="573" w:type="pct"/>
                  <w:tcBorders>
                    <w:tl2br w:val="nil"/>
                    <w:tr2bl w:val="nil"/>
                  </w:tcBorders>
                  <w:vAlign w:val="center"/>
                </w:tcPr>
                <w:p w14:paraId="67911651">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w:t>
                  </w:r>
                </w:p>
              </w:tc>
              <w:tc>
                <w:tcPr>
                  <w:tcW w:w="505" w:type="pct"/>
                  <w:tcBorders>
                    <w:tl2br w:val="nil"/>
                    <w:tr2bl w:val="nil"/>
                  </w:tcBorders>
                  <w:vAlign w:val="center"/>
                </w:tcPr>
                <w:p w14:paraId="794EBBE3">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tr w14:paraId="441EF9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vAlign w:val="center"/>
                </w:tcPr>
                <w:p w14:paraId="6532F625">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4</w:t>
                  </w:r>
                </w:p>
              </w:tc>
              <w:tc>
                <w:tcPr>
                  <w:tcW w:w="253" w:type="pct"/>
                  <w:vMerge w:val="continue"/>
                  <w:tcBorders>
                    <w:tl2br w:val="nil"/>
                    <w:tr2bl w:val="nil"/>
                  </w:tcBorders>
                  <w:vAlign w:val="center"/>
                </w:tcPr>
                <w:p w14:paraId="41A265F1">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253" w:type="pct"/>
                  <w:vMerge w:val="continue"/>
                  <w:tcBorders>
                    <w:tl2br w:val="nil"/>
                    <w:tr2bl w:val="nil"/>
                  </w:tcBorders>
                  <w:vAlign w:val="center"/>
                </w:tcPr>
                <w:p w14:paraId="3216CD14">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747" w:type="pct"/>
                  <w:tcBorders>
                    <w:tl2br w:val="nil"/>
                    <w:tr2bl w:val="nil"/>
                  </w:tcBorders>
                  <w:vAlign w:val="center"/>
                </w:tcPr>
                <w:p w14:paraId="20AA17F8">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Q235钢板</w:t>
                  </w:r>
                </w:p>
              </w:tc>
              <w:tc>
                <w:tcPr>
                  <w:tcW w:w="1761" w:type="pct"/>
                  <w:tcBorders>
                    <w:tl2br w:val="nil"/>
                    <w:tr2bl w:val="nil"/>
                  </w:tcBorders>
                  <w:vAlign w:val="center"/>
                </w:tcPr>
                <w:p w14:paraId="5AD351D2">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Q235碳钢</w:t>
                  </w:r>
                </w:p>
              </w:tc>
              <w:tc>
                <w:tcPr>
                  <w:tcW w:w="650" w:type="pct"/>
                  <w:tcBorders>
                    <w:tl2br w:val="nil"/>
                    <w:tr2bl w:val="nil"/>
                  </w:tcBorders>
                  <w:vAlign w:val="center"/>
                </w:tcPr>
                <w:p w14:paraId="458B9238">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80</w:t>
                  </w:r>
                </w:p>
              </w:tc>
              <w:tc>
                <w:tcPr>
                  <w:tcW w:w="573" w:type="pct"/>
                  <w:tcBorders>
                    <w:tl2br w:val="nil"/>
                    <w:tr2bl w:val="nil"/>
                  </w:tcBorders>
                  <w:vAlign w:val="center"/>
                </w:tcPr>
                <w:p w14:paraId="6B9B02C5">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w:t>
                  </w:r>
                </w:p>
              </w:tc>
              <w:tc>
                <w:tcPr>
                  <w:tcW w:w="505" w:type="pct"/>
                  <w:tcBorders>
                    <w:tl2br w:val="nil"/>
                    <w:tr2bl w:val="nil"/>
                  </w:tcBorders>
                  <w:vAlign w:val="center"/>
                </w:tcPr>
                <w:p w14:paraId="4724C74E">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tr w14:paraId="7D7A43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vAlign w:val="center"/>
                </w:tcPr>
                <w:p w14:paraId="4981B72A">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5</w:t>
                  </w:r>
                </w:p>
              </w:tc>
              <w:tc>
                <w:tcPr>
                  <w:tcW w:w="253" w:type="pct"/>
                  <w:vMerge w:val="continue"/>
                  <w:tcBorders>
                    <w:tl2br w:val="nil"/>
                    <w:tr2bl w:val="nil"/>
                  </w:tcBorders>
                  <w:vAlign w:val="center"/>
                </w:tcPr>
                <w:p w14:paraId="3DFE9A3E">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253" w:type="pct"/>
                  <w:vMerge w:val="continue"/>
                  <w:tcBorders>
                    <w:tl2br w:val="nil"/>
                    <w:tr2bl w:val="nil"/>
                  </w:tcBorders>
                  <w:vAlign w:val="center"/>
                </w:tcPr>
                <w:p w14:paraId="2603331F">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747" w:type="pct"/>
                  <w:tcBorders>
                    <w:tl2br w:val="nil"/>
                    <w:tr2bl w:val="nil"/>
                  </w:tcBorders>
                  <w:vAlign w:val="center"/>
                </w:tcPr>
                <w:p w14:paraId="67286195">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磁钢</w:t>
                  </w:r>
                </w:p>
              </w:tc>
              <w:tc>
                <w:tcPr>
                  <w:tcW w:w="1761" w:type="pct"/>
                  <w:tcBorders>
                    <w:tl2br w:val="nil"/>
                    <w:tr2bl w:val="nil"/>
                  </w:tcBorders>
                  <w:vAlign w:val="center"/>
                </w:tcPr>
                <w:p w14:paraId="158E2C94">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钕、铁、硼</w:t>
                  </w:r>
                </w:p>
              </w:tc>
              <w:tc>
                <w:tcPr>
                  <w:tcW w:w="650" w:type="pct"/>
                  <w:tcBorders>
                    <w:tl2br w:val="nil"/>
                    <w:tr2bl w:val="nil"/>
                  </w:tcBorders>
                  <w:vAlign w:val="center"/>
                </w:tcPr>
                <w:p w14:paraId="08E03A35">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80</w:t>
                  </w:r>
                </w:p>
              </w:tc>
              <w:tc>
                <w:tcPr>
                  <w:tcW w:w="573" w:type="pct"/>
                  <w:tcBorders>
                    <w:tl2br w:val="nil"/>
                    <w:tr2bl w:val="nil"/>
                  </w:tcBorders>
                  <w:vAlign w:val="center"/>
                </w:tcPr>
                <w:p w14:paraId="2894954E">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w:t>
                  </w:r>
                </w:p>
              </w:tc>
              <w:tc>
                <w:tcPr>
                  <w:tcW w:w="505" w:type="pct"/>
                  <w:tcBorders>
                    <w:tl2br w:val="nil"/>
                    <w:tr2bl w:val="nil"/>
                  </w:tcBorders>
                  <w:vAlign w:val="center"/>
                </w:tcPr>
                <w:p w14:paraId="1FD543AF">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tr w14:paraId="28CC6E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vAlign w:val="center"/>
                </w:tcPr>
                <w:p w14:paraId="7EA0F676">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6</w:t>
                  </w:r>
                </w:p>
              </w:tc>
              <w:tc>
                <w:tcPr>
                  <w:tcW w:w="253" w:type="pct"/>
                  <w:vMerge w:val="continue"/>
                  <w:tcBorders>
                    <w:tl2br w:val="nil"/>
                    <w:tr2bl w:val="nil"/>
                  </w:tcBorders>
                  <w:vAlign w:val="center"/>
                </w:tcPr>
                <w:p w14:paraId="630A87BF">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1001" w:type="pct"/>
                  <w:gridSpan w:val="2"/>
                  <w:tcBorders>
                    <w:tl2br w:val="nil"/>
                    <w:tr2bl w:val="nil"/>
                  </w:tcBorders>
                  <w:vAlign w:val="center"/>
                </w:tcPr>
                <w:p w14:paraId="60AC9A4F">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电机</w:t>
                  </w:r>
                  <w:r>
                    <w:rPr>
                      <w:color w:val="auto"/>
                      <w:szCs w:val="21"/>
                    </w:rPr>
                    <w:t>毛坯</w:t>
                  </w:r>
                </w:p>
              </w:tc>
              <w:tc>
                <w:tcPr>
                  <w:tcW w:w="1761" w:type="pct"/>
                  <w:tcBorders>
                    <w:tl2br w:val="nil"/>
                    <w:tr2bl w:val="nil"/>
                  </w:tcBorders>
                  <w:vAlign w:val="center"/>
                </w:tcPr>
                <w:p w14:paraId="195F640E">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铸铁壳</w:t>
                  </w:r>
                  <w:r>
                    <w:rPr>
                      <w:rFonts w:hint="eastAsia"/>
                      <w:color w:val="auto"/>
                      <w:szCs w:val="21"/>
                    </w:rPr>
                    <w:t>（</w:t>
                  </w:r>
                  <w:r>
                    <w:rPr>
                      <w:color w:val="auto"/>
                      <w:szCs w:val="21"/>
                    </w:rPr>
                    <w:t>铁碳合金</w:t>
                  </w:r>
                  <w:r>
                    <w:rPr>
                      <w:rFonts w:hint="eastAsia"/>
                      <w:color w:val="auto"/>
                      <w:szCs w:val="21"/>
                    </w:rPr>
                    <w:t>）</w:t>
                  </w:r>
                </w:p>
              </w:tc>
              <w:tc>
                <w:tcPr>
                  <w:tcW w:w="650" w:type="pct"/>
                  <w:tcBorders>
                    <w:tl2br w:val="nil"/>
                    <w:tr2bl w:val="nil"/>
                  </w:tcBorders>
                  <w:vAlign w:val="center"/>
                </w:tcPr>
                <w:p w14:paraId="22EA0863">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2.8</w:t>
                  </w:r>
                  <w:r>
                    <w:rPr>
                      <w:color w:val="auto"/>
                      <w:szCs w:val="21"/>
                    </w:rPr>
                    <w:t>万套</w:t>
                  </w:r>
                </w:p>
              </w:tc>
              <w:tc>
                <w:tcPr>
                  <w:tcW w:w="573" w:type="pct"/>
                  <w:tcBorders>
                    <w:tl2br w:val="nil"/>
                    <w:tr2bl w:val="nil"/>
                  </w:tcBorders>
                  <w:vAlign w:val="center"/>
                </w:tcPr>
                <w:p w14:paraId="7999C680">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6</w:t>
                  </w:r>
                  <w:r>
                    <w:rPr>
                      <w:color w:val="auto"/>
                      <w:szCs w:val="21"/>
                    </w:rPr>
                    <w:t>00套</w:t>
                  </w:r>
                </w:p>
              </w:tc>
              <w:tc>
                <w:tcPr>
                  <w:tcW w:w="505" w:type="pct"/>
                  <w:tcBorders>
                    <w:tl2br w:val="nil"/>
                    <w:tr2bl w:val="nil"/>
                  </w:tcBorders>
                  <w:vAlign w:val="center"/>
                </w:tcPr>
                <w:p w14:paraId="1AFA847A">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tr w14:paraId="3D1433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vAlign w:val="center"/>
                </w:tcPr>
                <w:p w14:paraId="619C90A9">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7</w:t>
                  </w:r>
                </w:p>
              </w:tc>
              <w:tc>
                <w:tcPr>
                  <w:tcW w:w="253" w:type="pct"/>
                  <w:vMerge w:val="continue"/>
                  <w:tcBorders>
                    <w:tl2br w:val="nil"/>
                    <w:tr2bl w:val="nil"/>
                  </w:tcBorders>
                  <w:vAlign w:val="center"/>
                </w:tcPr>
                <w:p w14:paraId="1EB662CA">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1001" w:type="pct"/>
                  <w:gridSpan w:val="2"/>
                  <w:tcBorders>
                    <w:tl2br w:val="nil"/>
                    <w:tr2bl w:val="nil"/>
                  </w:tcBorders>
                  <w:vAlign w:val="center"/>
                </w:tcPr>
                <w:p w14:paraId="1CF257C4">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轴承</w:t>
                  </w:r>
                </w:p>
              </w:tc>
              <w:tc>
                <w:tcPr>
                  <w:tcW w:w="1761" w:type="pct"/>
                  <w:tcBorders>
                    <w:tl2br w:val="nil"/>
                    <w:tr2bl w:val="nil"/>
                  </w:tcBorders>
                  <w:vAlign w:val="center"/>
                </w:tcPr>
                <w:p w14:paraId="7591A410">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轴承钢</w:t>
                  </w:r>
                </w:p>
              </w:tc>
              <w:tc>
                <w:tcPr>
                  <w:tcW w:w="650" w:type="pct"/>
                  <w:tcBorders>
                    <w:tl2br w:val="nil"/>
                    <w:tr2bl w:val="nil"/>
                  </w:tcBorders>
                  <w:vAlign w:val="center"/>
                </w:tcPr>
                <w:p w14:paraId="6A32D490">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4</w:t>
                  </w:r>
                  <w:r>
                    <w:rPr>
                      <w:color w:val="auto"/>
                      <w:szCs w:val="21"/>
                    </w:rPr>
                    <w:t>万套</w:t>
                  </w:r>
                </w:p>
              </w:tc>
              <w:tc>
                <w:tcPr>
                  <w:tcW w:w="573" w:type="pct"/>
                  <w:tcBorders>
                    <w:tl2br w:val="nil"/>
                    <w:tr2bl w:val="nil"/>
                  </w:tcBorders>
                  <w:vAlign w:val="center"/>
                </w:tcPr>
                <w:p w14:paraId="5F4E8409">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12</w:t>
                  </w:r>
                  <w:r>
                    <w:rPr>
                      <w:color w:val="auto"/>
                      <w:szCs w:val="21"/>
                    </w:rPr>
                    <w:t>00套</w:t>
                  </w:r>
                </w:p>
              </w:tc>
              <w:tc>
                <w:tcPr>
                  <w:tcW w:w="505" w:type="pct"/>
                  <w:tcBorders>
                    <w:tl2br w:val="nil"/>
                    <w:tr2bl w:val="nil"/>
                  </w:tcBorders>
                  <w:vAlign w:val="center"/>
                </w:tcPr>
                <w:p w14:paraId="562DB6B5">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tr w14:paraId="2F7C9B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vAlign w:val="center"/>
                </w:tcPr>
                <w:p w14:paraId="78B48649">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8</w:t>
                  </w:r>
                </w:p>
              </w:tc>
              <w:tc>
                <w:tcPr>
                  <w:tcW w:w="253" w:type="pct"/>
                  <w:vMerge w:val="continue"/>
                  <w:tcBorders>
                    <w:tl2br w:val="nil"/>
                    <w:tr2bl w:val="nil"/>
                  </w:tcBorders>
                  <w:vAlign w:val="center"/>
                </w:tcPr>
                <w:p w14:paraId="70950FB5">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1001" w:type="pct"/>
                  <w:gridSpan w:val="2"/>
                  <w:tcBorders>
                    <w:tl2br w:val="nil"/>
                    <w:tr2bl w:val="nil"/>
                  </w:tcBorders>
                  <w:vAlign w:val="center"/>
                </w:tcPr>
                <w:p w14:paraId="66554397">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风扇</w:t>
                  </w:r>
                </w:p>
              </w:tc>
              <w:tc>
                <w:tcPr>
                  <w:tcW w:w="1761" w:type="pct"/>
                  <w:tcBorders>
                    <w:tl2br w:val="nil"/>
                    <w:tr2bl w:val="nil"/>
                  </w:tcBorders>
                  <w:vAlign w:val="center"/>
                </w:tcPr>
                <w:p w14:paraId="61FBBC95">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650" w:type="pct"/>
                  <w:tcBorders>
                    <w:tl2br w:val="nil"/>
                    <w:tr2bl w:val="nil"/>
                  </w:tcBorders>
                  <w:vAlign w:val="center"/>
                </w:tcPr>
                <w:p w14:paraId="286656FE">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4</w:t>
                  </w:r>
                  <w:r>
                    <w:rPr>
                      <w:color w:val="auto"/>
                      <w:szCs w:val="21"/>
                    </w:rPr>
                    <w:t>万套</w:t>
                  </w:r>
                </w:p>
              </w:tc>
              <w:tc>
                <w:tcPr>
                  <w:tcW w:w="573" w:type="pct"/>
                  <w:tcBorders>
                    <w:tl2br w:val="nil"/>
                    <w:tr2bl w:val="nil"/>
                  </w:tcBorders>
                  <w:vAlign w:val="center"/>
                </w:tcPr>
                <w:p w14:paraId="4D6777A0">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12</w:t>
                  </w:r>
                  <w:r>
                    <w:rPr>
                      <w:color w:val="auto"/>
                      <w:szCs w:val="21"/>
                    </w:rPr>
                    <w:t>00套</w:t>
                  </w:r>
                </w:p>
              </w:tc>
              <w:tc>
                <w:tcPr>
                  <w:tcW w:w="505" w:type="pct"/>
                  <w:tcBorders>
                    <w:tl2br w:val="nil"/>
                    <w:tr2bl w:val="nil"/>
                  </w:tcBorders>
                  <w:vAlign w:val="center"/>
                </w:tcPr>
                <w:p w14:paraId="4C145756">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tr w14:paraId="3A8214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vAlign w:val="center"/>
                </w:tcPr>
                <w:p w14:paraId="2982B6DF">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bookmarkStart w:id="9" w:name="OLE_LINK1" w:colFirst="4" w:colLast="4"/>
                  <w:r>
                    <w:rPr>
                      <w:color w:val="auto"/>
                      <w:szCs w:val="21"/>
                    </w:rPr>
                    <w:t>9</w:t>
                  </w:r>
                </w:p>
              </w:tc>
              <w:tc>
                <w:tcPr>
                  <w:tcW w:w="253" w:type="pct"/>
                  <w:vMerge w:val="continue"/>
                  <w:tcBorders>
                    <w:tl2br w:val="nil"/>
                    <w:tr2bl w:val="nil"/>
                  </w:tcBorders>
                  <w:vAlign w:val="center"/>
                </w:tcPr>
                <w:p w14:paraId="5BF9674F">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1001" w:type="pct"/>
                  <w:gridSpan w:val="2"/>
                  <w:tcBorders>
                    <w:tl2br w:val="nil"/>
                    <w:tr2bl w:val="nil"/>
                  </w:tcBorders>
                  <w:vAlign w:val="center"/>
                </w:tcPr>
                <w:p w14:paraId="4667236E">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电缆线</w:t>
                  </w:r>
                </w:p>
              </w:tc>
              <w:tc>
                <w:tcPr>
                  <w:tcW w:w="1761" w:type="pct"/>
                  <w:tcBorders>
                    <w:tl2br w:val="nil"/>
                    <w:tr2bl w:val="nil"/>
                  </w:tcBorders>
                  <w:vAlign w:val="center"/>
                </w:tcPr>
                <w:p w14:paraId="471D8EA1">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铜</w:t>
                  </w:r>
                </w:p>
              </w:tc>
              <w:tc>
                <w:tcPr>
                  <w:tcW w:w="650" w:type="pct"/>
                  <w:tcBorders>
                    <w:tl2br w:val="nil"/>
                    <w:tr2bl w:val="nil"/>
                  </w:tcBorders>
                  <w:vAlign w:val="center"/>
                </w:tcPr>
                <w:p w14:paraId="46CA0ACE">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4</w:t>
                  </w:r>
                </w:p>
              </w:tc>
              <w:tc>
                <w:tcPr>
                  <w:tcW w:w="573" w:type="pct"/>
                  <w:tcBorders>
                    <w:tl2br w:val="nil"/>
                    <w:tr2bl w:val="nil"/>
                  </w:tcBorders>
                  <w:vAlign w:val="center"/>
                </w:tcPr>
                <w:p w14:paraId="50307882">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color w:val="auto"/>
                      <w:szCs w:val="21"/>
                      <w:lang w:eastAsia="zh-CN"/>
                    </w:rPr>
                  </w:pPr>
                  <w:r>
                    <w:rPr>
                      <w:rFonts w:hint="eastAsia"/>
                      <w:color w:val="auto"/>
                      <w:szCs w:val="21"/>
                      <w:lang w:val="en-US" w:eastAsia="zh-CN"/>
                    </w:rPr>
                    <w:t>1</w:t>
                  </w:r>
                </w:p>
              </w:tc>
              <w:tc>
                <w:tcPr>
                  <w:tcW w:w="505" w:type="pct"/>
                  <w:tcBorders>
                    <w:tl2br w:val="nil"/>
                    <w:tr2bl w:val="nil"/>
                  </w:tcBorders>
                  <w:vAlign w:val="center"/>
                </w:tcPr>
                <w:p w14:paraId="3BB55D94">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bookmarkEnd w:id="9"/>
            <w:tr w14:paraId="48B83C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54" w:type="pct"/>
                  <w:tcBorders>
                    <w:tl2br w:val="nil"/>
                    <w:tr2bl w:val="nil"/>
                  </w:tcBorders>
                  <w:vAlign w:val="center"/>
                </w:tcPr>
                <w:p w14:paraId="68797022">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10</w:t>
                  </w:r>
                </w:p>
              </w:tc>
              <w:tc>
                <w:tcPr>
                  <w:tcW w:w="253" w:type="pct"/>
                  <w:vMerge w:val="continue"/>
                  <w:tcBorders>
                    <w:tl2br w:val="nil"/>
                    <w:tr2bl w:val="nil"/>
                  </w:tcBorders>
                  <w:vAlign w:val="center"/>
                </w:tcPr>
                <w:p w14:paraId="0F4F2611">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1001" w:type="pct"/>
                  <w:gridSpan w:val="2"/>
                  <w:tcBorders>
                    <w:tl2br w:val="nil"/>
                    <w:tr2bl w:val="nil"/>
                  </w:tcBorders>
                  <w:vAlign w:val="center"/>
                </w:tcPr>
                <w:p w14:paraId="3C34EF5F">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变频漆包线</w:t>
                  </w:r>
                </w:p>
              </w:tc>
              <w:tc>
                <w:tcPr>
                  <w:tcW w:w="1761" w:type="pct"/>
                  <w:tcBorders>
                    <w:tl2br w:val="nil"/>
                    <w:tr2bl w:val="nil"/>
                  </w:tcBorders>
                  <w:vAlign w:val="center"/>
                </w:tcPr>
                <w:p w14:paraId="2303F7A7">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铜</w:t>
                  </w:r>
                </w:p>
              </w:tc>
              <w:tc>
                <w:tcPr>
                  <w:tcW w:w="650" w:type="pct"/>
                  <w:tcBorders>
                    <w:tl2br w:val="nil"/>
                    <w:tr2bl w:val="nil"/>
                  </w:tcBorders>
                  <w:vAlign w:val="center"/>
                </w:tcPr>
                <w:p w14:paraId="01C274AB">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80</w:t>
                  </w:r>
                </w:p>
              </w:tc>
              <w:tc>
                <w:tcPr>
                  <w:tcW w:w="573" w:type="pct"/>
                  <w:tcBorders>
                    <w:tl2br w:val="nil"/>
                    <w:tr2bl w:val="nil"/>
                  </w:tcBorders>
                  <w:vAlign w:val="center"/>
                </w:tcPr>
                <w:p w14:paraId="25A92873">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w:t>
                  </w:r>
                </w:p>
              </w:tc>
              <w:tc>
                <w:tcPr>
                  <w:tcW w:w="505" w:type="pct"/>
                  <w:tcBorders>
                    <w:tl2br w:val="nil"/>
                    <w:tr2bl w:val="nil"/>
                  </w:tcBorders>
                  <w:vAlign w:val="center"/>
                </w:tcPr>
                <w:p w14:paraId="20AC76D7">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tr w14:paraId="16F000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vAlign w:val="center"/>
                </w:tcPr>
                <w:p w14:paraId="6B9A200C">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11</w:t>
                  </w:r>
                </w:p>
              </w:tc>
              <w:tc>
                <w:tcPr>
                  <w:tcW w:w="253" w:type="pct"/>
                  <w:vMerge w:val="continue"/>
                  <w:tcBorders>
                    <w:tl2br w:val="nil"/>
                    <w:tr2bl w:val="nil"/>
                  </w:tcBorders>
                  <w:vAlign w:val="center"/>
                </w:tcPr>
                <w:p w14:paraId="33D4C4EE">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1001" w:type="pct"/>
                  <w:gridSpan w:val="2"/>
                  <w:tcBorders>
                    <w:tl2br w:val="nil"/>
                    <w:tr2bl w:val="nil"/>
                  </w:tcBorders>
                  <w:vAlign w:val="center"/>
                </w:tcPr>
                <w:p w14:paraId="07A453B9">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编码器</w:t>
                  </w:r>
                </w:p>
              </w:tc>
              <w:tc>
                <w:tcPr>
                  <w:tcW w:w="1761" w:type="pct"/>
                  <w:tcBorders>
                    <w:tl2br w:val="nil"/>
                    <w:tr2bl w:val="nil"/>
                  </w:tcBorders>
                  <w:vAlign w:val="center"/>
                </w:tcPr>
                <w:p w14:paraId="005803AD">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650" w:type="pct"/>
                  <w:tcBorders>
                    <w:tl2br w:val="nil"/>
                    <w:tr2bl w:val="nil"/>
                  </w:tcBorders>
                  <w:vAlign w:val="center"/>
                </w:tcPr>
                <w:p w14:paraId="0B91DE8B">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w:t>
                  </w:r>
                  <w:r>
                    <w:rPr>
                      <w:color w:val="auto"/>
                      <w:szCs w:val="21"/>
                    </w:rPr>
                    <w:t>万只</w:t>
                  </w:r>
                </w:p>
              </w:tc>
              <w:tc>
                <w:tcPr>
                  <w:tcW w:w="573" w:type="pct"/>
                  <w:tcBorders>
                    <w:tl2br w:val="nil"/>
                    <w:tr2bl w:val="nil"/>
                  </w:tcBorders>
                  <w:vAlign w:val="center"/>
                </w:tcPr>
                <w:p w14:paraId="0F547AE9">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6</w:t>
                  </w:r>
                  <w:r>
                    <w:rPr>
                      <w:color w:val="auto"/>
                      <w:szCs w:val="21"/>
                    </w:rPr>
                    <w:t>00只</w:t>
                  </w:r>
                </w:p>
              </w:tc>
              <w:tc>
                <w:tcPr>
                  <w:tcW w:w="505" w:type="pct"/>
                  <w:tcBorders>
                    <w:tl2br w:val="nil"/>
                    <w:tr2bl w:val="nil"/>
                  </w:tcBorders>
                  <w:vAlign w:val="center"/>
                </w:tcPr>
                <w:p w14:paraId="02FC7693">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tr w14:paraId="3EBBB6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vAlign w:val="center"/>
                </w:tcPr>
                <w:p w14:paraId="7D0D789E">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12</w:t>
                  </w:r>
                </w:p>
              </w:tc>
              <w:tc>
                <w:tcPr>
                  <w:tcW w:w="253" w:type="pct"/>
                  <w:vMerge w:val="continue"/>
                  <w:tcBorders>
                    <w:tl2br w:val="nil"/>
                    <w:tr2bl w:val="nil"/>
                  </w:tcBorders>
                  <w:vAlign w:val="center"/>
                </w:tcPr>
                <w:p w14:paraId="10F63F7E">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1001" w:type="pct"/>
                  <w:gridSpan w:val="2"/>
                  <w:tcBorders>
                    <w:tl2br w:val="nil"/>
                    <w:tr2bl w:val="nil"/>
                  </w:tcBorders>
                  <w:vAlign w:val="center"/>
                </w:tcPr>
                <w:p w14:paraId="0ACF319D">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热保护温度开关</w:t>
                  </w:r>
                </w:p>
              </w:tc>
              <w:tc>
                <w:tcPr>
                  <w:tcW w:w="1761" w:type="pct"/>
                  <w:tcBorders>
                    <w:tl2br w:val="nil"/>
                    <w:tr2bl w:val="nil"/>
                  </w:tcBorders>
                  <w:vAlign w:val="center"/>
                </w:tcPr>
                <w:p w14:paraId="130B4CDE">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650" w:type="pct"/>
                  <w:tcBorders>
                    <w:tl2br w:val="nil"/>
                    <w:tr2bl w:val="nil"/>
                  </w:tcBorders>
                  <w:vAlign w:val="center"/>
                </w:tcPr>
                <w:p w14:paraId="6822BD5E">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12</w:t>
                  </w:r>
                  <w:r>
                    <w:rPr>
                      <w:color w:val="auto"/>
                      <w:szCs w:val="21"/>
                    </w:rPr>
                    <w:t>万只</w:t>
                  </w:r>
                </w:p>
              </w:tc>
              <w:tc>
                <w:tcPr>
                  <w:tcW w:w="573" w:type="pct"/>
                  <w:tcBorders>
                    <w:tl2br w:val="nil"/>
                    <w:tr2bl w:val="nil"/>
                  </w:tcBorders>
                  <w:vAlign w:val="center"/>
                </w:tcPr>
                <w:p w14:paraId="7940BA84">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w:t>
                  </w:r>
                  <w:r>
                    <w:rPr>
                      <w:color w:val="auto"/>
                      <w:szCs w:val="21"/>
                    </w:rPr>
                    <w:t>000只</w:t>
                  </w:r>
                </w:p>
              </w:tc>
              <w:tc>
                <w:tcPr>
                  <w:tcW w:w="505" w:type="pct"/>
                  <w:tcBorders>
                    <w:tl2br w:val="nil"/>
                    <w:tr2bl w:val="nil"/>
                  </w:tcBorders>
                  <w:vAlign w:val="center"/>
                </w:tcPr>
                <w:p w14:paraId="161E86A7">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tr w14:paraId="183BBC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vAlign w:val="center"/>
                </w:tcPr>
                <w:p w14:paraId="535371DD">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13</w:t>
                  </w:r>
                </w:p>
              </w:tc>
              <w:tc>
                <w:tcPr>
                  <w:tcW w:w="253" w:type="pct"/>
                  <w:vMerge w:val="continue"/>
                  <w:tcBorders>
                    <w:tl2br w:val="nil"/>
                    <w:tr2bl w:val="nil"/>
                  </w:tcBorders>
                  <w:vAlign w:val="center"/>
                </w:tcPr>
                <w:p w14:paraId="64423158">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1001" w:type="pct"/>
                  <w:gridSpan w:val="2"/>
                  <w:tcBorders>
                    <w:tl2br w:val="nil"/>
                    <w:tr2bl w:val="nil"/>
                  </w:tcBorders>
                  <w:vAlign w:val="center"/>
                </w:tcPr>
                <w:p w14:paraId="12D6ED30">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环氧树脂绝缘漆</w:t>
                  </w:r>
                </w:p>
              </w:tc>
              <w:tc>
                <w:tcPr>
                  <w:tcW w:w="1761" w:type="pct"/>
                  <w:tcBorders>
                    <w:tl2br w:val="nil"/>
                    <w:tr2bl w:val="nil"/>
                  </w:tcBorders>
                  <w:vAlign w:val="center"/>
                </w:tcPr>
                <w:p w14:paraId="5313724C">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水性环氧树脂30</w:t>
                  </w:r>
                  <w:r>
                    <w:rPr>
                      <w:rFonts w:hint="eastAsia"/>
                      <w:color w:val="auto"/>
                      <w:szCs w:val="21"/>
                      <w:lang w:eastAsia="zh-CN"/>
                    </w:rPr>
                    <w:t>%～</w:t>
                  </w:r>
                  <w:r>
                    <w:rPr>
                      <w:rFonts w:hint="eastAsia"/>
                      <w:color w:val="auto"/>
                      <w:szCs w:val="21"/>
                    </w:rPr>
                    <w:t>50</w:t>
                  </w:r>
                  <w:r>
                    <w:rPr>
                      <w:rFonts w:hint="eastAsia"/>
                      <w:color w:val="auto"/>
                      <w:kern w:val="0"/>
                      <w:szCs w:val="21"/>
                      <w:lang w:bidi="ar"/>
                    </w:rPr>
                    <w:t>%、固化剂2</w:t>
                  </w:r>
                  <w:r>
                    <w:rPr>
                      <w:rFonts w:hint="eastAsia"/>
                      <w:color w:val="auto"/>
                      <w:kern w:val="0"/>
                      <w:szCs w:val="21"/>
                      <w:lang w:eastAsia="zh-CN" w:bidi="ar"/>
                    </w:rPr>
                    <w:t>%～</w:t>
                  </w:r>
                  <w:r>
                    <w:rPr>
                      <w:rFonts w:hint="eastAsia"/>
                      <w:color w:val="auto"/>
                      <w:kern w:val="0"/>
                      <w:szCs w:val="21"/>
                      <w:lang w:bidi="ar"/>
                    </w:rPr>
                    <w:t>10%、乙二醇丁醚0</w:t>
                  </w:r>
                  <w:r>
                    <w:rPr>
                      <w:rFonts w:hint="eastAsia"/>
                      <w:color w:val="auto"/>
                      <w:kern w:val="0"/>
                      <w:szCs w:val="21"/>
                      <w:lang w:eastAsia="zh-CN" w:bidi="ar"/>
                    </w:rPr>
                    <w:t>%～</w:t>
                  </w:r>
                  <w:r>
                    <w:rPr>
                      <w:rFonts w:hint="eastAsia"/>
                      <w:color w:val="auto"/>
                      <w:kern w:val="0"/>
                      <w:szCs w:val="21"/>
                      <w:lang w:bidi="ar"/>
                    </w:rPr>
                    <w:t>6%、酒精0</w:t>
                  </w:r>
                  <w:r>
                    <w:rPr>
                      <w:rFonts w:hint="eastAsia"/>
                      <w:color w:val="auto"/>
                      <w:kern w:val="0"/>
                      <w:szCs w:val="21"/>
                      <w:lang w:eastAsia="zh-CN" w:bidi="ar"/>
                    </w:rPr>
                    <w:t>%～</w:t>
                  </w:r>
                  <w:r>
                    <w:rPr>
                      <w:rFonts w:hint="eastAsia"/>
                      <w:color w:val="auto"/>
                      <w:kern w:val="0"/>
                      <w:szCs w:val="21"/>
                      <w:lang w:bidi="ar"/>
                    </w:rPr>
                    <w:t>6%、其他添加剂0.2</w:t>
                  </w:r>
                  <w:r>
                    <w:rPr>
                      <w:rFonts w:hint="eastAsia"/>
                      <w:color w:val="auto"/>
                      <w:kern w:val="0"/>
                      <w:szCs w:val="21"/>
                      <w:lang w:eastAsia="zh-CN" w:bidi="ar"/>
                    </w:rPr>
                    <w:t>%～</w:t>
                  </w:r>
                  <w:r>
                    <w:rPr>
                      <w:rFonts w:hint="eastAsia"/>
                      <w:color w:val="auto"/>
                      <w:kern w:val="0"/>
                      <w:szCs w:val="21"/>
                      <w:lang w:bidi="ar"/>
                    </w:rPr>
                    <w:t>0.5%；其余水</w:t>
                  </w:r>
                </w:p>
              </w:tc>
              <w:tc>
                <w:tcPr>
                  <w:tcW w:w="650" w:type="pct"/>
                  <w:tcBorders>
                    <w:tl2br w:val="nil"/>
                    <w:tr2bl w:val="nil"/>
                  </w:tcBorders>
                  <w:vAlign w:val="center"/>
                </w:tcPr>
                <w:p w14:paraId="55B0D345">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w:t>
                  </w:r>
                </w:p>
              </w:tc>
              <w:tc>
                <w:tcPr>
                  <w:tcW w:w="573" w:type="pct"/>
                  <w:tcBorders>
                    <w:tl2br w:val="nil"/>
                    <w:tr2bl w:val="nil"/>
                  </w:tcBorders>
                  <w:vAlign w:val="center"/>
                </w:tcPr>
                <w:p w14:paraId="13F685CF">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color w:val="auto"/>
                      <w:szCs w:val="21"/>
                      <w:lang w:eastAsia="zh-CN"/>
                    </w:rPr>
                  </w:pPr>
                  <w:r>
                    <w:rPr>
                      <w:rFonts w:hint="eastAsia"/>
                      <w:color w:val="auto"/>
                      <w:szCs w:val="21"/>
                    </w:rPr>
                    <w:t>0.</w:t>
                  </w:r>
                  <w:r>
                    <w:rPr>
                      <w:rFonts w:hint="eastAsia"/>
                      <w:color w:val="auto"/>
                      <w:szCs w:val="21"/>
                      <w:lang w:val="en-US" w:eastAsia="zh-CN"/>
                    </w:rPr>
                    <w:t>1</w:t>
                  </w:r>
                </w:p>
              </w:tc>
              <w:tc>
                <w:tcPr>
                  <w:tcW w:w="505" w:type="pct"/>
                  <w:tcBorders>
                    <w:tl2br w:val="nil"/>
                    <w:tr2bl w:val="nil"/>
                  </w:tcBorders>
                  <w:vAlign w:val="center"/>
                </w:tcPr>
                <w:p w14:paraId="0580031F">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tr w14:paraId="282FB9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vAlign w:val="center"/>
                </w:tcPr>
                <w:p w14:paraId="22639732">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14</w:t>
                  </w:r>
                </w:p>
              </w:tc>
              <w:tc>
                <w:tcPr>
                  <w:tcW w:w="253" w:type="pct"/>
                  <w:vMerge w:val="continue"/>
                  <w:tcBorders>
                    <w:tl2br w:val="nil"/>
                    <w:tr2bl w:val="nil"/>
                  </w:tcBorders>
                  <w:vAlign w:val="center"/>
                </w:tcPr>
                <w:p w14:paraId="42380D5E">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1001" w:type="pct"/>
                  <w:gridSpan w:val="2"/>
                  <w:tcBorders>
                    <w:tl2br w:val="nil"/>
                    <w:tr2bl w:val="nil"/>
                  </w:tcBorders>
                  <w:vAlign w:val="center"/>
                </w:tcPr>
                <w:p w14:paraId="24B1CE03">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水性丙烯酸聚氨酯面漆</w:t>
                  </w:r>
                </w:p>
              </w:tc>
              <w:tc>
                <w:tcPr>
                  <w:tcW w:w="1761" w:type="pct"/>
                  <w:tcBorders>
                    <w:tl2br w:val="nil"/>
                    <w:tr2bl w:val="nil"/>
                  </w:tcBorders>
                  <w:vAlign w:val="center"/>
                </w:tcPr>
                <w:p w14:paraId="48613F32">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水性环氧乳液25</w:t>
                  </w:r>
                  <w:r>
                    <w:rPr>
                      <w:rFonts w:hint="eastAsia"/>
                      <w:color w:val="auto"/>
                      <w:szCs w:val="21"/>
                      <w:lang w:eastAsia="zh-CN"/>
                    </w:rPr>
                    <w:t>%～</w:t>
                  </w:r>
                  <w:r>
                    <w:rPr>
                      <w:rFonts w:hint="eastAsia"/>
                      <w:color w:val="auto"/>
                      <w:szCs w:val="21"/>
                    </w:rPr>
                    <w:t>35%、颜料10</w:t>
                  </w:r>
                  <w:r>
                    <w:rPr>
                      <w:rFonts w:hint="eastAsia"/>
                      <w:color w:val="auto"/>
                      <w:szCs w:val="21"/>
                      <w:lang w:eastAsia="zh-CN"/>
                    </w:rPr>
                    <w:t>%～</w:t>
                  </w:r>
                  <w:r>
                    <w:rPr>
                      <w:rFonts w:hint="eastAsia"/>
                      <w:color w:val="auto"/>
                      <w:szCs w:val="21"/>
                    </w:rPr>
                    <w:t>20%、填料20</w:t>
                  </w:r>
                  <w:r>
                    <w:rPr>
                      <w:rFonts w:hint="eastAsia"/>
                      <w:color w:val="auto"/>
                      <w:szCs w:val="21"/>
                      <w:lang w:eastAsia="zh-CN"/>
                    </w:rPr>
                    <w:t>%～</w:t>
                  </w:r>
                  <w:r>
                    <w:rPr>
                      <w:rFonts w:hint="eastAsia"/>
                      <w:color w:val="auto"/>
                      <w:szCs w:val="21"/>
                    </w:rPr>
                    <w:t>30%、去离子水15</w:t>
                  </w:r>
                  <w:r>
                    <w:rPr>
                      <w:rFonts w:hint="eastAsia"/>
                      <w:color w:val="auto"/>
                      <w:szCs w:val="21"/>
                      <w:lang w:eastAsia="zh-CN"/>
                    </w:rPr>
                    <w:t>%～</w:t>
                  </w:r>
                  <w:r>
                    <w:rPr>
                      <w:rFonts w:hint="eastAsia"/>
                      <w:color w:val="auto"/>
                      <w:szCs w:val="21"/>
                    </w:rPr>
                    <w:t>25%、助剂（含酸性基团共聚物的烷羟基铵盐）2</w:t>
                  </w:r>
                  <w:r>
                    <w:rPr>
                      <w:rFonts w:hint="eastAsia"/>
                      <w:color w:val="auto"/>
                      <w:szCs w:val="21"/>
                      <w:lang w:eastAsia="zh-CN"/>
                    </w:rPr>
                    <w:t>%～</w:t>
                  </w:r>
                  <w:r>
                    <w:rPr>
                      <w:rFonts w:hint="eastAsia"/>
                      <w:color w:val="auto"/>
                      <w:szCs w:val="21"/>
                    </w:rPr>
                    <w:t>10%、水性固化剂10</w:t>
                  </w:r>
                  <w:r>
                    <w:rPr>
                      <w:rFonts w:hint="eastAsia"/>
                      <w:color w:val="auto"/>
                      <w:szCs w:val="21"/>
                      <w:lang w:eastAsia="zh-CN"/>
                    </w:rPr>
                    <w:t>%～</w:t>
                  </w:r>
                  <w:r>
                    <w:rPr>
                      <w:rFonts w:hint="eastAsia"/>
                      <w:color w:val="auto"/>
                      <w:szCs w:val="21"/>
                    </w:rPr>
                    <w:t>15%</w:t>
                  </w:r>
                </w:p>
              </w:tc>
              <w:tc>
                <w:tcPr>
                  <w:tcW w:w="650" w:type="pct"/>
                  <w:tcBorders>
                    <w:tl2br w:val="nil"/>
                    <w:tr2bl w:val="nil"/>
                  </w:tcBorders>
                  <w:vAlign w:val="center"/>
                </w:tcPr>
                <w:p w14:paraId="5C1315DB">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w:t>
                  </w:r>
                </w:p>
              </w:tc>
              <w:tc>
                <w:tcPr>
                  <w:tcW w:w="573" w:type="pct"/>
                  <w:tcBorders>
                    <w:tl2br w:val="nil"/>
                    <w:tr2bl w:val="nil"/>
                  </w:tcBorders>
                  <w:vAlign w:val="center"/>
                </w:tcPr>
                <w:p w14:paraId="6783BB8D">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color w:val="auto"/>
                      <w:szCs w:val="21"/>
                      <w:lang w:eastAsia="zh-CN"/>
                    </w:rPr>
                  </w:pPr>
                  <w:r>
                    <w:rPr>
                      <w:rFonts w:hint="eastAsia"/>
                      <w:color w:val="auto"/>
                      <w:szCs w:val="21"/>
                    </w:rPr>
                    <w:t>0.</w:t>
                  </w:r>
                  <w:r>
                    <w:rPr>
                      <w:rFonts w:hint="eastAsia"/>
                      <w:color w:val="auto"/>
                      <w:szCs w:val="21"/>
                      <w:lang w:val="en-US" w:eastAsia="zh-CN"/>
                    </w:rPr>
                    <w:t>1</w:t>
                  </w:r>
                </w:p>
              </w:tc>
              <w:tc>
                <w:tcPr>
                  <w:tcW w:w="505" w:type="pct"/>
                  <w:tcBorders>
                    <w:tl2br w:val="nil"/>
                    <w:tr2bl w:val="nil"/>
                  </w:tcBorders>
                  <w:vAlign w:val="center"/>
                </w:tcPr>
                <w:p w14:paraId="57129947">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tr w14:paraId="607090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vAlign w:val="center"/>
                </w:tcPr>
                <w:p w14:paraId="3463DAE5">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15</w:t>
                  </w:r>
                </w:p>
              </w:tc>
              <w:tc>
                <w:tcPr>
                  <w:tcW w:w="253" w:type="pct"/>
                  <w:vMerge w:val="continue"/>
                  <w:tcBorders>
                    <w:tl2br w:val="nil"/>
                    <w:tr2bl w:val="nil"/>
                  </w:tcBorders>
                  <w:vAlign w:val="center"/>
                </w:tcPr>
                <w:p w14:paraId="2920A9CB">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1001" w:type="pct"/>
                  <w:gridSpan w:val="2"/>
                  <w:tcBorders>
                    <w:tl2br w:val="nil"/>
                    <w:tr2bl w:val="nil"/>
                  </w:tcBorders>
                  <w:vAlign w:val="center"/>
                </w:tcPr>
                <w:p w14:paraId="4704106B">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IGBT</w:t>
                  </w:r>
                </w:p>
              </w:tc>
              <w:tc>
                <w:tcPr>
                  <w:tcW w:w="1761" w:type="pct"/>
                  <w:tcBorders>
                    <w:tl2br w:val="nil"/>
                    <w:tr2bl w:val="nil"/>
                  </w:tcBorders>
                  <w:vAlign w:val="center"/>
                </w:tcPr>
                <w:p w14:paraId="5D53DE71">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650" w:type="pct"/>
                  <w:tcBorders>
                    <w:tl2br w:val="nil"/>
                    <w:tr2bl w:val="nil"/>
                  </w:tcBorders>
                  <w:vAlign w:val="center"/>
                </w:tcPr>
                <w:p w14:paraId="65CD86CF">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2000只</w:t>
                  </w:r>
                </w:p>
              </w:tc>
              <w:tc>
                <w:tcPr>
                  <w:tcW w:w="573" w:type="pct"/>
                  <w:tcBorders>
                    <w:tl2br w:val="nil"/>
                    <w:tr2bl w:val="nil"/>
                  </w:tcBorders>
                  <w:vAlign w:val="center"/>
                </w:tcPr>
                <w:p w14:paraId="45CEBA3B">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200只</w:t>
                  </w:r>
                </w:p>
              </w:tc>
              <w:tc>
                <w:tcPr>
                  <w:tcW w:w="505" w:type="pct"/>
                  <w:tcBorders>
                    <w:tl2br w:val="nil"/>
                    <w:tr2bl w:val="nil"/>
                  </w:tcBorders>
                  <w:vAlign w:val="center"/>
                </w:tcPr>
                <w:p w14:paraId="7CD93447">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tr w14:paraId="5213D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vAlign w:val="center"/>
                </w:tcPr>
                <w:p w14:paraId="65F099B9">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16</w:t>
                  </w:r>
                </w:p>
              </w:tc>
              <w:tc>
                <w:tcPr>
                  <w:tcW w:w="253" w:type="pct"/>
                  <w:vMerge w:val="continue"/>
                  <w:tcBorders>
                    <w:tl2br w:val="nil"/>
                    <w:tr2bl w:val="nil"/>
                  </w:tcBorders>
                  <w:vAlign w:val="center"/>
                </w:tcPr>
                <w:p w14:paraId="6905939C">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1001" w:type="pct"/>
                  <w:gridSpan w:val="2"/>
                  <w:tcBorders>
                    <w:tl2br w:val="nil"/>
                    <w:tr2bl w:val="nil"/>
                  </w:tcBorders>
                  <w:vAlign w:val="center"/>
                </w:tcPr>
                <w:p w14:paraId="65BB1B39">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电阻（贴片、插件电阻）</w:t>
                  </w:r>
                </w:p>
              </w:tc>
              <w:tc>
                <w:tcPr>
                  <w:tcW w:w="1761" w:type="pct"/>
                  <w:tcBorders>
                    <w:tl2br w:val="nil"/>
                    <w:tr2bl w:val="nil"/>
                  </w:tcBorders>
                  <w:vAlign w:val="center"/>
                </w:tcPr>
                <w:p w14:paraId="6411ED9D">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650" w:type="pct"/>
                  <w:tcBorders>
                    <w:tl2br w:val="nil"/>
                    <w:tr2bl w:val="nil"/>
                  </w:tcBorders>
                  <w:vAlign w:val="center"/>
                </w:tcPr>
                <w:p w14:paraId="5347EEB1">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10000套</w:t>
                  </w:r>
                </w:p>
              </w:tc>
              <w:tc>
                <w:tcPr>
                  <w:tcW w:w="573" w:type="pct"/>
                  <w:tcBorders>
                    <w:tl2br w:val="nil"/>
                    <w:tr2bl w:val="nil"/>
                  </w:tcBorders>
                  <w:vAlign w:val="center"/>
                </w:tcPr>
                <w:p w14:paraId="2C885EF3">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200套</w:t>
                  </w:r>
                </w:p>
              </w:tc>
              <w:tc>
                <w:tcPr>
                  <w:tcW w:w="505" w:type="pct"/>
                  <w:tcBorders>
                    <w:tl2br w:val="nil"/>
                    <w:tr2bl w:val="nil"/>
                  </w:tcBorders>
                  <w:vAlign w:val="center"/>
                </w:tcPr>
                <w:p w14:paraId="6B22D81A">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tr w14:paraId="518619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vAlign w:val="center"/>
                </w:tcPr>
                <w:p w14:paraId="6A96035E">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17</w:t>
                  </w:r>
                </w:p>
              </w:tc>
              <w:tc>
                <w:tcPr>
                  <w:tcW w:w="253" w:type="pct"/>
                  <w:vMerge w:val="continue"/>
                  <w:tcBorders>
                    <w:tl2br w:val="nil"/>
                    <w:tr2bl w:val="nil"/>
                  </w:tcBorders>
                  <w:vAlign w:val="center"/>
                </w:tcPr>
                <w:p w14:paraId="323253F4">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1001" w:type="pct"/>
                  <w:gridSpan w:val="2"/>
                  <w:tcBorders>
                    <w:tl2br w:val="nil"/>
                    <w:tr2bl w:val="nil"/>
                  </w:tcBorders>
                  <w:vAlign w:val="center"/>
                </w:tcPr>
                <w:p w14:paraId="33F08949">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贴片电容</w:t>
                  </w:r>
                </w:p>
              </w:tc>
              <w:tc>
                <w:tcPr>
                  <w:tcW w:w="1761" w:type="pct"/>
                  <w:tcBorders>
                    <w:tl2br w:val="nil"/>
                    <w:tr2bl w:val="nil"/>
                  </w:tcBorders>
                  <w:vAlign w:val="center"/>
                </w:tcPr>
                <w:p w14:paraId="23B94C6B">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650" w:type="pct"/>
                  <w:tcBorders>
                    <w:tl2br w:val="nil"/>
                    <w:tr2bl w:val="nil"/>
                  </w:tcBorders>
                  <w:vAlign w:val="center"/>
                </w:tcPr>
                <w:p w14:paraId="065A876A">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10000套</w:t>
                  </w:r>
                </w:p>
              </w:tc>
              <w:tc>
                <w:tcPr>
                  <w:tcW w:w="573" w:type="pct"/>
                  <w:tcBorders>
                    <w:tl2br w:val="nil"/>
                    <w:tr2bl w:val="nil"/>
                  </w:tcBorders>
                  <w:vAlign w:val="center"/>
                </w:tcPr>
                <w:p w14:paraId="05CA358C">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200套</w:t>
                  </w:r>
                </w:p>
              </w:tc>
              <w:tc>
                <w:tcPr>
                  <w:tcW w:w="505" w:type="pct"/>
                  <w:tcBorders>
                    <w:tl2br w:val="nil"/>
                    <w:tr2bl w:val="nil"/>
                  </w:tcBorders>
                  <w:vAlign w:val="center"/>
                </w:tcPr>
                <w:p w14:paraId="0712BF47">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tr w14:paraId="2B8844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vAlign w:val="center"/>
                </w:tcPr>
                <w:p w14:paraId="152D35D2">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18</w:t>
                  </w:r>
                </w:p>
              </w:tc>
              <w:tc>
                <w:tcPr>
                  <w:tcW w:w="253" w:type="pct"/>
                  <w:vMerge w:val="continue"/>
                  <w:tcBorders>
                    <w:tl2br w:val="nil"/>
                    <w:tr2bl w:val="nil"/>
                  </w:tcBorders>
                  <w:vAlign w:val="center"/>
                </w:tcPr>
                <w:p w14:paraId="1B446640">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1001" w:type="pct"/>
                  <w:gridSpan w:val="2"/>
                  <w:tcBorders>
                    <w:tl2br w:val="nil"/>
                    <w:tr2bl w:val="nil"/>
                  </w:tcBorders>
                  <w:vAlign w:val="center"/>
                </w:tcPr>
                <w:p w14:paraId="710C4F07">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电解电容</w:t>
                  </w:r>
                </w:p>
              </w:tc>
              <w:tc>
                <w:tcPr>
                  <w:tcW w:w="1761" w:type="pct"/>
                  <w:tcBorders>
                    <w:tl2br w:val="nil"/>
                    <w:tr2bl w:val="nil"/>
                  </w:tcBorders>
                  <w:vAlign w:val="center"/>
                </w:tcPr>
                <w:p w14:paraId="3B889D3A">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650" w:type="pct"/>
                  <w:tcBorders>
                    <w:tl2br w:val="nil"/>
                    <w:tr2bl w:val="nil"/>
                  </w:tcBorders>
                  <w:vAlign w:val="center"/>
                </w:tcPr>
                <w:p w14:paraId="606E70E3">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10000套</w:t>
                  </w:r>
                </w:p>
              </w:tc>
              <w:tc>
                <w:tcPr>
                  <w:tcW w:w="573" w:type="pct"/>
                  <w:tcBorders>
                    <w:tl2br w:val="nil"/>
                    <w:tr2bl w:val="nil"/>
                  </w:tcBorders>
                  <w:vAlign w:val="center"/>
                </w:tcPr>
                <w:p w14:paraId="64CF2D25">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200套</w:t>
                  </w:r>
                </w:p>
              </w:tc>
              <w:tc>
                <w:tcPr>
                  <w:tcW w:w="505" w:type="pct"/>
                  <w:tcBorders>
                    <w:tl2br w:val="nil"/>
                    <w:tr2bl w:val="nil"/>
                  </w:tcBorders>
                  <w:vAlign w:val="center"/>
                </w:tcPr>
                <w:p w14:paraId="677F8F75">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tr w14:paraId="7BDFAB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vAlign w:val="center"/>
                </w:tcPr>
                <w:p w14:paraId="15D66DC8">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19</w:t>
                  </w:r>
                </w:p>
              </w:tc>
              <w:tc>
                <w:tcPr>
                  <w:tcW w:w="253" w:type="pct"/>
                  <w:vMerge w:val="continue"/>
                  <w:tcBorders>
                    <w:tl2br w:val="nil"/>
                    <w:tr2bl w:val="nil"/>
                  </w:tcBorders>
                  <w:vAlign w:val="center"/>
                </w:tcPr>
                <w:p w14:paraId="6404797B">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1001" w:type="pct"/>
                  <w:gridSpan w:val="2"/>
                  <w:tcBorders>
                    <w:tl2br w:val="nil"/>
                    <w:tr2bl w:val="nil"/>
                  </w:tcBorders>
                  <w:vAlign w:val="center"/>
                </w:tcPr>
                <w:p w14:paraId="0613368C">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芯片（集成电路）</w:t>
                  </w:r>
                </w:p>
              </w:tc>
              <w:tc>
                <w:tcPr>
                  <w:tcW w:w="1761" w:type="pct"/>
                  <w:tcBorders>
                    <w:tl2br w:val="nil"/>
                    <w:tr2bl w:val="nil"/>
                  </w:tcBorders>
                  <w:vAlign w:val="center"/>
                </w:tcPr>
                <w:p w14:paraId="3A8E939D">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650" w:type="pct"/>
                  <w:tcBorders>
                    <w:tl2br w:val="nil"/>
                    <w:tr2bl w:val="nil"/>
                  </w:tcBorders>
                  <w:vAlign w:val="center"/>
                </w:tcPr>
                <w:p w14:paraId="32ECED46">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10000套</w:t>
                  </w:r>
                </w:p>
              </w:tc>
              <w:tc>
                <w:tcPr>
                  <w:tcW w:w="573" w:type="pct"/>
                  <w:tcBorders>
                    <w:tl2br w:val="nil"/>
                    <w:tr2bl w:val="nil"/>
                  </w:tcBorders>
                  <w:vAlign w:val="center"/>
                </w:tcPr>
                <w:p w14:paraId="3F08FB62">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200套</w:t>
                  </w:r>
                </w:p>
              </w:tc>
              <w:tc>
                <w:tcPr>
                  <w:tcW w:w="505" w:type="pct"/>
                  <w:tcBorders>
                    <w:tl2br w:val="nil"/>
                    <w:tr2bl w:val="nil"/>
                  </w:tcBorders>
                  <w:vAlign w:val="center"/>
                </w:tcPr>
                <w:p w14:paraId="66B0588F">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tr w14:paraId="3D4A98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vAlign w:val="center"/>
                </w:tcPr>
                <w:p w14:paraId="38CD06B5">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20</w:t>
                  </w:r>
                </w:p>
              </w:tc>
              <w:tc>
                <w:tcPr>
                  <w:tcW w:w="253" w:type="pct"/>
                  <w:vMerge w:val="continue"/>
                  <w:tcBorders>
                    <w:tl2br w:val="nil"/>
                    <w:tr2bl w:val="nil"/>
                  </w:tcBorders>
                  <w:vAlign w:val="center"/>
                </w:tcPr>
                <w:p w14:paraId="28F44A68">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1001" w:type="pct"/>
                  <w:gridSpan w:val="2"/>
                  <w:tcBorders>
                    <w:tl2br w:val="nil"/>
                    <w:tr2bl w:val="nil"/>
                  </w:tcBorders>
                  <w:vAlign w:val="center"/>
                </w:tcPr>
                <w:p w14:paraId="6EE43414">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二极管</w:t>
                  </w:r>
                </w:p>
              </w:tc>
              <w:tc>
                <w:tcPr>
                  <w:tcW w:w="1761" w:type="pct"/>
                  <w:tcBorders>
                    <w:tl2br w:val="nil"/>
                    <w:tr2bl w:val="nil"/>
                  </w:tcBorders>
                  <w:vAlign w:val="center"/>
                </w:tcPr>
                <w:p w14:paraId="369F84B2">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650" w:type="pct"/>
                  <w:tcBorders>
                    <w:tl2br w:val="nil"/>
                    <w:tr2bl w:val="nil"/>
                  </w:tcBorders>
                  <w:vAlign w:val="center"/>
                </w:tcPr>
                <w:p w14:paraId="778BBE01">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10000套</w:t>
                  </w:r>
                </w:p>
              </w:tc>
              <w:tc>
                <w:tcPr>
                  <w:tcW w:w="573" w:type="pct"/>
                  <w:tcBorders>
                    <w:tl2br w:val="nil"/>
                    <w:tr2bl w:val="nil"/>
                  </w:tcBorders>
                  <w:vAlign w:val="center"/>
                </w:tcPr>
                <w:p w14:paraId="363C2F39">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200套</w:t>
                  </w:r>
                </w:p>
              </w:tc>
              <w:tc>
                <w:tcPr>
                  <w:tcW w:w="505" w:type="pct"/>
                  <w:tcBorders>
                    <w:tl2br w:val="nil"/>
                    <w:tr2bl w:val="nil"/>
                  </w:tcBorders>
                  <w:vAlign w:val="center"/>
                </w:tcPr>
                <w:p w14:paraId="2CA55CBB">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tr w14:paraId="2C60A8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vAlign w:val="center"/>
                </w:tcPr>
                <w:p w14:paraId="041D7B97">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21</w:t>
                  </w:r>
                </w:p>
              </w:tc>
              <w:tc>
                <w:tcPr>
                  <w:tcW w:w="253" w:type="pct"/>
                  <w:vMerge w:val="continue"/>
                  <w:tcBorders>
                    <w:tl2br w:val="nil"/>
                    <w:tr2bl w:val="nil"/>
                  </w:tcBorders>
                  <w:vAlign w:val="center"/>
                </w:tcPr>
                <w:p w14:paraId="6195D13F">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1001" w:type="pct"/>
                  <w:gridSpan w:val="2"/>
                  <w:tcBorders>
                    <w:tl2br w:val="nil"/>
                    <w:tr2bl w:val="nil"/>
                  </w:tcBorders>
                  <w:vAlign w:val="center"/>
                </w:tcPr>
                <w:p w14:paraId="0FC6FD8A">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三极管</w:t>
                  </w:r>
                </w:p>
              </w:tc>
              <w:tc>
                <w:tcPr>
                  <w:tcW w:w="1761" w:type="pct"/>
                  <w:tcBorders>
                    <w:tl2br w:val="nil"/>
                    <w:tr2bl w:val="nil"/>
                  </w:tcBorders>
                  <w:vAlign w:val="center"/>
                </w:tcPr>
                <w:p w14:paraId="109BF59C">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650" w:type="pct"/>
                  <w:tcBorders>
                    <w:tl2br w:val="nil"/>
                    <w:tr2bl w:val="nil"/>
                  </w:tcBorders>
                  <w:vAlign w:val="center"/>
                </w:tcPr>
                <w:p w14:paraId="1AE7BDF4">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10000套</w:t>
                  </w:r>
                </w:p>
              </w:tc>
              <w:tc>
                <w:tcPr>
                  <w:tcW w:w="573" w:type="pct"/>
                  <w:tcBorders>
                    <w:tl2br w:val="nil"/>
                    <w:tr2bl w:val="nil"/>
                  </w:tcBorders>
                  <w:vAlign w:val="center"/>
                </w:tcPr>
                <w:p w14:paraId="59974139">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200套</w:t>
                  </w:r>
                </w:p>
              </w:tc>
              <w:tc>
                <w:tcPr>
                  <w:tcW w:w="505" w:type="pct"/>
                  <w:tcBorders>
                    <w:tl2br w:val="nil"/>
                    <w:tr2bl w:val="nil"/>
                  </w:tcBorders>
                  <w:vAlign w:val="center"/>
                </w:tcPr>
                <w:p w14:paraId="62797B4A">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tr w14:paraId="036E95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vAlign w:val="center"/>
                </w:tcPr>
                <w:p w14:paraId="46755A3F">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22</w:t>
                  </w:r>
                </w:p>
              </w:tc>
              <w:tc>
                <w:tcPr>
                  <w:tcW w:w="253" w:type="pct"/>
                  <w:vMerge w:val="continue"/>
                  <w:tcBorders>
                    <w:tl2br w:val="nil"/>
                    <w:tr2bl w:val="nil"/>
                  </w:tcBorders>
                  <w:vAlign w:val="center"/>
                </w:tcPr>
                <w:p w14:paraId="737FB43D">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1001" w:type="pct"/>
                  <w:gridSpan w:val="2"/>
                  <w:tcBorders>
                    <w:tl2br w:val="nil"/>
                    <w:tr2bl w:val="nil"/>
                  </w:tcBorders>
                  <w:vAlign w:val="center"/>
                </w:tcPr>
                <w:p w14:paraId="5E0EBD70">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风扇</w:t>
                  </w:r>
                </w:p>
              </w:tc>
              <w:tc>
                <w:tcPr>
                  <w:tcW w:w="1761" w:type="pct"/>
                  <w:tcBorders>
                    <w:tl2br w:val="nil"/>
                    <w:tr2bl w:val="nil"/>
                  </w:tcBorders>
                  <w:vAlign w:val="center"/>
                </w:tcPr>
                <w:p w14:paraId="7051323A">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w:t>
                  </w:r>
                </w:p>
              </w:tc>
              <w:tc>
                <w:tcPr>
                  <w:tcW w:w="650" w:type="pct"/>
                  <w:tcBorders>
                    <w:tl2br w:val="nil"/>
                    <w:tr2bl w:val="nil"/>
                  </w:tcBorders>
                  <w:vAlign w:val="center"/>
                </w:tcPr>
                <w:p w14:paraId="60F02628">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10000套</w:t>
                  </w:r>
                </w:p>
              </w:tc>
              <w:tc>
                <w:tcPr>
                  <w:tcW w:w="573" w:type="pct"/>
                  <w:tcBorders>
                    <w:tl2br w:val="nil"/>
                    <w:tr2bl w:val="nil"/>
                  </w:tcBorders>
                  <w:vAlign w:val="center"/>
                </w:tcPr>
                <w:p w14:paraId="067344E3">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200套</w:t>
                  </w:r>
                </w:p>
              </w:tc>
              <w:tc>
                <w:tcPr>
                  <w:tcW w:w="505" w:type="pct"/>
                  <w:tcBorders>
                    <w:tl2br w:val="nil"/>
                    <w:tr2bl w:val="nil"/>
                  </w:tcBorders>
                  <w:vAlign w:val="center"/>
                </w:tcPr>
                <w:p w14:paraId="6E786920">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变频器</w:t>
                  </w:r>
                </w:p>
              </w:tc>
            </w:tr>
            <w:tr w14:paraId="7159B7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vAlign w:val="center"/>
                </w:tcPr>
                <w:p w14:paraId="2D3E3775">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23</w:t>
                  </w:r>
                </w:p>
              </w:tc>
              <w:tc>
                <w:tcPr>
                  <w:tcW w:w="253" w:type="pct"/>
                  <w:vMerge w:val="continue"/>
                  <w:tcBorders>
                    <w:tl2br w:val="nil"/>
                    <w:tr2bl w:val="nil"/>
                  </w:tcBorders>
                  <w:vAlign w:val="center"/>
                </w:tcPr>
                <w:p w14:paraId="2FC5C970">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1001" w:type="pct"/>
                  <w:gridSpan w:val="2"/>
                  <w:tcBorders>
                    <w:tl2br w:val="nil"/>
                    <w:tr2bl w:val="nil"/>
                  </w:tcBorders>
                  <w:vAlign w:val="center"/>
                </w:tcPr>
                <w:p w14:paraId="78FF6D87">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机箱</w:t>
                  </w:r>
                </w:p>
              </w:tc>
              <w:tc>
                <w:tcPr>
                  <w:tcW w:w="1761" w:type="pct"/>
                  <w:tcBorders>
                    <w:tl2br w:val="nil"/>
                    <w:tr2bl w:val="nil"/>
                  </w:tcBorders>
                  <w:vAlign w:val="center"/>
                </w:tcPr>
                <w:p w14:paraId="2025F942">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650" w:type="pct"/>
                  <w:tcBorders>
                    <w:tl2br w:val="nil"/>
                    <w:tr2bl w:val="nil"/>
                  </w:tcBorders>
                  <w:vAlign w:val="center"/>
                </w:tcPr>
                <w:p w14:paraId="03009AB1">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10000套</w:t>
                  </w:r>
                </w:p>
              </w:tc>
              <w:tc>
                <w:tcPr>
                  <w:tcW w:w="573" w:type="pct"/>
                  <w:tcBorders>
                    <w:tl2br w:val="nil"/>
                    <w:tr2bl w:val="nil"/>
                  </w:tcBorders>
                  <w:vAlign w:val="center"/>
                </w:tcPr>
                <w:p w14:paraId="0B2514D3">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200套</w:t>
                  </w:r>
                </w:p>
              </w:tc>
              <w:tc>
                <w:tcPr>
                  <w:tcW w:w="505" w:type="pct"/>
                  <w:tcBorders>
                    <w:tl2br w:val="nil"/>
                    <w:tr2bl w:val="nil"/>
                  </w:tcBorders>
                  <w:vAlign w:val="center"/>
                </w:tcPr>
                <w:p w14:paraId="1C970E56">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tr w14:paraId="7A4CF4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vAlign w:val="center"/>
                </w:tcPr>
                <w:p w14:paraId="629C1585">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24</w:t>
                  </w:r>
                </w:p>
              </w:tc>
              <w:tc>
                <w:tcPr>
                  <w:tcW w:w="253" w:type="pct"/>
                  <w:vMerge w:val="continue"/>
                  <w:tcBorders>
                    <w:tl2br w:val="nil"/>
                    <w:tr2bl w:val="nil"/>
                  </w:tcBorders>
                  <w:vAlign w:val="center"/>
                </w:tcPr>
                <w:p w14:paraId="2842F9CD">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1001" w:type="pct"/>
                  <w:gridSpan w:val="2"/>
                  <w:tcBorders>
                    <w:tl2br w:val="nil"/>
                    <w:tr2bl w:val="nil"/>
                  </w:tcBorders>
                  <w:vAlign w:val="center"/>
                </w:tcPr>
                <w:p w14:paraId="46F9D4C5">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散热器</w:t>
                  </w:r>
                </w:p>
              </w:tc>
              <w:tc>
                <w:tcPr>
                  <w:tcW w:w="1761" w:type="pct"/>
                  <w:tcBorders>
                    <w:tl2br w:val="nil"/>
                    <w:tr2bl w:val="nil"/>
                  </w:tcBorders>
                  <w:vAlign w:val="center"/>
                </w:tcPr>
                <w:p w14:paraId="3B9D7EBD">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650" w:type="pct"/>
                  <w:tcBorders>
                    <w:tl2br w:val="nil"/>
                    <w:tr2bl w:val="nil"/>
                  </w:tcBorders>
                  <w:vAlign w:val="center"/>
                </w:tcPr>
                <w:p w14:paraId="348702C8">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10000只</w:t>
                  </w:r>
                </w:p>
              </w:tc>
              <w:tc>
                <w:tcPr>
                  <w:tcW w:w="573" w:type="pct"/>
                  <w:tcBorders>
                    <w:tl2br w:val="nil"/>
                    <w:tr2bl w:val="nil"/>
                  </w:tcBorders>
                  <w:vAlign w:val="center"/>
                </w:tcPr>
                <w:p w14:paraId="63B96290">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200套</w:t>
                  </w:r>
                </w:p>
              </w:tc>
              <w:tc>
                <w:tcPr>
                  <w:tcW w:w="505" w:type="pct"/>
                  <w:tcBorders>
                    <w:tl2br w:val="nil"/>
                    <w:tr2bl w:val="nil"/>
                  </w:tcBorders>
                  <w:vAlign w:val="center"/>
                </w:tcPr>
                <w:p w14:paraId="36659D6C">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tr w14:paraId="7804CE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vAlign w:val="center"/>
                </w:tcPr>
                <w:p w14:paraId="2EF390A0">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25</w:t>
                  </w:r>
                </w:p>
              </w:tc>
              <w:tc>
                <w:tcPr>
                  <w:tcW w:w="253" w:type="pct"/>
                  <w:vMerge w:val="continue"/>
                  <w:tcBorders>
                    <w:tl2br w:val="nil"/>
                    <w:tr2bl w:val="nil"/>
                  </w:tcBorders>
                  <w:vAlign w:val="center"/>
                </w:tcPr>
                <w:p w14:paraId="13F88EAC">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1001" w:type="pct"/>
                  <w:gridSpan w:val="2"/>
                  <w:tcBorders>
                    <w:tl2br w:val="nil"/>
                    <w:tr2bl w:val="nil"/>
                  </w:tcBorders>
                  <w:vAlign w:val="center"/>
                </w:tcPr>
                <w:p w14:paraId="7BC13922">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PCB板</w:t>
                  </w:r>
                </w:p>
              </w:tc>
              <w:tc>
                <w:tcPr>
                  <w:tcW w:w="1761" w:type="pct"/>
                  <w:tcBorders>
                    <w:tl2br w:val="nil"/>
                    <w:tr2bl w:val="nil"/>
                  </w:tcBorders>
                  <w:vAlign w:val="center"/>
                </w:tcPr>
                <w:p w14:paraId="5DB710E1">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650" w:type="pct"/>
                  <w:tcBorders>
                    <w:tl2br w:val="nil"/>
                    <w:tr2bl w:val="nil"/>
                  </w:tcBorders>
                  <w:vAlign w:val="center"/>
                </w:tcPr>
                <w:p w14:paraId="632A8AF1">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10000套</w:t>
                  </w:r>
                </w:p>
              </w:tc>
              <w:tc>
                <w:tcPr>
                  <w:tcW w:w="573" w:type="pct"/>
                  <w:tcBorders>
                    <w:tl2br w:val="nil"/>
                    <w:tr2bl w:val="nil"/>
                  </w:tcBorders>
                  <w:vAlign w:val="center"/>
                </w:tcPr>
                <w:p w14:paraId="491360A9">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200套</w:t>
                  </w:r>
                </w:p>
              </w:tc>
              <w:tc>
                <w:tcPr>
                  <w:tcW w:w="505" w:type="pct"/>
                  <w:tcBorders>
                    <w:tl2br w:val="nil"/>
                    <w:tr2bl w:val="nil"/>
                  </w:tcBorders>
                  <w:vAlign w:val="center"/>
                </w:tcPr>
                <w:p w14:paraId="021D58AC">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tr w14:paraId="08D2BD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vAlign w:val="center"/>
                </w:tcPr>
                <w:p w14:paraId="136A1D89">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26</w:t>
                  </w:r>
                </w:p>
              </w:tc>
              <w:tc>
                <w:tcPr>
                  <w:tcW w:w="253" w:type="pct"/>
                  <w:vMerge w:val="continue"/>
                  <w:tcBorders>
                    <w:tl2br w:val="nil"/>
                    <w:tr2bl w:val="nil"/>
                  </w:tcBorders>
                  <w:vAlign w:val="center"/>
                </w:tcPr>
                <w:p w14:paraId="27E26B21">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1001" w:type="pct"/>
                  <w:gridSpan w:val="2"/>
                  <w:tcBorders>
                    <w:tl2br w:val="nil"/>
                    <w:tr2bl w:val="nil"/>
                  </w:tcBorders>
                  <w:vAlign w:val="center"/>
                </w:tcPr>
                <w:p w14:paraId="422DFDD3">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高频变压器</w:t>
                  </w:r>
                </w:p>
              </w:tc>
              <w:tc>
                <w:tcPr>
                  <w:tcW w:w="1761" w:type="pct"/>
                  <w:tcBorders>
                    <w:tl2br w:val="nil"/>
                    <w:tr2bl w:val="nil"/>
                  </w:tcBorders>
                  <w:vAlign w:val="center"/>
                </w:tcPr>
                <w:p w14:paraId="269FD53D">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650" w:type="pct"/>
                  <w:tcBorders>
                    <w:tl2br w:val="nil"/>
                    <w:tr2bl w:val="nil"/>
                  </w:tcBorders>
                  <w:shd w:val="clear" w:color="auto" w:fill="auto"/>
                  <w:vAlign w:val="center"/>
                </w:tcPr>
                <w:p w14:paraId="123C0EB0">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10000只</w:t>
                  </w:r>
                </w:p>
              </w:tc>
              <w:tc>
                <w:tcPr>
                  <w:tcW w:w="573" w:type="pct"/>
                  <w:tcBorders>
                    <w:tl2br w:val="nil"/>
                    <w:tr2bl w:val="nil"/>
                  </w:tcBorders>
                  <w:vAlign w:val="center"/>
                </w:tcPr>
                <w:p w14:paraId="6CA617E5">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200套</w:t>
                  </w:r>
                </w:p>
              </w:tc>
              <w:tc>
                <w:tcPr>
                  <w:tcW w:w="505" w:type="pct"/>
                  <w:tcBorders>
                    <w:tl2br w:val="nil"/>
                    <w:tr2bl w:val="nil"/>
                  </w:tcBorders>
                  <w:vAlign w:val="center"/>
                </w:tcPr>
                <w:p w14:paraId="2CC8ACCA">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tr w14:paraId="3A7109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vAlign w:val="center"/>
                </w:tcPr>
                <w:p w14:paraId="362758CF">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27</w:t>
                  </w:r>
                </w:p>
              </w:tc>
              <w:tc>
                <w:tcPr>
                  <w:tcW w:w="253" w:type="pct"/>
                  <w:vMerge w:val="restart"/>
                  <w:tcBorders>
                    <w:tl2br w:val="nil"/>
                    <w:tr2bl w:val="nil"/>
                  </w:tcBorders>
                  <w:vAlign w:val="center"/>
                </w:tcPr>
                <w:p w14:paraId="33A93DEE">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辅料</w:t>
                  </w:r>
                </w:p>
              </w:tc>
              <w:tc>
                <w:tcPr>
                  <w:tcW w:w="1001" w:type="pct"/>
                  <w:gridSpan w:val="2"/>
                  <w:tcBorders>
                    <w:tl2br w:val="nil"/>
                    <w:tr2bl w:val="nil"/>
                  </w:tcBorders>
                  <w:vAlign w:val="center"/>
                </w:tcPr>
                <w:p w14:paraId="0C5356E2">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聚酯管</w:t>
                  </w:r>
                </w:p>
              </w:tc>
              <w:tc>
                <w:tcPr>
                  <w:tcW w:w="1761" w:type="pct"/>
                  <w:tcBorders>
                    <w:tl2br w:val="nil"/>
                    <w:tr2bl w:val="nil"/>
                  </w:tcBorders>
                  <w:vAlign w:val="center"/>
                </w:tcPr>
                <w:p w14:paraId="36A20AE1">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650" w:type="pct"/>
                  <w:tcBorders>
                    <w:tl2br w:val="nil"/>
                    <w:tr2bl w:val="nil"/>
                  </w:tcBorders>
                  <w:vAlign w:val="center"/>
                </w:tcPr>
                <w:p w14:paraId="70D75EFB">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0.02</w:t>
                  </w:r>
                </w:p>
              </w:tc>
              <w:tc>
                <w:tcPr>
                  <w:tcW w:w="573" w:type="pct"/>
                  <w:tcBorders>
                    <w:tl2br w:val="nil"/>
                    <w:tr2bl w:val="nil"/>
                  </w:tcBorders>
                  <w:vAlign w:val="center"/>
                </w:tcPr>
                <w:p w14:paraId="265FAB35">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color w:val="auto"/>
                      <w:szCs w:val="21"/>
                      <w:lang w:eastAsia="zh-CN"/>
                    </w:rPr>
                  </w:pPr>
                  <w:r>
                    <w:rPr>
                      <w:rFonts w:hint="eastAsia"/>
                      <w:color w:val="auto"/>
                      <w:szCs w:val="21"/>
                    </w:rPr>
                    <w:t>0.0</w:t>
                  </w:r>
                  <w:r>
                    <w:rPr>
                      <w:rFonts w:hint="eastAsia"/>
                      <w:color w:val="auto"/>
                      <w:szCs w:val="21"/>
                      <w:lang w:val="en-US" w:eastAsia="zh-CN"/>
                    </w:rPr>
                    <w:t>2</w:t>
                  </w:r>
                </w:p>
              </w:tc>
              <w:tc>
                <w:tcPr>
                  <w:tcW w:w="505" w:type="pct"/>
                  <w:tcBorders>
                    <w:tl2br w:val="nil"/>
                    <w:tr2bl w:val="nil"/>
                  </w:tcBorders>
                  <w:vAlign w:val="center"/>
                </w:tcPr>
                <w:p w14:paraId="10796534">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tr w14:paraId="31DBC9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vAlign w:val="center"/>
                </w:tcPr>
                <w:p w14:paraId="2EE9C258">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28</w:t>
                  </w:r>
                </w:p>
              </w:tc>
              <w:tc>
                <w:tcPr>
                  <w:tcW w:w="253" w:type="pct"/>
                  <w:vMerge w:val="continue"/>
                  <w:tcBorders>
                    <w:tl2br w:val="nil"/>
                    <w:tr2bl w:val="nil"/>
                  </w:tcBorders>
                  <w:vAlign w:val="center"/>
                </w:tcPr>
                <w:p w14:paraId="41D86FD9">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1001" w:type="pct"/>
                  <w:gridSpan w:val="2"/>
                  <w:tcBorders>
                    <w:tl2br w:val="nil"/>
                    <w:tr2bl w:val="nil"/>
                  </w:tcBorders>
                  <w:vAlign w:val="center"/>
                </w:tcPr>
                <w:p w14:paraId="722AC058">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黄蜡管</w:t>
                  </w:r>
                </w:p>
              </w:tc>
              <w:tc>
                <w:tcPr>
                  <w:tcW w:w="1761" w:type="pct"/>
                  <w:tcBorders>
                    <w:tl2br w:val="nil"/>
                    <w:tr2bl w:val="nil"/>
                  </w:tcBorders>
                  <w:vAlign w:val="center"/>
                </w:tcPr>
                <w:p w14:paraId="690CF412">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650" w:type="pct"/>
                  <w:tcBorders>
                    <w:tl2br w:val="nil"/>
                    <w:tr2bl w:val="nil"/>
                  </w:tcBorders>
                  <w:vAlign w:val="center"/>
                </w:tcPr>
                <w:p w14:paraId="06081295">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0.004</w:t>
                  </w:r>
                </w:p>
              </w:tc>
              <w:tc>
                <w:tcPr>
                  <w:tcW w:w="573" w:type="pct"/>
                  <w:tcBorders>
                    <w:tl2br w:val="nil"/>
                    <w:tr2bl w:val="nil"/>
                  </w:tcBorders>
                  <w:vAlign w:val="center"/>
                </w:tcPr>
                <w:p w14:paraId="1A5B4C1F">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color w:val="auto"/>
                      <w:szCs w:val="21"/>
                      <w:lang w:eastAsia="zh-CN"/>
                    </w:rPr>
                  </w:pPr>
                  <w:r>
                    <w:rPr>
                      <w:color w:val="auto"/>
                      <w:szCs w:val="21"/>
                    </w:rPr>
                    <w:t>0.00</w:t>
                  </w:r>
                  <w:r>
                    <w:rPr>
                      <w:rFonts w:hint="eastAsia"/>
                      <w:color w:val="auto"/>
                      <w:szCs w:val="21"/>
                      <w:lang w:val="en-US" w:eastAsia="zh-CN"/>
                    </w:rPr>
                    <w:t>4</w:t>
                  </w:r>
                </w:p>
              </w:tc>
              <w:tc>
                <w:tcPr>
                  <w:tcW w:w="505" w:type="pct"/>
                  <w:tcBorders>
                    <w:tl2br w:val="nil"/>
                    <w:tr2bl w:val="nil"/>
                  </w:tcBorders>
                  <w:vAlign w:val="center"/>
                </w:tcPr>
                <w:p w14:paraId="7644C914">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tr w14:paraId="101483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vAlign w:val="center"/>
                </w:tcPr>
                <w:p w14:paraId="43B85CEC">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29</w:t>
                  </w:r>
                </w:p>
              </w:tc>
              <w:tc>
                <w:tcPr>
                  <w:tcW w:w="253" w:type="pct"/>
                  <w:vMerge w:val="continue"/>
                  <w:tcBorders>
                    <w:tl2br w:val="nil"/>
                    <w:tr2bl w:val="nil"/>
                  </w:tcBorders>
                  <w:vAlign w:val="center"/>
                </w:tcPr>
                <w:p w14:paraId="42EAAA1A">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1001" w:type="pct"/>
                  <w:gridSpan w:val="2"/>
                  <w:tcBorders>
                    <w:tl2br w:val="nil"/>
                    <w:tr2bl w:val="nil"/>
                  </w:tcBorders>
                  <w:vAlign w:val="center"/>
                </w:tcPr>
                <w:p w14:paraId="031B39DA">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绝缘胶带</w:t>
                  </w:r>
                </w:p>
              </w:tc>
              <w:tc>
                <w:tcPr>
                  <w:tcW w:w="1761" w:type="pct"/>
                  <w:tcBorders>
                    <w:tl2br w:val="nil"/>
                    <w:tr2bl w:val="nil"/>
                  </w:tcBorders>
                  <w:vAlign w:val="center"/>
                </w:tcPr>
                <w:p w14:paraId="3E987D55">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650" w:type="pct"/>
                  <w:tcBorders>
                    <w:tl2br w:val="nil"/>
                    <w:tr2bl w:val="nil"/>
                  </w:tcBorders>
                  <w:vAlign w:val="center"/>
                </w:tcPr>
                <w:p w14:paraId="73812505">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0.004</w:t>
                  </w:r>
                </w:p>
              </w:tc>
              <w:tc>
                <w:tcPr>
                  <w:tcW w:w="573" w:type="pct"/>
                  <w:tcBorders>
                    <w:tl2br w:val="nil"/>
                    <w:tr2bl w:val="nil"/>
                  </w:tcBorders>
                  <w:vAlign w:val="center"/>
                </w:tcPr>
                <w:p w14:paraId="59315CFF">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color w:val="auto"/>
                      <w:szCs w:val="21"/>
                      <w:lang w:eastAsia="zh-CN"/>
                    </w:rPr>
                  </w:pPr>
                  <w:r>
                    <w:rPr>
                      <w:color w:val="auto"/>
                      <w:szCs w:val="21"/>
                    </w:rPr>
                    <w:t>0.00</w:t>
                  </w:r>
                  <w:r>
                    <w:rPr>
                      <w:rFonts w:hint="eastAsia"/>
                      <w:color w:val="auto"/>
                      <w:szCs w:val="21"/>
                      <w:lang w:val="en-US" w:eastAsia="zh-CN"/>
                    </w:rPr>
                    <w:t>4</w:t>
                  </w:r>
                </w:p>
              </w:tc>
              <w:tc>
                <w:tcPr>
                  <w:tcW w:w="505" w:type="pct"/>
                  <w:tcBorders>
                    <w:tl2br w:val="nil"/>
                    <w:tr2bl w:val="nil"/>
                  </w:tcBorders>
                  <w:vAlign w:val="center"/>
                </w:tcPr>
                <w:p w14:paraId="233EF6D3">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tr w14:paraId="44F2B4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vAlign w:val="center"/>
                </w:tcPr>
                <w:p w14:paraId="6E8291B8">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30</w:t>
                  </w:r>
                </w:p>
              </w:tc>
              <w:tc>
                <w:tcPr>
                  <w:tcW w:w="253" w:type="pct"/>
                  <w:vMerge w:val="continue"/>
                  <w:tcBorders>
                    <w:tl2br w:val="nil"/>
                    <w:tr2bl w:val="nil"/>
                  </w:tcBorders>
                  <w:vAlign w:val="center"/>
                </w:tcPr>
                <w:p w14:paraId="51CA22B6">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1001" w:type="pct"/>
                  <w:gridSpan w:val="2"/>
                  <w:tcBorders>
                    <w:tl2br w:val="nil"/>
                    <w:tr2bl w:val="nil"/>
                  </w:tcBorders>
                  <w:vAlign w:val="center"/>
                </w:tcPr>
                <w:p w14:paraId="60F130ED">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槽楔</w:t>
                  </w:r>
                </w:p>
              </w:tc>
              <w:tc>
                <w:tcPr>
                  <w:tcW w:w="1761" w:type="pct"/>
                  <w:tcBorders>
                    <w:tl2br w:val="nil"/>
                    <w:tr2bl w:val="nil"/>
                  </w:tcBorders>
                  <w:vAlign w:val="center"/>
                </w:tcPr>
                <w:p w14:paraId="5A0B2BD2">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650" w:type="pct"/>
                  <w:tcBorders>
                    <w:tl2br w:val="nil"/>
                    <w:tr2bl w:val="nil"/>
                  </w:tcBorders>
                  <w:vAlign w:val="center"/>
                </w:tcPr>
                <w:p w14:paraId="26D62F78">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0.04</w:t>
                  </w:r>
                </w:p>
              </w:tc>
              <w:tc>
                <w:tcPr>
                  <w:tcW w:w="573" w:type="pct"/>
                  <w:tcBorders>
                    <w:tl2br w:val="nil"/>
                    <w:tr2bl w:val="nil"/>
                  </w:tcBorders>
                  <w:vAlign w:val="center"/>
                </w:tcPr>
                <w:p w14:paraId="51F16007">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color w:val="auto"/>
                      <w:szCs w:val="21"/>
                      <w:lang w:eastAsia="zh-CN"/>
                    </w:rPr>
                  </w:pPr>
                  <w:r>
                    <w:rPr>
                      <w:color w:val="auto"/>
                      <w:szCs w:val="21"/>
                    </w:rPr>
                    <w:t>0.0</w:t>
                  </w:r>
                  <w:r>
                    <w:rPr>
                      <w:rFonts w:hint="eastAsia"/>
                      <w:color w:val="auto"/>
                      <w:szCs w:val="21"/>
                      <w:lang w:val="en-US" w:eastAsia="zh-CN"/>
                    </w:rPr>
                    <w:t>4</w:t>
                  </w:r>
                </w:p>
              </w:tc>
              <w:tc>
                <w:tcPr>
                  <w:tcW w:w="505" w:type="pct"/>
                  <w:tcBorders>
                    <w:tl2br w:val="nil"/>
                    <w:tr2bl w:val="nil"/>
                  </w:tcBorders>
                  <w:vAlign w:val="center"/>
                </w:tcPr>
                <w:p w14:paraId="63C7F25D">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tr w14:paraId="6B56D7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vAlign w:val="center"/>
                </w:tcPr>
                <w:p w14:paraId="420130EF">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31</w:t>
                  </w:r>
                </w:p>
              </w:tc>
              <w:tc>
                <w:tcPr>
                  <w:tcW w:w="253" w:type="pct"/>
                  <w:vMerge w:val="continue"/>
                  <w:tcBorders>
                    <w:tl2br w:val="nil"/>
                    <w:tr2bl w:val="nil"/>
                  </w:tcBorders>
                  <w:vAlign w:val="center"/>
                </w:tcPr>
                <w:p w14:paraId="66B8388A">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1001" w:type="pct"/>
                  <w:gridSpan w:val="2"/>
                  <w:tcBorders>
                    <w:tl2br w:val="nil"/>
                    <w:tr2bl w:val="nil"/>
                  </w:tcBorders>
                  <w:vAlign w:val="center"/>
                </w:tcPr>
                <w:p w14:paraId="6387FB33">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热缩套管</w:t>
                  </w:r>
                </w:p>
              </w:tc>
              <w:tc>
                <w:tcPr>
                  <w:tcW w:w="1761" w:type="pct"/>
                  <w:tcBorders>
                    <w:tl2br w:val="nil"/>
                    <w:tr2bl w:val="nil"/>
                  </w:tcBorders>
                  <w:vAlign w:val="center"/>
                </w:tcPr>
                <w:p w14:paraId="61FB7B40">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650" w:type="pct"/>
                  <w:tcBorders>
                    <w:tl2br w:val="nil"/>
                    <w:tr2bl w:val="nil"/>
                  </w:tcBorders>
                  <w:vAlign w:val="center"/>
                </w:tcPr>
                <w:p w14:paraId="7E49BDB1">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0.004</w:t>
                  </w:r>
                </w:p>
              </w:tc>
              <w:tc>
                <w:tcPr>
                  <w:tcW w:w="573" w:type="pct"/>
                  <w:tcBorders>
                    <w:tl2br w:val="nil"/>
                    <w:tr2bl w:val="nil"/>
                  </w:tcBorders>
                  <w:vAlign w:val="center"/>
                </w:tcPr>
                <w:p w14:paraId="47E46C6F">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color w:val="auto"/>
                      <w:szCs w:val="21"/>
                      <w:lang w:eastAsia="zh-CN"/>
                    </w:rPr>
                  </w:pPr>
                  <w:r>
                    <w:rPr>
                      <w:color w:val="auto"/>
                      <w:szCs w:val="21"/>
                    </w:rPr>
                    <w:t>0.00</w:t>
                  </w:r>
                  <w:r>
                    <w:rPr>
                      <w:rFonts w:hint="eastAsia"/>
                      <w:color w:val="auto"/>
                      <w:szCs w:val="21"/>
                      <w:lang w:val="en-US" w:eastAsia="zh-CN"/>
                    </w:rPr>
                    <w:t>4</w:t>
                  </w:r>
                </w:p>
              </w:tc>
              <w:tc>
                <w:tcPr>
                  <w:tcW w:w="505" w:type="pct"/>
                  <w:tcBorders>
                    <w:tl2br w:val="nil"/>
                    <w:tr2bl w:val="nil"/>
                  </w:tcBorders>
                  <w:vAlign w:val="center"/>
                </w:tcPr>
                <w:p w14:paraId="13044AB6">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tr w14:paraId="59D73C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vAlign w:val="center"/>
                </w:tcPr>
                <w:p w14:paraId="00AD3A04">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32</w:t>
                  </w:r>
                </w:p>
              </w:tc>
              <w:tc>
                <w:tcPr>
                  <w:tcW w:w="253" w:type="pct"/>
                  <w:vMerge w:val="continue"/>
                  <w:tcBorders>
                    <w:tl2br w:val="nil"/>
                    <w:tr2bl w:val="nil"/>
                  </w:tcBorders>
                  <w:vAlign w:val="center"/>
                </w:tcPr>
                <w:p w14:paraId="5EF77865">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1001" w:type="pct"/>
                  <w:gridSpan w:val="2"/>
                  <w:tcBorders>
                    <w:tl2br w:val="nil"/>
                    <w:tr2bl w:val="nil"/>
                  </w:tcBorders>
                  <w:vAlign w:val="center"/>
                </w:tcPr>
                <w:p w14:paraId="7F06A6CB">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标准五金件</w:t>
                  </w:r>
                </w:p>
              </w:tc>
              <w:tc>
                <w:tcPr>
                  <w:tcW w:w="1761" w:type="pct"/>
                  <w:tcBorders>
                    <w:tl2br w:val="nil"/>
                    <w:tr2bl w:val="nil"/>
                  </w:tcBorders>
                  <w:vAlign w:val="center"/>
                </w:tcPr>
                <w:p w14:paraId="0D521D2C">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bookmarkStart w:id="10" w:name="OLE_LINK17"/>
                  <w:r>
                    <w:rPr>
                      <w:color w:val="auto"/>
                      <w:szCs w:val="21"/>
                    </w:rPr>
                    <w:t>/</w:t>
                  </w:r>
                  <w:bookmarkEnd w:id="10"/>
                </w:p>
              </w:tc>
              <w:tc>
                <w:tcPr>
                  <w:tcW w:w="650" w:type="pct"/>
                  <w:tcBorders>
                    <w:tl2br w:val="nil"/>
                    <w:tr2bl w:val="nil"/>
                  </w:tcBorders>
                  <w:vAlign w:val="center"/>
                </w:tcPr>
                <w:p w14:paraId="7D41533E">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10000套</w:t>
                  </w:r>
                </w:p>
              </w:tc>
              <w:tc>
                <w:tcPr>
                  <w:tcW w:w="573" w:type="pct"/>
                  <w:tcBorders>
                    <w:tl2br w:val="nil"/>
                    <w:tr2bl w:val="nil"/>
                  </w:tcBorders>
                  <w:vAlign w:val="center"/>
                </w:tcPr>
                <w:p w14:paraId="7BA9CFF4">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200套</w:t>
                  </w:r>
                </w:p>
              </w:tc>
              <w:tc>
                <w:tcPr>
                  <w:tcW w:w="505" w:type="pct"/>
                  <w:tcBorders>
                    <w:tl2br w:val="nil"/>
                    <w:tr2bl w:val="nil"/>
                  </w:tcBorders>
                  <w:vAlign w:val="center"/>
                </w:tcPr>
                <w:p w14:paraId="67A8FEC5">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bookmarkStart w:id="11" w:name="OLE_LINK20"/>
                  <w:r>
                    <w:rPr>
                      <w:color w:val="auto"/>
                      <w:szCs w:val="21"/>
                    </w:rPr>
                    <w:t>/</w:t>
                  </w:r>
                  <w:bookmarkEnd w:id="11"/>
                </w:p>
              </w:tc>
            </w:tr>
            <w:tr w14:paraId="5A9A92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shd w:val="clear" w:color="auto" w:fill="auto"/>
                  <w:vAlign w:val="center"/>
                </w:tcPr>
                <w:p w14:paraId="57CCC1C4">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33</w:t>
                  </w:r>
                </w:p>
              </w:tc>
              <w:tc>
                <w:tcPr>
                  <w:tcW w:w="253" w:type="pct"/>
                  <w:vMerge w:val="continue"/>
                  <w:tcBorders>
                    <w:tl2br w:val="nil"/>
                    <w:tr2bl w:val="nil"/>
                  </w:tcBorders>
                  <w:vAlign w:val="center"/>
                </w:tcPr>
                <w:p w14:paraId="03679CC7">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1001" w:type="pct"/>
                  <w:gridSpan w:val="2"/>
                  <w:tcBorders>
                    <w:tl2br w:val="nil"/>
                    <w:tr2bl w:val="nil"/>
                  </w:tcBorders>
                  <w:shd w:val="clear" w:color="auto" w:fill="auto"/>
                  <w:vAlign w:val="center"/>
                </w:tcPr>
                <w:p w14:paraId="5FEB0B14">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焊锡丝</w:t>
                  </w:r>
                </w:p>
              </w:tc>
              <w:tc>
                <w:tcPr>
                  <w:tcW w:w="1761" w:type="pct"/>
                  <w:tcBorders>
                    <w:tl2br w:val="nil"/>
                    <w:tr2bl w:val="nil"/>
                  </w:tcBorders>
                  <w:shd w:val="clear" w:color="auto" w:fill="auto"/>
                  <w:vAlign w:val="center"/>
                </w:tcPr>
                <w:p w14:paraId="2D4901CD">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650" w:type="pct"/>
                  <w:tcBorders>
                    <w:tl2br w:val="nil"/>
                    <w:tr2bl w:val="nil"/>
                  </w:tcBorders>
                  <w:shd w:val="clear" w:color="auto" w:fill="auto"/>
                  <w:vAlign w:val="center"/>
                </w:tcPr>
                <w:p w14:paraId="691CA22A">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0.01</w:t>
                  </w:r>
                </w:p>
              </w:tc>
              <w:tc>
                <w:tcPr>
                  <w:tcW w:w="573" w:type="pct"/>
                  <w:tcBorders>
                    <w:tl2br w:val="nil"/>
                    <w:tr2bl w:val="nil"/>
                  </w:tcBorders>
                  <w:shd w:val="clear" w:color="auto" w:fill="auto"/>
                  <w:vAlign w:val="center"/>
                </w:tcPr>
                <w:p w14:paraId="0E567EED">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0.01</w:t>
                  </w:r>
                </w:p>
              </w:tc>
              <w:tc>
                <w:tcPr>
                  <w:tcW w:w="505" w:type="pct"/>
                  <w:tcBorders>
                    <w:tl2br w:val="nil"/>
                    <w:tr2bl w:val="nil"/>
                  </w:tcBorders>
                  <w:shd w:val="clear" w:color="auto" w:fill="auto"/>
                  <w:vAlign w:val="center"/>
                </w:tcPr>
                <w:p w14:paraId="7E29AAEE">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tr w14:paraId="2B492C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shd w:val="clear" w:color="auto" w:fill="auto"/>
                  <w:vAlign w:val="center"/>
                </w:tcPr>
                <w:p w14:paraId="63E23D85">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34</w:t>
                  </w:r>
                </w:p>
              </w:tc>
              <w:tc>
                <w:tcPr>
                  <w:tcW w:w="253" w:type="pct"/>
                  <w:vMerge w:val="continue"/>
                  <w:tcBorders>
                    <w:tl2br w:val="nil"/>
                    <w:tr2bl w:val="nil"/>
                  </w:tcBorders>
                  <w:vAlign w:val="center"/>
                </w:tcPr>
                <w:p w14:paraId="0963A8ED">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1001" w:type="pct"/>
                  <w:gridSpan w:val="2"/>
                  <w:tcBorders>
                    <w:tl2br w:val="nil"/>
                    <w:tr2bl w:val="nil"/>
                  </w:tcBorders>
                  <w:vAlign w:val="center"/>
                </w:tcPr>
                <w:p w14:paraId="4D8DD1BD">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润滑油</w:t>
                  </w:r>
                </w:p>
              </w:tc>
              <w:tc>
                <w:tcPr>
                  <w:tcW w:w="1761" w:type="pct"/>
                  <w:tcBorders>
                    <w:tl2br w:val="nil"/>
                    <w:tr2bl w:val="nil"/>
                  </w:tcBorders>
                  <w:vAlign w:val="center"/>
                </w:tcPr>
                <w:p w14:paraId="5FE12C8F">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650" w:type="pct"/>
                  <w:tcBorders>
                    <w:tl2br w:val="nil"/>
                    <w:tr2bl w:val="nil"/>
                  </w:tcBorders>
                  <w:vAlign w:val="center"/>
                </w:tcPr>
                <w:p w14:paraId="3A38479C">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0.2</w:t>
                  </w:r>
                </w:p>
              </w:tc>
              <w:tc>
                <w:tcPr>
                  <w:tcW w:w="573" w:type="pct"/>
                  <w:tcBorders>
                    <w:tl2br w:val="nil"/>
                    <w:tr2bl w:val="nil"/>
                  </w:tcBorders>
                  <w:vAlign w:val="center"/>
                </w:tcPr>
                <w:p w14:paraId="12E40E50">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val="en-US" w:eastAsia="zh-CN"/>
                    </w:rPr>
                    <w:t>0.2</w:t>
                  </w:r>
                </w:p>
              </w:tc>
              <w:tc>
                <w:tcPr>
                  <w:tcW w:w="505" w:type="pct"/>
                  <w:tcBorders>
                    <w:tl2br w:val="nil"/>
                    <w:tr2bl w:val="nil"/>
                  </w:tcBorders>
                  <w:vAlign w:val="center"/>
                </w:tcPr>
                <w:p w14:paraId="6D86D4BD">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tr w14:paraId="44CD02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vAlign w:val="center"/>
                </w:tcPr>
                <w:p w14:paraId="03834FB9">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35</w:t>
                  </w:r>
                </w:p>
              </w:tc>
              <w:tc>
                <w:tcPr>
                  <w:tcW w:w="253" w:type="pct"/>
                  <w:vMerge w:val="continue"/>
                  <w:tcBorders>
                    <w:tl2br w:val="nil"/>
                    <w:tr2bl w:val="nil"/>
                  </w:tcBorders>
                  <w:vAlign w:val="center"/>
                </w:tcPr>
                <w:p w14:paraId="7927D127">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1001" w:type="pct"/>
                  <w:gridSpan w:val="2"/>
                  <w:tcBorders>
                    <w:tl2br w:val="nil"/>
                    <w:tr2bl w:val="nil"/>
                  </w:tcBorders>
                  <w:vAlign w:val="center"/>
                </w:tcPr>
                <w:p w14:paraId="37745BA9">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切削液</w:t>
                  </w:r>
                </w:p>
              </w:tc>
              <w:tc>
                <w:tcPr>
                  <w:tcW w:w="1761" w:type="pct"/>
                  <w:tcBorders>
                    <w:tl2br w:val="nil"/>
                    <w:tr2bl w:val="nil"/>
                  </w:tcBorders>
                  <w:vAlign w:val="center"/>
                </w:tcPr>
                <w:p w14:paraId="7F8D92C4">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650" w:type="pct"/>
                  <w:tcBorders>
                    <w:tl2br w:val="nil"/>
                    <w:tr2bl w:val="nil"/>
                  </w:tcBorders>
                  <w:vAlign w:val="center"/>
                </w:tcPr>
                <w:p w14:paraId="0C6B00BE">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0.03</w:t>
                  </w:r>
                </w:p>
              </w:tc>
              <w:tc>
                <w:tcPr>
                  <w:tcW w:w="573" w:type="pct"/>
                  <w:tcBorders>
                    <w:tl2br w:val="nil"/>
                    <w:tr2bl w:val="nil"/>
                  </w:tcBorders>
                  <w:vAlign w:val="center"/>
                </w:tcPr>
                <w:p w14:paraId="0D8CD2A0">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color w:val="auto"/>
                      <w:szCs w:val="21"/>
                      <w:lang w:val="en-US" w:eastAsia="zh-CN"/>
                    </w:rPr>
                  </w:pPr>
                  <w:r>
                    <w:rPr>
                      <w:rFonts w:hint="eastAsia"/>
                      <w:color w:val="auto"/>
                      <w:szCs w:val="21"/>
                    </w:rPr>
                    <w:t>0.0</w:t>
                  </w:r>
                  <w:r>
                    <w:rPr>
                      <w:rFonts w:hint="eastAsia"/>
                      <w:color w:val="auto"/>
                      <w:szCs w:val="21"/>
                      <w:lang w:val="en-US" w:eastAsia="zh-CN"/>
                    </w:rPr>
                    <w:t>3</w:t>
                  </w:r>
                </w:p>
              </w:tc>
              <w:tc>
                <w:tcPr>
                  <w:tcW w:w="505" w:type="pct"/>
                  <w:tcBorders>
                    <w:tl2br w:val="nil"/>
                    <w:tr2bl w:val="nil"/>
                  </w:tcBorders>
                  <w:vAlign w:val="center"/>
                </w:tcPr>
                <w:p w14:paraId="28756972">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r>
            <w:tr w14:paraId="0C3A5B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vAlign w:val="center"/>
                </w:tcPr>
                <w:p w14:paraId="001D145D">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val="en-US" w:eastAsia="zh-CN"/>
                    </w:rPr>
                    <w:t>36</w:t>
                  </w:r>
                </w:p>
              </w:tc>
              <w:tc>
                <w:tcPr>
                  <w:tcW w:w="253" w:type="pct"/>
                  <w:vMerge w:val="continue"/>
                  <w:tcBorders>
                    <w:tl2br w:val="nil"/>
                    <w:tr2bl w:val="nil"/>
                  </w:tcBorders>
                  <w:vAlign w:val="center"/>
                </w:tcPr>
                <w:p w14:paraId="375E4BE3">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1001" w:type="pct"/>
                  <w:gridSpan w:val="2"/>
                  <w:tcBorders>
                    <w:tl2br w:val="nil"/>
                    <w:tr2bl w:val="nil"/>
                  </w:tcBorders>
                  <w:vAlign w:val="center"/>
                </w:tcPr>
                <w:p w14:paraId="22CBD740">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color w:val="auto"/>
                      <w:szCs w:val="21"/>
                      <w:lang w:eastAsia="zh-CN"/>
                    </w:rPr>
                  </w:pPr>
                  <w:r>
                    <w:rPr>
                      <w:rFonts w:hint="eastAsia"/>
                      <w:color w:val="auto"/>
                      <w:szCs w:val="21"/>
                      <w:lang w:val="en-US" w:eastAsia="zh-CN"/>
                    </w:rPr>
                    <w:t>70%</w:t>
                  </w:r>
                  <w:r>
                    <w:rPr>
                      <w:rFonts w:hint="eastAsia"/>
                      <w:color w:val="auto"/>
                      <w:szCs w:val="21"/>
                      <w:lang w:eastAsia="zh-CN"/>
                    </w:rPr>
                    <w:t>乙醇</w:t>
                  </w:r>
                </w:p>
              </w:tc>
              <w:tc>
                <w:tcPr>
                  <w:tcW w:w="1761" w:type="pct"/>
                  <w:tcBorders>
                    <w:tl2br w:val="nil"/>
                    <w:tr2bl w:val="nil"/>
                  </w:tcBorders>
                  <w:vAlign w:val="center"/>
                </w:tcPr>
                <w:p w14:paraId="47903B1D">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color w:val="auto"/>
                      <w:szCs w:val="21"/>
                      <w:lang w:val="en-US" w:eastAsia="zh-CN"/>
                    </w:rPr>
                  </w:pPr>
                  <w:r>
                    <w:rPr>
                      <w:rFonts w:hint="eastAsia"/>
                      <w:color w:val="auto"/>
                      <w:szCs w:val="21"/>
                      <w:lang w:val="en-US" w:eastAsia="zh-CN"/>
                    </w:rPr>
                    <w:t>/</w:t>
                  </w:r>
                </w:p>
              </w:tc>
              <w:tc>
                <w:tcPr>
                  <w:tcW w:w="650" w:type="pct"/>
                  <w:tcBorders>
                    <w:tl2br w:val="nil"/>
                    <w:tr2bl w:val="nil"/>
                  </w:tcBorders>
                  <w:vAlign w:val="center"/>
                </w:tcPr>
                <w:p w14:paraId="03A9AF13">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val="en-US" w:eastAsia="zh-CN"/>
                    </w:rPr>
                    <w:t>0.1</w:t>
                  </w:r>
                </w:p>
              </w:tc>
              <w:tc>
                <w:tcPr>
                  <w:tcW w:w="573" w:type="pct"/>
                  <w:tcBorders>
                    <w:tl2br w:val="nil"/>
                    <w:tr2bl w:val="nil"/>
                  </w:tcBorders>
                  <w:vAlign w:val="center"/>
                </w:tcPr>
                <w:p w14:paraId="287F67AF">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val="en-US" w:eastAsia="zh-CN"/>
                    </w:rPr>
                    <w:t>0.05</w:t>
                  </w:r>
                </w:p>
              </w:tc>
              <w:tc>
                <w:tcPr>
                  <w:tcW w:w="505" w:type="pct"/>
                  <w:tcBorders>
                    <w:tl2br w:val="nil"/>
                    <w:tr2bl w:val="nil"/>
                  </w:tcBorders>
                  <w:vAlign w:val="center"/>
                </w:tcPr>
                <w:p w14:paraId="58FCE2E0">
                  <w:pPr>
                    <w:keepNext w:val="0"/>
                    <w:keepLines w:val="0"/>
                    <w:pageBreakBefore w:val="0"/>
                    <w:shd w:val="clear" w:color="auto" w:fill="FFFFFF"/>
                    <w:kinsoku/>
                    <w:wordWrap/>
                    <w:overflowPunct/>
                    <w:topLinePunct w:val="0"/>
                    <w:autoSpaceDE/>
                    <w:autoSpaceDN/>
                    <w:bidi w:val="0"/>
                    <w:adjustRightInd w:val="0"/>
                    <w:snapToGrid w:val="0"/>
                    <w:ind w:firstLine="0"/>
                    <w:jc w:val="center"/>
                    <w:textAlignment w:val="auto"/>
                    <w:rPr>
                      <w:rFonts w:hint="eastAsia" w:eastAsia="宋体"/>
                      <w:color w:val="auto"/>
                      <w:szCs w:val="21"/>
                      <w:lang w:val="en-US" w:eastAsia="zh-CN"/>
                    </w:rPr>
                  </w:pPr>
                  <w:r>
                    <w:rPr>
                      <w:rFonts w:hint="eastAsia"/>
                      <w:color w:val="auto"/>
                      <w:szCs w:val="21"/>
                      <w:lang w:val="en-US" w:eastAsia="zh-CN"/>
                    </w:rPr>
                    <w:t>/</w:t>
                  </w:r>
                </w:p>
              </w:tc>
            </w:tr>
            <w:bookmarkEnd w:id="6"/>
            <w:bookmarkEnd w:id="7"/>
            <w:bookmarkEnd w:id="8"/>
          </w:tbl>
          <w:p w14:paraId="1F3980BE">
            <w:pPr>
              <w:adjustRightInd w:val="0"/>
              <w:snapToGrid w:val="0"/>
              <w:spacing w:before="120" w:beforeLines="50"/>
              <w:ind w:firstLine="482"/>
              <w:jc w:val="center"/>
              <w:rPr>
                <w:b/>
                <w:color w:val="auto"/>
                <w:sz w:val="24"/>
              </w:rPr>
            </w:pPr>
            <w:r>
              <w:rPr>
                <w:rFonts w:hint="eastAsia"/>
                <w:b/>
                <w:color w:val="auto"/>
                <w:sz w:val="24"/>
                <w:lang w:val="zh-CN"/>
              </w:rPr>
              <w:t>表</w:t>
            </w:r>
            <w:r>
              <w:rPr>
                <w:rFonts w:hint="eastAsia"/>
                <w:b/>
                <w:color w:val="auto"/>
                <w:sz w:val="24"/>
              </w:rPr>
              <w:t>2-5 理化性质表</w:t>
            </w:r>
          </w:p>
          <w:tbl>
            <w:tblPr>
              <w:tblStyle w:val="89"/>
              <w:tblW w:w="845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3723"/>
              <w:gridCol w:w="2187"/>
              <w:gridCol w:w="1183"/>
            </w:tblGrid>
            <w:tr w14:paraId="706B4B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9" w:type="dxa"/>
                  <w:tcBorders>
                    <w:tl2br w:val="nil"/>
                    <w:tr2bl w:val="nil"/>
                  </w:tcBorders>
                  <w:vAlign w:val="center"/>
                </w:tcPr>
                <w:p w14:paraId="11425FFD">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b/>
                      <w:bCs/>
                      <w:color w:val="auto"/>
                      <w:szCs w:val="21"/>
                    </w:rPr>
                  </w:pPr>
                  <w:r>
                    <w:rPr>
                      <w:rFonts w:hint="eastAsia"/>
                      <w:b/>
                      <w:bCs/>
                      <w:color w:val="auto"/>
                      <w:szCs w:val="21"/>
                    </w:rPr>
                    <w:t>名称</w:t>
                  </w:r>
                </w:p>
              </w:tc>
              <w:tc>
                <w:tcPr>
                  <w:tcW w:w="3723" w:type="dxa"/>
                  <w:tcBorders>
                    <w:tl2br w:val="nil"/>
                    <w:tr2bl w:val="nil"/>
                  </w:tcBorders>
                  <w:vAlign w:val="center"/>
                </w:tcPr>
                <w:p w14:paraId="481C1BD5">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b/>
                      <w:bCs/>
                      <w:color w:val="auto"/>
                      <w:szCs w:val="21"/>
                    </w:rPr>
                  </w:pPr>
                  <w:r>
                    <w:rPr>
                      <w:rFonts w:hint="eastAsia"/>
                      <w:b/>
                      <w:bCs/>
                      <w:color w:val="auto"/>
                      <w:szCs w:val="21"/>
                    </w:rPr>
                    <w:t>理化特性</w:t>
                  </w:r>
                </w:p>
              </w:tc>
              <w:tc>
                <w:tcPr>
                  <w:tcW w:w="2187" w:type="dxa"/>
                  <w:tcBorders>
                    <w:tl2br w:val="nil"/>
                    <w:tr2bl w:val="nil"/>
                  </w:tcBorders>
                  <w:vAlign w:val="center"/>
                </w:tcPr>
                <w:p w14:paraId="21CF2054">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b/>
                      <w:bCs/>
                      <w:color w:val="auto"/>
                      <w:szCs w:val="21"/>
                    </w:rPr>
                  </w:pPr>
                  <w:r>
                    <w:rPr>
                      <w:rFonts w:hint="eastAsia"/>
                      <w:b/>
                      <w:bCs/>
                      <w:color w:val="auto"/>
                      <w:szCs w:val="21"/>
                    </w:rPr>
                    <w:t>燃烧爆炸性</w:t>
                  </w:r>
                </w:p>
              </w:tc>
              <w:tc>
                <w:tcPr>
                  <w:tcW w:w="1183" w:type="dxa"/>
                  <w:tcBorders>
                    <w:tl2br w:val="nil"/>
                    <w:tr2bl w:val="nil"/>
                  </w:tcBorders>
                  <w:vAlign w:val="center"/>
                </w:tcPr>
                <w:p w14:paraId="60E7DCF3">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b/>
                      <w:bCs/>
                      <w:color w:val="auto"/>
                      <w:szCs w:val="21"/>
                    </w:rPr>
                  </w:pPr>
                  <w:r>
                    <w:rPr>
                      <w:rFonts w:hint="eastAsia"/>
                      <w:b/>
                      <w:bCs/>
                      <w:color w:val="auto"/>
                      <w:szCs w:val="21"/>
                    </w:rPr>
                    <w:t>毒性毒理</w:t>
                  </w:r>
                </w:p>
              </w:tc>
            </w:tr>
            <w:tr w14:paraId="0CAE88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9" w:type="dxa"/>
                  <w:tcBorders>
                    <w:tl2br w:val="nil"/>
                    <w:tr2bl w:val="nil"/>
                  </w:tcBorders>
                  <w:vAlign w:val="center"/>
                </w:tcPr>
                <w:p w14:paraId="0F494B58">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color w:val="auto"/>
                      <w:kern w:val="0"/>
                      <w:szCs w:val="21"/>
                      <w:lang w:bidi="ar"/>
                    </w:rPr>
                  </w:pPr>
                  <w:r>
                    <w:rPr>
                      <w:color w:val="auto"/>
                      <w:szCs w:val="21"/>
                    </w:rPr>
                    <w:t>环氧树脂绝缘漆</w:t>
                  </w:r>
                </w:p>
              </w:tc>
              <w:tc>
                <w:tcPr>
                  <w:tcW w:w="3723" w:type="dxa"/>
                  <w:tcBorders>
                    <w:tl2br w:val="nil"/>
                    <w:tr2bl w:val="nil"/>
                  </w:tcBorders>
                  <w:vAlign w:val="center"/>
                </w:tcPr>
                <w:p w14:paraId="268A0F8C">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color w:val="auto"/>
                      <w:kern w:val="0"/>
                      <w:szCs w:val="21"/>
                      <w:lang w:bidi="ar"/>
                    </w:rPr>
                  </w:pPr>
                  <w:r>
                    <w:rPr>
                      <w:rFonts w:hint="eastAsia"/>
                      <w:color w:val="auto"/>
                      <w:kern w:val="0"/>
                      <w:szCs w:val="21"/>
                      <w:lang w:bidi="ar"/>
                    </w:rPr>
                    <w:t>外观：均匀液体，无机械杂质；气味：轻微的气味；</w:t>
                  </w:r>
                  <w:r>
                    <w:rPr>
                      <w:rFonts w:hint="eastAsia"/>
                      <w:color w:val="auto"/>
                      <w:kern w:val="0"/>
                      <w:szCs w:val="21"/>
                      <w:lang w:eastAsia="zh-CN" w:bidi="ar"/>
                    </w:rPr>
                    <w:t>黏度</w:t>
                  </w:r>
                  <w:r>
                    <w:rPr>
                      <w:rFonts w:hint="eastAsia"/>
                      <w:color w:val="auto"/>
                      <w:kern w:val="0"/>
                      <w:szCs w:val="21"/>
                      <w:lang w:bidi="ar"/>
                    </w:rPr>
                    <w:t>：≥11秒，（23±1）℃；熔点：≥0℃时为液体；沸点：＞100℃；水中溶解度：完全地互溶</w:t>
                  </w:r>
                </w:p>
              </w:tc>
              <w:tc>
                <w:tcPr>
                  <w:tcW w:w="2187" w:type="dxa"/>
                  <w:tcBorders>
                    <w:tl2br w:val="nil"/>
                    <w:tr2bl w:val="nil"/>
                  </w:tcBorders>
                  <w:vAlign w:val="center"/>
                </w:tcPr>
                <w:p w14:paraId="54E0B15D">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color w:val="auto"/>
                      <w:szCs w:val="21"/>
                    </w:rPr>
                  </w:pPr>
                  <w:r>
                    <w:rPr>
                      <w:rFonts w:hint="eastAsia"/>
                      <w:color w:val="auto"/>
                      <w:szCs w:val="21"/>
                    </w:rPr>
                    <w:t>/</w:t>
                  </w:r>
                </w:p>
              </w:tc>
              <w:tc>
                <w:tcPr>
                  <w:tcW w:w="1183" w:type="dxa"/>
                  <w:tcBorders>
                    <w:tl2br w:val="nil"/>
                    <w:tr2bl w:val="nil"/>
                  </w:tcBorders>
                  <w:vAlign w:val="center"/>
                </w:tcPr>
                <w:p w14:paraId="7EBF7D95">
                  <w:pPr>
                    <w:keepNext w:val="0"/>
                    <w:keepLines w:val="0"/>
                    <w:pageBreakBefore w:val="0"/>
                    <w:widowControl w:val="0"/>
                    <w:kinsoku/>
                    <w:wordWrap/>
                    <w:overflowPunct/>
                    <w:topLinePunct w:val="0"/>
                    <w:bidi w:val="0"/>
                    <w:adjustRightInd w:val="0"/>
                    <w:snapToGrid w:val="0"/>
                    <w:ind w:firstLine="0"/>
                    <w:jc w:val="center"/>
                    <w:textAlignment w:val="auto"/>
                    <w:rPr>
                      <w:color w:val="auto"/>
                      <w:szCs w:val="21"/>
                    </w:rPr>
                  </w:pPr>
                  <w:r>
                    <w:rPr>
                      <w:rFonts w:hint="eastAsia"/>
                      <w:color w:val="auto"/>
                      <w:szCs w:val="21"/>
                    </w:rPr>
                    <w:t>/</w:t>
                  </w:r>
                </w:p>
              </w:tc>
            </w:tr>
            <w:tr w14:paraId="3B1649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9" w:type="dxa"/>
                  <w:tcBorders>
                    <w:tl2br w:val="nil"/>
                    <w:tr2bl w:val="nil"/>
                  </w:tcBorders>
                  <w:vAlign w:val="center"/>
                </w:tcPr>
                <w:p w14:paraId="13E306D9">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b/>
                      <w:bCs/>
                      <w:color w:val="auto"/>
                      <w:szCs w:val="21"/>
                    </w:rPr>
                  </w:pPr>
                  <w:r>
                    <w:rPr>
                      <w:color w:val="auto"/>
                      <w:szCs w:val="21"/>
                    </w:rPr>
                    <w:t>水性丙烯酸聚氨酯面漆</w:t>
                  </w:r>
                </w:p>
              </w:tc>
              <w:tc>
                <w:tcPr>
                  <w:tcW w:w="3723" w:type="dxa"/>
                  <w:tcBorders>
                    <w:tl2br w:val="nil"/>
                    <w:tr2bl w:val="nil"/>
                  </w:tcBorders>
                  <w:vAlign w:val="center"/>
                </w:tcPr>
                <w:p w14:paraId="1DB88DB5">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color w:val="auto"/>
                      <w:szCs w:val="21"/>
                    </w:rPr>
                  </w:pPr>
                  <w:r>
                    <w:rPr>
                      <w:rFonts w:hint="eastAsia"/>
                      <w:color w:val="auto"/>
                      <w:szCs w:val="21"/>
                    </w:rPr>
                    <w:t>液体；pH8.0</w:t>
                  </w:r>
                  <w:r>
                    <w:rPr>
                      <w:color w:val="auto"/>
                      <w:kern w:val="0"/>
                      <w:szCs w:val="21"/>
                      <w:lang w:bidi="ar"/>
                    </w:rPr>
                    <w:t>±</w:t>
                  </w:r>
                  <w:r>
                    <w:rPr>
                      <w:rFonts w:hint="eastAsia"/>
                      <w:color w:val="auto"/>
                      <w:kern w:val="0"/>
                      <w:szCs w:val="21"/>
                      <w:lang w:bidi="ar"/>
                    </w:rPr>
                    <w:t>0.5；沸点≤100℃；溶于水</w:t>
                  </w:r>
                </w:p>
              </w:tc>
              <w:tc>
                <w:tcPr>
                  <w:tcW w:w="2187" w:type="dxa"/>
                  <w:tcBorders>
                    <w:tl2br w:val="nil"/>
                    <w:tr2bl w:val="nil"/>
                  </w:tcBorders>
                  <w:vAlign w:val="center"/>
                </w:tcPr>
                <w:p w14:paraId="5AB27D8D">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color w:val="auto"/>
                      <w:szCs w:val="21"/>
                    </w:rPr>
                  </w:pPr>
                  <w:r>
                    <w:rPr>
                      <w:rFonts w:hint="eastAsia"/>
                      <w:color w:val="auto"/>
                      <w:szCs w:val="21"/>
                    </w:rPr>
                    <w:t>/</w:t>
                  </w:r>
                </w:p>
              </w:tc>
              <w:tc>
                <w:tcPr>
                  <w:tcW w:w="1183" w:type="dxa"/>
                  <w:tcBorders>
                    <w:tl2br w:val="nil"/>
                    <w:tr2bl w:val="nil"/>
                  </w:tcBorders>
                  <w:vAlign w:val="center"/>
                </w:tcPr>
                <w:p w14:paraId="37BB4CB2">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color w:val="auto"/>
                      <w:szCs w:val="21"/>
                    </w:rPr>
                  </w:pPr>
                  <w:r>
                    <w:rPr>
                      <w:rFonts w:hint="eastAsia"/>
                      <w:color w:val="auto"/>
                      <w:szCs w:val="21"/>
                    </w:rPr>
                    <w:t>/</w:t>
                  </w:r>
                </w:p>
              </w:tc>
            </w:tr>
            <w:tr w14:paraId="60F44E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9" w:type="dxa"/>
                  <w:tcBorders>
                    <w:tl2br w:val="nil"/>
                    <w:tr2bl w:val="nil"/>
                  </w:tcBorders>
                  <w:vAlign w:val="center"/>
                </w:tcPr>
                <w:p w14:paraId="6CA16D33">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color w:val="auto"/>
                      <w:szCs w:val="21"/>
                    </w:rPr>
                  </w:pPr>
                  <w:r>
                    <w:rPr>
                      <w:rFonts w:hint="eastAsia"/>
                      <w:color w:val="auto"/>
                      <w:szCs w:val="21"/>
                    </w:rPr>
                    <w:t>切削液</w:t>
                  </w:r>
                </w:p>
              </w:tc>
              <w:tc>
                <w:tcPr>
                  <w:tcW w:w="3723" w:type="dxa"/>
                  <w:tcBorders>
                    <w:tl2br w:val="nil"/>
                    <w:tr2bl w:val="nil"/>
                  </w:tcBorders>
                  <w:shd w:val="clear" w:color="auto" w:fill="auto"/>
                  <w:vAlign w:val="center"/>
                </w:tcPr>
                <w:p w14:paraId="01E0D237">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bCs/>
                      <w:color w:val="auto"/>
                      <w:szCs w:val="21"/>
                    </w:rPr>
                  </w:pPr>
                  <w:r>
                    <w:rPr>
                      <w:rFonts w:hint="eastAsia"/>
                      <w:bCs/>
                      <w:color w:val="auto"/>
                      <w:szCs w:val="21"/>
                    </w:rPr>
                    <w:t>黄色至棕红色透明油状液，</w:t>
                  </w:r>
                  <w:r>
                    <w:rPr>
                      <w:rFonts w:hint="eastAsia"/>
                      <w:bCs/>
                      <w:color w:val="auto"/>
                      <w:szCs w:val="21"/>
                      <w:lang w:eastAsia="zh-CN"/>
                    </w:rPr>
                    <w:t>比重</w:t>
                  </w:r>
                  <w:r>
                    <w:rPr>
                      <w:rFonts w:hint="eastAsia"/>
                      <w:bCs/>
                      <w:color w:val="auto"/>
                      <w:szCs w:val="21"/>
                      <w:lang w:val="en-US" w:eastAsia="zh-CN"/>
                    </w:rPr>
                    <w:t>0.93—1.03g/cm</w:t>
                  </w:r>
                  <w:r>
                    <w:rPr>
                      <w:rFonts w:hint="eastAsia"/>
                      <w:bCs/>
                      <w:color w:val="auto"/>
                      <w:szCs w:val="21"/>
                      <w:vertAlign w:val="superscript"/>
                      <w:lang w:val="en-US" w:eastAsia="zh-CN"/>
                    </w:rPr>
                    <w:t>3</w:t>
                  </w:r>
                  <w:r>
                    <w:rPr>
                      <w:rFonts w:hint="eastAsia"/>
                      <w:bCs/>
                      <w:color w:val="auto"/>
                      <w:szCs w:val="21"/>
                      <w:lang w:val="en-US" w:eastAsia="zh-CN"/>
                    </w:rPr>
                    <w:t>，有特殊气味，可以与水以任意比例互溶，常温常压下稳定</w:t>
                  </w:r>
                  <w:r>
                    <w:rPr>
                      <w:rFonts w:hint="eastAsia"/>
                      <w:bCs/>
                      <w:color w:val="auto"/>
                      <w:szCs w:val="21"/>
                    </w:rPr>
                    <w:t>，闪点（开口）＞160℃，</w:t>
                  </w:r>
                </w:p>
              </w:tc>
              <w:tc>
                <w:tcPr>
                  <w:tcW w:w="2187" w:type="dxa"/>
                  <w:tcBorders>
                    <w:tl2br w:val="nil"/>
                    <w:tr2bl w:val="nil"/>
                  </w:tcBorders>
                  <w:shd w:val="clear" w:color="auto" w:fill="auto"/>
                  <w:vAlign w:val="center"/>
                </w:tcPr>
                <w:p w14:paraId="4E699EB5">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eastAsia" w:eastAsia="宋体"/>
                      <w:bCs/>
                      <w:color w:val="auto"/>
                      <w:szCs w:val="21"/>
                      <w:lang w:eastAsia="zh-CN"/>
                    </w:rPr>
                  </w:pPr>
                  <w:r>
                    <w:rPr>
                      <w:rFonts w:hint="eastAsia"/>
                      <w:bCs/>
                      <w:color w:val="auto"/>
                      <w:szCs w:val="21"/>
                      <w:lang w:eastAsia="zh-CN"/>
                    </w:rPr>
                    <w:t>避免和强氧化剂接触，会引起火灾爆炸事故</w:t>
                  </w:r>
                </w:p>
              </w:tc>
              <w:tc>
                <w:tcPr>
                  <w:tcW w:w="1183" w:type="dxa"/>
                  <w:tcBorders>
                    <w:tl2br w:val="nil"/>
                    <w:tr2bl w:val="nil"/>
                  </w:tcBorders>
                  <w:shd w:val="clear" w:color="auto" w:fill="auto"/>
                  <w:vAlign w:val="center"/>
                </w:tcPr>
                <w:p w14:paraId="652647B4">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bCs/>
                      <w:color w:val="auto"/>
                      <w:szCs w:val="21"/>
                    </w:rPr>
                  </w:pPr>
                  <w:r>
                    <w:rPr>
                      <w:rFonts w:hint="eastAsia"/>
                      <w:bCs/>
                      <w:color w:val="auto"/>
                      <w:szCs w:val="21"/>
                    </w:rPr>
                    <w:t>低毒</w:t>
                  </w:r>
                </w:p>
              </w:tc>
            </w:tr>
            <w:tr w14:paraId="333B19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9" w:type="dxa"/>
                  <w:tcBorders>
                    <w:tl2br w:val="nil"/>
                    <w:tr2bl w:val="nil"/>
                  </w:tcBorders>
                  <w:vAlign w:val="center"/>
                </w:tcPr>
                <w:p w14:paraId="2C6A7BEA">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eastAsia" w:eastAsia="宋体"/>
                      <w:color w:val="auto"/>
                      <w:szCs w:val="21"/>
                      <w:lang w:eastAsia="zh-CN"/>
                    </w:rPr>
                  </w:pPr>
                  <w:r>
                    <w:rPr>
                      <w:rFonts w:hint="eastAsia"/>
                      <w:color w:val="auto"/>
                      <w:szCs w:val="21"/>
                      <w:lang w:eastAsia="zh-CN"/>
                    </w:rPr>
                    <w:t>乙醇</w:t>
                  </w:r>
                </w:p>
              </w:tc>
              <w:tc>
                <w:tcPr>
                  <w:tcW w:w="3723" w:type="dxa"/>
                  <w:tcBorders>
                    <w:tl2br w:val="nil"/>
                    <w:tr2bl w:val="nil"/>
                  </w:tcBorders>
                  <w:shd w:val="clear" w:color="auto" w:fill="auto"/>
                  <w:vAlign w:val="center"/>
                </w:tcPr>
                <w:p w14:paraId="636EE38F">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eastAsia"/>
                      <w:bCs/>
                      <w:color w:val="auto"/>
                      <w:szCs w:val="21"/>
                    </w:rPr>
                  </w:pPr>
                  <w:r>
                    <w:rPr>
                      <w:rFonts w:hint="eastAsia"/>
                      <w:bCs/>
                      <w:color w:val="auto"/>
                      <w:szCs w:val="21"/>
                    </w:rPr>
                    <w:t>一种无色透明液体，有酒香。与水混溶，可混溶于醚、氯仿、甘油等多数有机溶剂。易燃、易挥发。熔点-114.1℃，沸点78.3℃，</w:t>
                  </w:r>
                  <w:r>
                    <w:rPr>
                      <w:rFonts w:hint="eastAsia"/>
                      <w:bCs/>
                      <w:color w:val="auto"/>
                      <w:szCs w:val="21"/>
                      <w:lang w:eastAsia="zh-CN"/>
                    </w:rPr>
                    <w:t>饱和蒸气</w:t>
                  </w:r>
                  <w:r>
                    <w:rPr>
                      <w:rFonts w:hint="eastAsia"/>
                      <w:bCs/>
                      <w:color w:val="auto"/>
                      <w:szCs w:val="21"/>
                    </w:rPr>
                    <w:t>压5.33KPa/19℃，闪点12℃，相对密度(水=1)0.789。</w:t>
                  </w:r>
                </w:p>
              </w:tc>
              <w:tc>
                <w:tcPr>
                  <w:tcW w:w="2187" w:type="dxa"/>
                  <w:tcBorders>
                    <w:tl2br w:val="nil"/>
                    <w:tr2bl w:val="nil"/>
                  </w:tcBorders>
                  <w:shd w:val="clear" w:color="auto" w:fill="auto"/>
                  <w:vAlign w:val="center"/>
                </w:tcPr>
                <w:p w14:paraId="704D3850">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eastAsia"/>
                      <w:bCs/>
                      <w:color w:val="auto"/>
                      <w:szCs w:val="21"/>
                      <w:lang w:eastAsia="zh-CN"/>
                    </w:rPr>
                  </w:pPr>
                  <w:r>
                    <w:rPr>
                      <w:rFonts w:hint="eastAsia"/>
                      <w:bCs/>
                      <w:color w:val="auto"/>
                      <w:szCs w:val="21"/>
                    </w:rPr>
                    <w:t>易燃，其蒸气与空气可形成爆炸性混合物，遇明火、高热能引起燃烧爆炸。与氧化剂接触发生化学反应或引起燃烧。爆炸极限3.3~19.0(V%)</w:t>
                  </w:r>
                </w:p>
              </w:tc>
              <w:tc>
                <w:tcPr>
                  <w:tcW w:w="1183" w:type="dxa"/>
                  <w:tcBorders>
                    <w:tl2br w:val="nil"/>
                    <w:tr2bl w:val="nil"/>
                  </w:tcBorders>
                  <w:shd w:val="clear" w:color="auto" w:fill="auto"/>
                  <w:vAlign w:val="center"/>
                </w:tcPr>
                <w:p w14:paraId="722800A6">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eastAsia"/>
                      <w:bCs/>
                      <w:color w:val="auto"/>
                      <w:szCs w:val="21"/>
                    </w:rPr>
                  </w:pPr>
                  <w:r>
                    <w:rPr>
                      <w:rFonts w:hint="eastAsia"/>
                      <w:bCs/>
                      <w:color w:val="auto"/>
                      <w:szCs w:val="21"/>
                    </w:rPr>
                    <w:t>LD</w:t>
                  </w:r>
                  <w:r>
                    <w:rPr>
                      <w:rFonts w:hint="eastAsia"/>
                      <w:bCs/>
                      <w:color w:val="auto"/>
                      <w:szCs w:val="21"/>
                      <w:vertAlign w:val="subscript"/>
                      <w:lang w:val="en-US" w:eastAsia="zh-CN"/>
                    </w:rPr>
                    <w:t>50</w:t>
                  </w:r>
                  <w:r>
                    <w:rPr>
                      <w:rFonts w:hint="eastAsia"/>
                      <w:bCs/>
                      <w:color w:val="auto"/>
                      <w:szCs w:val="21"/>
                      <w:lang w:eastAsia="zh-CN"/>
                    </w:rPr>
                    <w:t>：</w:t>
                  </w:r>
                  <w:r>
                    <w:rPr>
                      <w:rFonts w:hint="eastAsia"/>
                      <w:bCs/>
                      <w:color w:val="auto"/>
                      <w:szCs w:val="21"/>
                    </w:rPr>
                    <w:t>7060mgkg(免经口)</w:t>
                  </w:r>
                  <w:r>
                    <w:rPr>
                      <w:rFonts w:hint="eastAsia"/>
                      <w:bCs/>
                      <w:color w:val="auto"/>
                      <w:szCs w:val="21"/>
                      <w:lang w:eastAsia="zh-CN"/>
                    </w:rPr>
                    <w:t>：</w:t>
                  </w:r>
                  <w:r>
                    <w:rPr>
                      <w:rFonts w:hint="eastAsia"/>
                      <w:bCs/>
                      <w:color w:val="auto"/>
                      <w:szCs w:val="21"/>
                    </w:rPr>
                    <w:t>7430mgkg(免经皮)</w:t>
                  </w:r>
                </w:p>
              </w:tc>
            </w:tr>
          </w:tbl>
          <w:p w14:paraId="486502B4">
            <w:pPr>
              <w:adjustRightInd w:val="0"/>
              <w:snapToGrid w:val="0"/>
              <w:spacing w:before="120" w:beforeLines="50"/>
              <w:ind w:firstLine="482"/>
              <w:jc w:val="center"/>
              <w:rPr>
                <w:b/>
                <w:color w:val="auto"/>
                <w:sz w:val="24"/>
              </w:rPr>
            </w:pPr>
            <w:r>
              <w:rPr>
                <w:rFonts w:hint="eastAsia"/>
                <w:b/>
                <w:color w:val="auto"/>
                <w:sz w:val="24"/>
                <w:lang w:val="zh-CN"/>
              </w:rPr>
              <w:t>表</w:t>
            </w:r>
            <w:r>
              <w:rPr>
                <w:rFonts w:hint="eastAsia"/>
                <w:b/>
                <w:color w:val="auto"/>
                <w:sz w:val="24"/>
              </w:rPr>
              <w:t>2-6 原辅材料中VOCs含量的相符性分析</w:t>
            </w:r>
          </w:p>
          <w:tbl>
            <w:tblPr>
              <w:tblStyle w:val="89"/>
              <w:tblW w:w="845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5"/>
              <w:gridCol w:w="2754"/>
              <w:gridCol w:w="1299"/>
              <w:gridCol w:w="2571"/>
              <w:gridCol w:w="913"/>
            </w:tblGrid>
            <w:tr w14:paraId="5FC2C7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5" w:type="dxa"/>
                  <w:tcBorders>
                    <w:tl2br w:val="nil"/>
                    <w:tr2bl w:val="nil"/>
                  </w:tcBorders>
                  <w:vAlign w:val="center"/>
                </w:tcPr>
                <w:p w14:paraId="2180133B">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b/>
                      <w:bCs/>
                      <w:color w:val="auto"/>
                      <w:szCs w:val="21"/>
                    </w:rPr>
                  </w:pPr>
                  <w:r>
                    <w:rPr>
                      <w:b/>
                      <w:bCs/>
                      <w:color w:val="auto"/>
                      <w:szCs w:val="21"/>
                    </w:rPr>
                    <w:t>名称</w:t>
                  </w:r>
                </w:p>
              </w:tc>
              <w:tc>
                <w:tcPr>
                  <w:tcW w:w="2754" w:type="dxa"/>
                  <w:tcBorders>
                    <w:tl2br w:val="nil"/>
                    <w:tr2bl w:val="nil"/>
                  </w:tcBorders>
                  <w:vAlign w:val="center"/>
                </w:tcPr>
                <w:p w14:paraId="437D57FA">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b/>
                      <w:bCs/>
                      <w:color w:val="auto"/>
                      <w:szCs w:val="21"/>
                    </w:rPr>
                  </w:pPr>
                  <w:r>
                    <w:rPr>
                      <w:b/>
                      <w:bCs/>
                      <w:color w:val="auto"/>
                      <w:szCs w:val="21"/>
                    </w:rPr>
                    <w:t>成分</w:t>
                  </w:r>
                </w:p>
              </w:tc>
              <w:tc>
                <w:tcPr>
                  <w:tcW w:w="1299" w:type="dxa"/>
                  <w:tcBorders>
                    <w:tl2br w:val="nil"/>
                    <w:tr2bl w:val="nil"/>
                  </w:tcBorders>
                  <w:vAlign w:val="center"/>
                </w:tcPr>
                <w:p w14:paraId="12E48700">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b/>
                      <w:bCs/>
                      <w:color w:val="auto"/>
                      <w:szCs w:val="21"/>
                    </w:rPr>
                  </w:pPr>
                  <w:r>
                    <w:rPr>
                      <w:b/>
                      <w:bCs/>
                      <w:color w:val="auto"/>
                      <w:szCs w:val="21"/>
                    </w:rPr>
                    <w:t>VOCs含量</w:t>
                  </w:r>
                </w:p>
              </w:tc>
              <w:tc>
                <w:tcPr>
                  <w:tcW w:w="2571" w:type="dxa"/>
                  <w:tcBorders>
                    <w:tl2br w:val="nil"/>
                    <w:tr2bl w:val="nil"/>
                  </w:tcBorders>
                  <w:vAlign w:val="center"/>
                </w:tcPr>
                <w:p w14:paraId="4D626288">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b/>
                      <w:bCs/>
                      <w:color w:val="auto"/>
                      <w:szCs w:val="21"/>
                    </w:rPr>
                  </w:pPr>
                  <w:r>
                    <w:rPr>
                      <w:b/>
                      <w:bCs/>
                      <w:color w:val="auto"/>
                      <w:szCs w:val="21"/>
                    </w:rPr>
                    <w:t>VOCs限值要求</w:t>
                  </w:r>
                </w:p>
              </w:tc>
              <w:tc>
                <w:tcPr>
                  <w:tcW w:w="913" w:type="dxa"/>
                  <w:tcBorders>
                    <w:tl2br w:val="nil"/>
                    <w:tr2bl w:val="nil"/>
                  </w:tcBorders>
                  <w:vAlign w:val="center"/>
                </w:tcPr>
                <w:p w14:paraId="16FDF3D7">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b/>
                      <w:bCs/>
                      <w:color w:val="auto"/>
                      <w:szCs w:val="21"/>
                    </w:rPr>
                  </w:pPr>
                  <w:r>
                    <w:rPr>
                      <w:b/>
                      <w:bCs/>
                      <w:color w:val="auto"/>
                      <w:szCs w:val="21"/>
                    </w:rPr>
                    <w:t>相符性</w:t>
                  </w:r>
                </w:p>
              </w:tc>
            </w:tr>
            <w:tr w14:paraId="01B1B4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5" w:type="dxa"/>
                  <w:tcBorders>
                    <w:tl2br w:val="nil"/>
                    <w:tr2bl w:val="nil"/>
                  </w:tcBorders>
                  <w:shd w:val="clear" w:color="auto" w:fill="auto"/>
                  <w:vAlign w:val="center"/>
                </w:tcPr>
                <w:p w14:paraId="46713182">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b/>
                      <w:bCs/>
                      <w:color w:val="auto"/>
                      <w:szCs w:val="21"/>
                    </w:rPr>
                  </w:pPr>
                  <w:r>
                    <w:rPr>
                      <w:color w:val="auto"/>
                      <w:szCs w:val="21"/>
                    </w:rPr>
                    <w:t>环氧树脂绝缘漆</w:t>
                  </w:r>
                </w:p>
              </w:tc>
              <w:tc>
                <w:tcPr>
                  <w:tcW w:w="2754" w:type="dxa"/>
                  <w:tcBorders>
                    <w:tl2br w:val="nil"/>
                    <w:tr2bl w:val="nil"/>
                  </w:tcBorders>
                  <w:vAlign w:val="center"/>
                </w:tcPr>
                <w:p w14:paraId="64139C91">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color w:val="auto"/>
                      <w:szCs w:val="21"/>
                    </w:rPr>
                  </w:pPr>
                  <w:r>
                    <w:rPr>
                      <w:rFonts w:hint="eastAsia"/>
                      <w:color w:val="auto"/>
                      <w:szCs w:val="21"/>
                    </w:rPr>
                    <w:t>水性环氧树脂30</w:t>
                  </w:r>
                  <w:r>
                    <w:rPr>
                      <w:rFonts w:hint="eastAsia"/>
                      <w:color w:val="auto"/>
                      <w:szCs w:val="21"/>
                      <w:lang w:val="en-US" w:eastAsia="zh-CN"/>
                    </w:rPr>
                    <w:t>%～</w:t>
                  </w:r>
                  <w:r>
                    <w:rPr>
                      <w:rFonts w:hint="eastAsia"/>
                      <w:color w:val="auto"/>
                      <w:szCs w:val="21"/>
                    </w:rPr>
                    <w:t>50</w:t>
                  </w:r>
                  <w:r>
                    <w:rPr>
                      <w:rFonts w:hint="eastAsia"/>
                      <w:color w:val="auto"/>
                      <w:kern w:val="0"/>
                      <w:szCs w:val="21"/>
                      <w:lang w:bidi="ar"/>
                    </w:rPr>
                    <w:t>%、固化剂2</w:t>
                  </w:r>
                  <w:r>
                    <w:rPr>
                      <w:rFonts w:hint="eastAsia"/>
                      <w:color w:val="auto"/>
                      <w:kern w:val="0"/>
                      <w:szCs w:val="21"/>
                      <w:lang w:eastAsia="zh-CN" w:bidi="ar"/>
                    </w:rPr>
                    <w:t>%～</w:t>
                  </w:r>
                  <w:r>
                    <w:rPr>
                      <w:rFonts w:hint="eastAsia"/>
                      <w:color w:val="auto"/>
                      <w:kern w:val="0"/>
                      <w:szCs w:val="21"/>
                      <w:lang w:bidi="ar"/>
                    </w:rPr>
                    <w:t>10%、乙二醇丁醚0</w:t>
                  </w:r>
                  <w:r>
                    <w:rPr>
                      <w:rFonts w:hint="eastAsia"/>
                      <w:color w:val="auto"/>
                      <w:kern w:val="0"/>
                      <w:szCs w:val="21"/>
                      <w:lang w:eastAsia="zh-CN" w:bidi="ar"/>
                    </w:rPr>
                    <w:t>%～</w:t>
                  </w:r>
                  <w:r>
                    <w:rPr>
                      <w:rFonts w:hint="eastAsia"/>
                      <w:color w:val="auto"/>
                      <w:kern w:val="0"/>
                      <w:szCs w:val="21"/>
                      <w:lang w:bidi="ar"/>
                    </w:rPr>
                    <w:t>6%、酒精0</w:t>
                  </w:r>
                  <w:r>
                    <w:rPr>
                      <w:rFonts w:hint="eastAsia"/>
                      <w:color w:val="auto"/>
                      <w:kern w:val="0"/>
                      <w:szCs w:val="21"/>
                      <w:lang w:eastAsia="zh-CN" w:bidi="ar"/>
                    </w:rPr>
                    <w:t>%～</w:t>
                  </w:r>
                  <w:r>
                    <w:rPr>
                      <w:rFonts w:hint="eastAsia"/>
                      <w:color w:val="auto"/>
                      <w:kern w:val="0"/>
                      <w:szCs w:val="21"/>
                      <w:lang w:bidi="ar"/>
                    </w:rPr>
                    <w:t>6%、其他添加剂0.2</w:t>
                  </w:r>
                  <w:r>
                    <w:rPr>
                      <w:rFonts w:hint="eastAsia"/>
                      <w:color w:val="auto"/>
                      <w:kern w:val="0"/>
                      <w:szCs w:val="21"/>
                      <w:lang w:eastAsia="zh-CN" w:bidi="ar"/>
                    </w:rPr>
                    <w:t>%～</w:t>
                  </w:r>
                  <w:r>
                    <w:rPr>
                      <w:rFonts w:hint="eastAsia"/>
                      <w:color w:val="auto"/>
                      <w:kern w:val="0"/>
                      <w:szCs w:val="21"/>
                      <w:lang w:bidi="ar"/>
                    </w:rPr>
                    <w:t>0.5%；其余水</w:t>
                  </w:r>
                </w:p>
              </w:tc>
              <w:tc>
                <w:tcPr>
                  <w:tcW w:w="1299" w:type="dxa"/>
                  <w:tcBorders>
                    <w:tl2br w:val="nil"/>
                    <w:tr2bl w:val="nil"/>
                  </w:tcBorders>
                  <w:vAlign w:val="center"/>
                </w:tcPr>
                <w:p w14:paraId="3260BEF7">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color w:val="auto"/>
                      <w:szCs w:val="21"/>
                    </w:rPr>
                  </w:pPr>
                  <w:r>
                    <w:rPr>
                      <w:rFonts w:hint="eastAsia"/>
                      <w:color w:val="auto"/>
                      <w:szCs w:val="21"/>
                    </w:rPr>
                    <w:t>19g/L（根据检测报告得知）</w:t>
                  </w:r>
                </w:p>
              </w:tc>
              <w:tc>
                <w:tcPr>
                  <w:tcW w:w="2571" w:type="dxa"/>
                  <w:tcBorders>
                    <w:tl2br w:val="nil"/>
                    <w:tr2bl w:val="nil"/>
                  </w:tcBorders>
                  <w:vAlign w:val="center"/>
                </w:tcPr>
                <w:p w14:paraId="638307B1">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color w:val="auto"/>
                      <w:szCs w:val="21"/>
                    </w:rPr>
                  </w:pPr>
                  <w:r>
                    <w:rPr>
                      <w:color w:val="auto"/>
                      <w:szCs w:val="21"/>
                    </w:rPr>
                    <w:t>≤</w:t>
                  </w:r>
                  <w:r>
                    <w:rPr>
                      <w:rFonts w:hint="eastAsia"/>
                      <w:color w:val="auto"/>
                      <w:szCs w:val="21"/>
                    </w:rPr>
                    <w:t>300g/L，《低挥发性有机化合物含量涂料产品技术要求》（GB/T38597-2020）表1水性涂料中VOC含量的要求</w:t>
                  </w:r>
                  <w:r>
                    <w:rPr>
                      <w:rFonts w:hint="eastAsia"/>
                      <w:color w:val="auto"/>
                      <w:szCs w:val="21"/>
                      <w:lang w:eastAsia="zh-CN"/>
                    </w:rPr>
                    <w:t>－</w:t>
                  </w:r>
                  <w:r>
                    <w:rPr>
                      <w:rFonts w:hint="eastAsia"/>
                      <w:color w:val="auto"/>
                      <w:szCs w:val="21"/>
                    </w:rPr>
                    <w:t>工业防护涂料</w:t>
                  </w:r>
                  <w:r>
                    <w:rPr>
                      <w:rFonts w:hint="eastAsia"/>
                      <w:color w:val="auto"/>
                      <w:szCs w:val="21"/>
                      <w:lang w:eastAsia="zh-CN"/>
                    </w:rPr>
                    <w:t>－</w:t>
                  </w:r>
                  <w:r>
                    <w:rPr>
                      <w:rFonts w:hint="eastAsia"/>
                      <w:color w:val="auto"/>
                      <w:szCs w:val="21"/>
                    </w:rPr>
                    <w:t>机械设备涂料</w:t>
                  </w:r>
                </w:p>
              </w:tc>
              <w:tc>
                <w:tcPr>
                  <w:tcW w:w="913" w:type="dxa"/>
                  <w:tcBorders>
                    <w:tl2br w:val="nil"/>
                    <w:tr2bl w:val="nil"/>
                  </w:tcBorders>
                  <w:vAlign w:val="center"/>
                </w:tcPr>
                <w:p w14:paraId="34336CA4">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color w:val="auto"/>
                      <w:szCs w:val="21"/>
                    </w:rPr>
                  </w:pPr>
                  <w:r>
                    <w:rPr>
                      <w:rFonts w:hint="eastAsia"/>
                      <w:color w:val="auto"/>
                      <w:szCs w:val="21"/>
                    </w:rPr>
                    <w:t>符合</w:t>
                  </w:r>
                </w:p>
              </w:tc>
            </w:tr>
            <w:tr w14:paraId="08F85E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5" w:type="dxa"/>
                  <w:tcBorders>
                    <w:tl2br w:val="nil"/>
                    <w:tr2bl w:val="nil"/>
                  </w:tcBorders>
                  <w:shd w:val="clear" w:color="auto" w:fill="auto"/>
                  <w:vAlign w:val="center"/>
                </w:tcPr>
                <w:p w14:paraId="3B3F3151">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b/>
                      <w:bCs/>
                      <w:color w:val="auto"/>
                      <w:szCs w:val="21"/>
                    </w:rPr>
                  </w:pPr>
                  <w:r>
                    <w:rPr>
                      <w:color w:val="auto"/>
                      <w:szCs w:val="21"/>
                    </w:rPr>
                    <w:t>水性丙烯酸聚氨酯面漆</w:t>
                  </w:r>
                </w:p>
              </w:tc>
              <w:tc>
                <w:tcPr>
                  <w:tcW w:w="2754" w:type="dxa"/>
                  <w:tcBorders>
                    <w:tl2br w:val="nil"/>
                    <w:tr2bl w:val="nil"/>
                  </w:tcBorders>
                  <w:vAlign w:val="center"/>
                </w:tcPr>
                <w:p w14:paraId="7F469C57">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color w:val="auto"/>
                      <w:szCs w:val="21"/>
                    </w:rPr>
                  </w:pPr>
                  <w:r>
                    <w:rPr>
                      <w:rFonts w:hint="eastAsia"/>
                      <w:color w:val="auto"/>
                      <w:szCs w:val="21"/>
                    </w:rPr>
                    <w:t>水性环氧乳液25</w:t>
                  </w:r>
                  <w:r>
                    <w:rPr>
                      <w:rFonts w:hint="eastAsia"/>
                      <w:color w:val="auto"/>
                      <w:szCs w:val="21"/>
                      <w:lang w:eastAsia="zh-CN"/>
                    </w:rPr>
                    <w:t>%～</w:t>
                  </w:r>
                  <w:r>
                    <w:rPr>
                      <w:rFonts w:hint="eastAsia"/>
                      <w:color w:val="auto"/>
                      <w:szCs w:val="21"/>
                    </w:rPr>
                    <w:t>35%、颜料10</w:t>
                  </w:r>
                  <w:r>
                    <w:rPr>
                      <w:rFonts w:hint="eastAsia"/>
                      <w:color w:val="auto"/>
                      <w:szCs w:val="21"/>
                      <w:lang w:eastAsia="zh-CN"/>
                    </w:rPr>
                    <w:t>%～</w:t>
                  </w:r>
                  <w:r>
                    <w:rPr>
                      <w:rFonts w:hint="eastAsia"/>
                      <w:color w:val="auto"/>
                      <w:szCs w:val="21"/>
                    </w:rPr>
                    <w:t>20%、填料20</w:t>
                  </w:r>
                  <w:r>
                    <w:rPr>
                      <w:rFonts w:hint="eastAsia"/>
                      <w:color w:val="auto"/>
                      <w:szCs w:val="21"/>
                      <w:lang w:eastAsia="zh-CN"/>
                    </w:rPr>
                    <w:t>%～</w:t>
                  </w:r>
                  <w:r>
                    <w:rPr>
                      <w:rFonts w:hint="eastAsia"/>
                      <w:color w:val="auto"/>
                      <w:szCs w:val="21"/>
                    </w:rPr>
                    <w:t>30%、去离子水15</w:t>
                  </w:r>
                  <w:r>
                    <w:rPr>
                      <w:rFonts w:hint="eastAsia"/>
                      <w:color w:val="auto"/>
                      <w:szCs w:val="21"/>
                      <w:lang w:eastAsia="zh-CN"/>
                    </w:rPr>
                    <w:t>%～</w:t>
                  </w:r>
                  <w:r>
                    <w:rPr>
                      <w:rFonts w:hint="eastAsia"/>
                      <w:color w:val="auto"/>
                      <w:szCs w:val="21"/>
                    </w:rPr>
                    <w:t>25%、助剂（含酸性基团共聚物的烷羟基铵盐）2</w:t>
                  </w:r>
                  <w:r>
                    <w:rPr>
                      <w:rFonts w:hint="eastAsia"/>
                      <w:color w:val="auto"/>
                      <w:szCs w:val="21"/>
                      <w:lang w:eastAsia="zh-CN"/>
                    </w:rPr>
                    <w:t>%～</w:t>
                  </w:r>
                  <w:r>
                    <w:rPr>
                      <w:rFonts w:hint="eastAsia"/>
                      <w:color w:val="auto"/>
                      <w:szCs w:val="21"/>
                    </w:rPr>
                    <w:t>10%、水性固化剂10</w:t>
                  </w:r>
                  <w:r>
                    <w:rPr>
                      <w:rFonts w:hint="eastAsia"/>
                      <w:color w:val="auto"/>
                      <w:szCs w:val="21"/>
                      <w:lang w:eastAsia="zh-CN"/>
                    </w:rPr>
                    <w:t>%～</w:t>
                  </w:r>
                  <w:r>
                    <w:rPr>
                      <w:rFonts w:hint="eastAsia"/>
                      <w:color w:val="auto"/>
                      <w:szCs w:val="21"/>
                    </w:rPr>
                    <w:t>15%</w:t>
                  </w:r>
                </w:p>
              </w:tc>
              <w:tc>
                <w:tcPr>
                  <w:tcW w:w="1299" w:type="dxa"/>
                  <w:tcBorders>
                    <w:tl2br w:val="nil"/>
                    <w:tr2bl w:val="nil"/>
                  </w:tcBorders>
                  <w:vAlign w:val="center"/>
                </w:tcPr>
                <w:p w14:paraId="7307C086">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color w:val="auto"/>
                      <w:szCs w:val="21"/>
                    </w:rPr>
                  </w:pPr>
                  <w:r>
                    <w:rPr>
                      <w:rFonts w:hint="eastAsia"/>
                      <w:color w:val="auto"/>
                      <w:szCs w:val="21"/>
                    </w:rPr>
                    <w:t>84g/L</w:t>
                  </w:r>
                </w:p>
                <w:p w14:paraId="0FAFA08E">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color w:val="auto"/>
                      <w:szCs w:val="21"/>
                    </w:rPr>
                  </w:pPr>
                  <w:r>
                    <w:rPr>
                      <w:rFonts w:hint="eastAsia"/>
                      <w:color w:val="auto"/>
                      <w:szCs w:val="21"/>
                    </w:rPr>
                    <w:t>（根据检测报告得知）</w:t>
                  </w:r>
                </w:p>
              </w:tc>
              <w:tc>
                <w:tcPr>
                  <w:tcW w:w="2571" w:type="dxa"/>
                  <w:tcBorders>
                    <w:tl2br w:val="nil"/>
                    <w:tr2bl w:val="nil"/>
                  </w:tcBorders>
                  <w:vAlign w:val="center"/>
                </w:tcPr>
                <w:p w14:paraId="4A7BB7D9">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color w:val="auto"/>
                      <w:szCs w:val="21"/>
                    </w:rPr>
                  </w:pPr>
                  <w:r>
                    <w:rPr>
                      <w:color w:val="auto"/>
                      <w:szCs w:val="21"/>
                    </w:rPr>
                    <w:t>≤</w:t>
                  </w:r>
                  <w:r>
                    <w:rPr>
                      <w:rFonts w:hint="eastAsia"/>
                      <w:color w:val="auto"/>
                      <w:szCs w:val="21"/>
                    </w:rPr>
                    <w:t>300g/L，《低挥发性有机化合物含量涂料产品技术要求》（GB/T38597-2020）表1水性涂料中VOC含量的要求</w:t>
                  </w:r>
                  <w:r>
                    <w:rPr>
                      <w:rFonts w:hint="eastAsia"/>
                      <w:color w:val="auto"/>
                      <w:szCs w:val="21"/>
                      <w:lang w:eastAsia="zh-CN"/>
                    </w:rPr>
                    <w:t>－</w:t>
                  </w:r>
                  <w:r>
                    <w:rPr>
                      <w:rFonts w:hint="eastAsia"/>
                      <w:color w:val="auto"/>
                      <w:szCs w:val="21"/>
                    </w:rPr>
                    <w:t>工业防护涂料</w:t>
                  </w:r>
                  <w:r>
                    <w:rPr>
                      <w:rFonts w:hint="eastAsia"/>
                      <w:color w:val="auto"/>
                      <w:szCs w:val="21"/>
                      <w:lang w:eastAsia="zh-CN"/>
                    </w:rPr>
                    <w:t>－</w:t>
                  </w:r>
                  <w:r>
                    <w:rPr>
                      <w:rFonts w:hint="eastAsia"/>
                      <w:color w:val="auto"/>
                      <w:szCs w:val="21"/>
                    </w:rPr>
                    <w:t>机械设备涂料</w:t>
                  </w:r>
                </w:p>
              </w:tc>
              <w:tc>
                <w:tcPr>
                  <w:tcW w:w="913" w:type="dxa"/>
                  <w:tcBorders>
                    <w:tl2br w:val="nil"/>
                    <w:tr2bl w:val="nil"/>
                  </w:tcBorders>
                  <w:vAlign w:val="center"/>
                </w:tcPr>
                <w:p w14:paraId="4BB0CE95">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color w:val="auto"/>
                      <w:szCs w:val="21"/>
                    </w:rPr>
                  </w:pPr>
                  <w:r>
                    <w:rPr>
                      <w:rFonts w:hint="eastAsia"/>
                      <w:color w:val="auto"/>
                      <w:szCs w:val="21"/>
                    </w:rPr>
                    <w:t>符合</w:t>
                  </w:r>
                </w:p>
              </w:tc>
            </w:tr>
            <w:tr w14:paraId="5858D0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5" w:type="dxa"/>
                  <w:tcBorders>
                    <w:tl2br w:val="nil"/>
                    <w:tr2bl w:val="nil"/>
                  </w:tcBorders>
                  <w:shd w:val="clear" w:color="auto" w:fill="auto"/>
                  <w:vAlign w:val="center"/>
                </w:tcPr>
                <w:p w14:paraId="0ACC5B4E">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eastAsia="zh-CN"/>
                    </w:rPr>
                    <w:t>清洗剂</w:t>
                  </w:r>
                  <w:r>
                    <w:rPr>
                      <w:rFonts w:hint="eastAsia"/>
                      <w:color w:val="auto"/>
                      <w:szCs w:val="21"/>
                      <w:lang w:val="en-US" w:eastAsia="zh-CN"/>
                    </w:rPr>
                    <w:t>*</w:t>
                  </w:r>
                </w:p>
              </w:tc>
              <w:tc>
                <w:tcPr>
                  <w:tcW w:w="2754" w:type="dxa"/>
                  <w:tcBorders>
                    <w:tl2br w:val="nil"/>
                    <w:tr2bl w:val="nil"/>
                  </w:tcBorders>
                  <w:vAlign w:val="center"/>
                </w:tcPr>
                <w:p w14:paraId="63372C39">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val="en-US" w:eastAsia="zh-CN"/>
                    </w:rPr>
                    <w:t>70%乙醇和水比例为1:20</w:t>
                  </w:r>
                </w:p>
              </w:tc>
              <w:tc>
                <w:tcPr>
                  <w:tcW w:w="1299" w:type="dxa"/>
                  <w:tcBorders>
                    <w:tl2br w:val="nil"/>
                    <w:tr2bl w:val="nil"/>
                  </w:tcBorders>
                  <w:vAlign w:val="center"/>
                </w:tcPr>
                <w:p w14:paraId="1E0CFE5F">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val="en-US" w:eastAsia="zh-CN"/>
                    </w:rPr>
                    <w:t>＞32g/L，＜42g/L</w:t>
                  </w:r>
                </w:p>
              </w:tc>
              <w:tc>
                <w:tcPr>
                  <w:tcW w:w="2571" w:type="dxa"/>
                  <w:tcBorders>
                    <w:tl2br w:val="nil"/>
                    <w:tr2bl w:val="nil"/>
                  </w:tcBorders>
                  <w:vAlign w:val="center"/>
                </w:tcPr>
                <w:p w14:paraId="6DDB235A">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default" w:eastAsia="宋体"/>
                      <w:color w:val="auto"/>
                      <w:szCs w:val="21"/>
                      <w:lang w:val="en-US" w:eastAsia="zh-CN"/>
                    </w:rPr>
                  </w:pPr>
                  <w:r>
                    <w:rPr>
                      <w:color w:val="auto"/>
                      <w:szCs w:val="21"/>
                    </w:rPr>
                    <w:t>≤</w:t>
                  </w:r>
                  <w:r>
                    <w:rPr>
                      <w:rFonts w:hint="eastAsia"/>
                      <w:color w:val="auto"/>
                      <w:szCs w:val="21"/>
                      <w:lang w:val="en-US" w:eastAsia="zh-CN"/>
                    </w:rPr>
                    <w:t>5</w:t>
                  </w:r>
                  <w:r>
                    <w:rPr>
                      <w:rFonts w:hint="eastAsia"/>
                      <w:color w:val="auto"/>
                      <w:szCs w:val="21"/>
                    </w:rPr>
                    <w:t>0g/L，</w:t>
                  </w:r>
                  <w:r>
                    <w:rPr>
                      <w:rFonts w:hint="eastAsia"/>
                      <w:color w:val="auto"/>
                      <w:szCs w:val="21"/>
                      <w:lang w:eastAsia="zh-CN"/>
                    </w:rPr>
                    <w:t>《清洗剂挥发性有机化合物含量限值》（</w:t>
                  </w:r>
                  <w:r>
                    <w:rPr>
                      <w:rFonts w:hint="eastAsia"/>
                      <w:color w:val="auto"/>
                      <w:szCs w:val="21"/>
                      <w:lang w:val="en-US" w:eastAsia="zh-CN"/>
                    </w:rPr>
                    <w:t>GB38508-2020</w:t>
                  </w:r>
                  <w:r>
                    <w:rPr>
                      <w:rFonts w:hint="eastAsia"/>
                      <w:color w:val="auto"/>
                      <w:szCs w:val="21"/>
                      <w:lang w:eastAsia="zh-CN"/>
                    </w:rPr>
                    <w:t>）表</w:t>
                  </w:r>
                  <w:r>
                    <w:rPr>
                      <w:rFonts w:hint="eastAsia"/>
                      <w:color w:val="auto"/>
                      <w:szCs w:val="21"/>
                      <w:lang w:val="en-US" w:eastAsia="zh-CN"/>
                    </w:rPr>
                    <w:t>1清洗剂VOC含量及特定挥发性有机物限值要求-水基清洗剂</w:t>
                  </w:r>
                </w:p>
              </w:tc>
              <w:tc>
                <w:tcPr>
                  <w:tcW w:w="913" w:type="dxa"/>
                  <w:tcBorders>
                    <w:tl2br w:val="nil"/>
                    <w:tr2bl w:val="nil"/>
                  </w:tcBorders>
                  <w:vAlign w:val="center"/>
                </w:tcPr>
                <w:p w14:paraId="31D3009E">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eastAsia" w:eastAsia="宋体"/>
                      <w:color w:val="auto"/>
                      <w:szCs w:val="21"/>
                      <w:lang w:eastAsia="zh-CN"/>
                    </w:rPr>
                  </w:pPr>
                  <w:r>
                    <w:rPr>
                      <w:rFonts w:hint="eastAsia"/>
                      <w:color w:val="auto"/>
                      <w:szCs w:val="21"/>
                      <w:lang w:eastAsia="zh-CN"/>
                    </w:rPr>
                    <w:t>符合</w:t>
                  </w:r>
                </w:p>
              </w:tc>
            </w:tr>
          </w:tbl>
          <w:p w14:paraId="1970403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eastAsia="宋体"/>
                <w:b w:val="0"/>
                <w:bCs/>
                <w:color w:val="auto"/>
                <w:sz w:val="21"/>
                <w:szCs w:val="21"/>
                <w:lang w:val="en-US" w:eastAsia="zh-CN"/>
              </w:rPr>
            </w:pPr>
            <w:r>
              <w:rPr>
                <w:rFonts w:hint="eastAsia"/>
                <w:b w:val="0"/>
                <w:bCs/>
                <w:color w:val="auto"/>
                <w:sz w:val="21"/>
                <w:szCs w:val="21"/>
                <w:lang w:eastAsia="zh-CN"/>
              </w:rPr>
              <w:t>注</w:t>
            </w:r>
            <w:r>
              <w:rPr>
                <w:rFonts w:hint="eastAsia"/>
                <w:b w:val="0"/>
                <w:bCs/>
                <w:color w:val="auto"/>
                <w:sz w:val="21"/>
                <w:szCs w:val="21"/>
                <w:lang w:val="en-US" w:eastAsia="zh-CN"/>
              </w:rPr>
              <w:t>*</w:t>
            </w:r>
            <w:r>
              <w:rPr>
                <w:rFonts w:hint="eastAsia"/>
                <w:b w:val="0"/>
                <w:bCs/>
                <w:color w:val="auto"/>
                <w:sz w:val="21"/>
                <w:szCs w:val="21"/>
                <w:lang w:eastAsia="zh-CN"/>
              </w:rPr>
              <w:t>：项目清洗剂由</w:t>
            </w:r>
            <w:r>
              <w:rPr>
                <w:rFonts w:hint="eastAsia"/>
                <w:b w:val="0"/>
                <w:bCs/>
                <w:color w:val="auto"/>
                <w:sz w:val="21"/>
                <w:szCs w:val="21"/>
                <w:lang w:val="en-US" w:eastAsia="zh-CN"/>
              </w:rPr>
              <w:t>70%乙醇和水调配而成，70%乙醇和水的比例为1:20，则项目清洗剂调配用水量为2t/a，因此挥发性有机成分含量占比合计为（70%×0.1t）/（2t+0.1t）=3.3%，乙醇密度为0.789g/cm</w:t>
            </w:r>
            <w:r>
              <w:rPr>
                <w:rFonts w:hint="eastAsia"/>
                <w:b w:val="0"/>
                <w:bCs/>
                <w:color w:val="auto"/>
                <w:sz w:val="21"/>
                <w:szCs w:val="21"/>
                <w:vertAlign w:val="superscript"/>
                <w:lang w:val="en-US" w:eastAsia="zh-CN"/>
              </w:rPr>
              <w:t>3</w:t>
            </w:r>
            <w:r>
              <w:rPr>
                <w:rFonts w:hint="eastAsia"/>
                <w:b w:val="0"/>
                <w:bCs/>
                <w:color w:val="auto"/>
                <w:sz w:val="21"/>
                <w:szCs w:val="21"/>
                <w:lang w:val="en-US" w:eastAsia="zh-CN"/>
              </w:rPr>
              <w:t>，水密度为1g/cm</w:t>
            </w:r>
            <w:r>
              <w:rPr>
                <w:rFonts w:hint="eastAsia"/>
                <w:b w:val="0"/>
                <w:bCs/>
                <w:color w:val="auto"/>
                <w:sz w:val="21"/>
                <w:szCs w:val="21"/>
                <w:vertAlign w:val="superscript"/>
                <w:lang w:val="en-US" w:eastAsia="zh-CN"/>
              </w:rPr>
              <w:t>3</w:t>
            </w:r>
            <w:r>
              <w:rPr>
                <w:rFonts w:hint="eastAsia"/>
                <w:b w:val="0"/>
                <w:bCs/>
                <w:color w:val="auto"/>
                <w:sz w:val="21"/>
                <w:szCs w:val="21"/>
                <w:lang w:val="en-US" w:eastAsia="zh-CN"/>
              </w:rPr>
              <w:t>，则经调配后清洗剂密度应＞0.789g/cm</w:t>
            </w:r>
            <w:r>
              <w:rPr>
                <w:rFonts w:hint="eastAsia"/>
                <w:b w:val="0"/>
                <w:bCs/>
                <w:color w:val="auto"/>
                <w:sz w:val="21"/>
                <w:szCs w:val="21"/>
                <w:vertAlign w:val="superscript"/>
                <w:lang w:val="en-US" w:eastAsia="zh-CN"/>
              </w:rPr>
              <w:t>3</w:t>
            </w:r>
            <w:r>
              <w:rPr>
                <w:rFonts w:hint="eastAsia"/>
                <w:b w:val="0"/>
                <w:bCs/>
                <w:color w:val="auto"/>
                <w:sz w:val="21"/>
                <w:szCs w:val="21"/>
                <w:lang w:val="en-US" w:eastAsia="zh-CN"/>
              </w:rPr>
              <w:t>，＜1g/cm</w:t>
            </w:r>
            <w:r>
              <w:rPr>
                <w:rFonts w:hint="eastAsia"/>
                <w:b w:val="0"/>
                <w:bCs/>
                <w:color w:val="auto"/>
                <w:sz w:val="21"/>
                <w:szCs w:val="21"/>
                <w:vertAlign w:val="superscript"/>
                <w:lang w:val="en-US" w:eastAsia="zh-CN"/>
              </w:rPr>
              <w:t>3</w:t>
            </w:r>
            <w:r>
              <w:rPr>
                <w:rFonts w:hint="eastAsia"/>
                <w:b w:val="0"/>
                <w:bCs/>
                <w:color w:val="auto"/>
                <w:sz w:val="21"/>
                <w:szCs w:val="21"/>
                <w:lang w:val="en-US" w:eastAsia="zh-CN"/>
              </w:rPr>
              <w:t>，则清洗剂中的VOCs含量＞3.3÷100÷1×1000=33g/L，VOCs含量＜3.3÷100÷0.789×1000=42g/L。</w:t>
            </w:r>
          </w:p>
          <w:p w14:paraId="1A5DE396">
            <w:pPr>
              <w:autoSpaceDE w:val="0"/>
              <w:autoSpaceDN w:val="0"/>
              <w:adjustRightInd w:val="0"/>
              <w:snapToGrid w:val="0"/>
              <w:spacing w:before="120" w:beforeLines="50" w:line="360" w:lineRule="auto"/>
              <w:ind w:firstLine="482" w:firstLineChars="200"/>
              <w:rPr>
                <w:b/>
                <w:color w:val="auto"/>
                <w:sz w:val="24"/>
              </w:rPr>
            </w:pPr>
            <w:r>
              <w:rPr>
                <w:rFonts w:hint="eastAsia"/>
                <w:b/>
                <w:color w:val="auto"/>
                <w:sz w:val="24"/>
              </w:rPr>
              <w:t>5.</w:t>
            </w:r>
            <w:r>
              <w:rPr>
                <w:b/>
                <w:color w:val="auto"/>
                <w:sz w:val="24"/>
              </w:rPr>
              <w:t>公用工程及</w:t>
            </w:r>
            <w:r>
              <w:rPr>
                <w:rFonts w:hint="eastAsia"/>
                <w:b/>
                <w:color w:val="auto"/>
                <w:sz w:val="24"/>
              </w:rPr>
              <w:t>辅</w:t>
            </w:r>
            <w:r>
              <w:rPr>
                <w:b/>
                <w:color w:val="auto"/>
                <w:sz w:val="24"/>
              </w:rPr>
              <w:t>助工程</w:t>
            </w:r>
          </w:p>
          <w:p w14:paraId="13C351FD">
            <w:pPr>
              <w:autoSpaceDE w:val="0"/>
              <w:autoSpaceDN w:val="0"/>
              <w:adjustRightInd w:val="0"/>
              <w:snapToGrid w:val="0"/>
              <w:spacing w:line="360" w:lineRule="auto"/>
              <w:ind w:firstLine="480" w:firstLineChars="200"/>
              <w:rPr>
                <w:color w:val="auto"/>
                <w:sz w:val="24"/>
              </w:rPr>
            </w:pPr>
            <w:r>
              <w:rPr>
                <w:color w:val="auto"/>
                <w:sz w:val="24"/>
              </w:rPr>
              <w:t>项目公用及辅助工程见表2-</w:t>
            </w:r>
            <w:r>
              <w:rPr>
                <w:rFonts w:hint="eastAsia"/>
                <w:color w:val="auto"/>
                <w:sz w:val="24"/>
              </w:rPr>
              <w:t>7</w:t>
            </w:r>
            <w:r>
              <w:rPr>
                <w:color w:val="auto"/>
                <w:sz w:val="24"/>
              </w:rPr>
              <w:t>。</w:t>
            </w:r>
          </w:p>
          <w:p w14:paraId="7AADF356">
            <w:pPr>
              <w:adjustRightInd w:val="0"/>
              <w:snapToGrid w:val="0"/>
              <w:ind w:firstLine="482"/>
              <w:jc w:val="center"/>
              <w:rPr>
                <w:b/>
                <w:color w:val="auto"/>
                <w:sz w:val="24"/>
                <w:lang w:val="zh-CN"/>
              </w:rPr>
            </w:pPr>
            <w:r>
              <w:rPr>
                <w:b/>
                <w:color w:val="auto"/>
                <w:sz w:val="24"/>
                <w:lang w:val="zh-CN"/>
              </w:rPr>
              <w:t>表2-</w:t>
            </w:r>
            <w:r>
              <w:rPr>
                <w:rFonts w:hint="eastAsia"/>
                <w:b/>
                <w:color w:val="auto"/>
                <w:sz w:val="24"/>
              </w:rPr>
              <w:t>7</w:t>
            </w:r>
            <w:r>
              <w:rPr>
                <w:b/>
                <w:color w:val="auto"/>
                <w:sz w:val="24"/>
                <w:lang w:val="zh-CN"/>
              </w:rPr>
              <w:t>建设项目公用与辅助工程一览表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39"/>
              <w:gridCol w:w="578"/>
              <w:gridCol w:w="843"/>
              <w:gridCol w:w="1009"/>
              <w:gridCol w:w="1759"/>
              <w:gridCol w:w="1787"/>
              <w:gridCol w:w="1837"/>
            </w:tblGrid>
            <w:tr w14:paraId="213FF5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78" w:type="pct"/>
                  <w:tcBorders>
                    <w:tl2br w:val="nil"/>
                    <w:tr2bl w:val="nil"/>
                  </w:tcBorders>
                  <w:shd w:val="clear" w:color="auto" w:fill="auto"/>
                  <w:vAlign w:val="center"/>
                </w:tcPr>
                <w:p w14:paraId="69DF7311">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工程类别</w:t>
                  </w:r>
                </w:p>
              </w:tc>
              <w:tc>
                <w:tcPr>
                  <w:tcW w:w="840" w:type="pct"/>
                  <w:gridSpan w:val="2"/>
                  <w:tcBorders>
                    <w:tl2br w:val="nil"/>
                    <w:tr2bl w:val="nil"/>
                  </w:tcBorders>
                  <w:shd w:val="clear" w:color="auto" w:fill="auto"/>
                  <w:vAlign w:val="center"/>
                </w:tcPr>
                <w:p w14:paraId="2490BEC7">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建设</w:t>
                  </w:r>
                </w:p>
                <w:p w14:paraId="0D7C2ABE">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名称</w:t>
                  </w:r>
                </w:p>
              </w:tc>
              <w:tc>
                <w:tcPr>
                  <w:tcW w:w="2694" w:type="pct"/>
                  <w:gridSpan w:val="3"/>
                  <w:tcBorders>
                    <w:tl2br w:val="nil"/>
                    <w:tr2bl w:val="nil"/>
                  </w:tcBorders>
                  <w:shd w:val="clear" w:color="auto" w:fill="auto"/>
                  <w:vAlign w:val="center"/>
                </w:tcPr>
                <w:p w14:paraId="092C2C13">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工程内容及规模</w:t>
                  </w:r>
                </w:p>
              </w:tc>
              <w:tc>
                <w:tcPr>
                  <w:tcW w:w="1086" w:type="pct"/>
                  <w:tcBorders>
                    <w:tl2br w:val="nil"/>
                    <w:tr2bl w:val="nil"/>
                  </w:tcBorders>
                  <w:shd w:val="clear" w:color="auto" w:fill="auto"/>
                  <w:vAlign w:val="center"/>
                </w:tcPr>
                <w:p w14:paraId="60170080">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auto"/>
                      <w:szCs w:val="21"/>
                    </w:rPr>
                  </w:pPr>
                  <w:r>
                    <w:rPr>
                      <w:rFonts w:hint="eastAsia"/>
                      <w:b/>
                      <w:color w:val="auto"/>
                      <w:szCs w:val="21"/>
                    </w:rPr>
                    <w:t>备注</w:t>
                  </w:r>
                </w:p>
              </w:tc>
            </w:tr>
            <w:tr w14:paraId="720896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8" w:type="pct"/>
                  <w:vMerge w:val="restart"/>
                  <w:tcBorders>
                    <w:tl2br w:val="nil"/>
                    <w:tr2bl w:val="nil"/>
                  </w:tcBorders>
                  <w:shd w:val="clear" w:color="auto" w:fill="auto"/>
                  <w:vAlign w:val="center"/>
                </w:tcPr>
                <w:p w14:paraId="40B4E6F4">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主体工程</w:t>
                  </w:r>
                </w:p>
              </w:tc>
              <w:tc>
                <w:tcPr>
                  <w:tcW w:w="840" w:type="pct"/>
                  <w:gridSpan w:val="2"/>
                  <w:vMerge w:val="restart"/>
                  <w:tcBorders>
                    <w:tl2br w:val="nil"/>
                    <w:tr2bl w:val="nil"/>
                  </w:tcBorders>
                  <w:shd w:val="clear" w:color="auto" w:fill="auto"/>
                  <w:vAlign w:val="center"/>
                </w:tcPr>
                <w:p w14:paraId="4FD9B289">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val="en-US" w:eastAsia="zh-CN"/>
                    </w:rPr>
                    <w:t>1#厂房</w:t>
                  </w:r>
                </w:p>
              </w:tc>
              <w:tc>
                <w:tcPr>
                  <w:tcW w:w="2694" w:type="pct"/>
                  <w:gridSpan w:val="3"/>
                  <w:tcBorders>
                    <w:tl2br w:val="nil"/>
                    <w:tr2bl w:val="nil"/>
                  </w:tcBorders>
                  <w:shd w:val="clear" w:color="auto" w:fill="auto"/>
                  <w:vAlign w:val="center"/>
                </w:tcPr>
                <w:p w14:paraId="2CF908C5">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Cs w:val="21"/>
                      <w:vertAlign w:val="baseline"/>
                      <w:lang w:eastAsia="zh-CN"/>
                    </w:rPr>
                  </w:pPr>
                  <w:r>
                    <w:rPr>
                      <w:rFonts w:hint="eastAsia"/>
                      <w:color w:val="auto"/>
                      <w:szCs w:val="21"/>
                      <w:lang w:val="en-US" w:eastAsia="zh-CN"/>
                    </w:rPr>
                    <w:t>1#生产车间</w:t>
                  </w:r>
                  <w:r>
                    <w:rPr>
                      <w:rFonts w:hint="eastAsia"/>
                      <w:bCs/>
                      <w:color w:val="auto"/>
                      <w:szCs w:val="21"/>
                      <w:lang w:eastAsia="zh-CN"/>
                    </w:rPr>
                    <w:t>，位于</w:t>
                  </w:r>
                  <w:r>
                    <w:rPr>
                      <w:rFonts w:hint="eastAsia"/>
                      <w:bCs/>
                      <w:color w:val="auto"/>
                      <w:szCs w:val="21"/>
                      <w:lang w:val="en-US" w:eastAsia="zh-CN"/>
                    </w:rPr>
                    <w:t>1#厂房1F，</w:t>
                  </w:r>
                  <w:r>
                    <w:rPr>
                      <w:rFonts w:hint="eastAsia"/>
                      <w:bCs/>
                      <w:color w:val="auto"/>
                      <w:szCs w:val="21"/>
                    </w:rPr>
                    <w:t>建筑面积9550.04m</w:t>
                  </w:r>
                  <w:r>
                    <w:rPr>
                      <w:rFonts w:hint="eastAsia"/>
                      <w:bCs/>
                      <w:color w:val="auto"/>
                      <w:szCs w:val="21"/>
                      <w:vertAlign w:val="superscript"/>
                    </w:rPr>
                    <w:t>2</w:t>
                  </w:r>
                  <w:r>
                    <w:rPr>
                      <w:rFonts w:hint="eastAsia"/>
                      <w:bCs/>
                      <w:color w:val="auto"/>
                      <w:szCs w:val="21"/>
                      <w:vertAlign w:val="baseline"/>
                      <w:lang w:eastAsia="zh-CN"/>
                    </w:rPr>
                    <w:t>，布设变频器生产线</w:t>
                  </w:r>
                </w:p>
              </w:tc>
              <w:tc>
                <w:tcPr>
                  <w:tcW w:w="1086" w:type="pct"/>
                  <w:tcBorders>
                    <w:tl2br w:val="nil"/>
                    <w:tr2bl w:val="nil"/>
                  </w:tcBorders>
                  <w:shd w:val="clear" w:color="auto" w:fill="auto"/>
                  <w:vAlign w:val="center"/>
                </w:tcPr>
                <w:p w14:paraId="52350F12">
                  <w:pPr>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auto"/>
                      <w:szCs w:val="21"/>
                    </w:rPr>
                  </w:pPr>
                  <w:r>
                    <w:rPr>
                      <w:rFonts w:hint="eastAsia"/>
                      <w:bCs/>
                      <w:color w:val="auto"/>
                      <w:szCs w:val="21"/>
                    </w:rPr>
                    <w:t>新建</w:t>
                  </w:r>
                </w:p>
              </w:tc>
            </w:tr>
            <w:tr w14:paraId="4A3275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8" w:type="pct"/>
                  <w:vMerge w:val="continue"/>
                  <w:tcBorders>
                    <w:tl2br w:val="nil"/>
                    <w:tr2bl w:val="nil"/>
                  </w:tcBorders>
                  <w:shd w:val="clear" w:color="auto" w:fill="auto"/>
                  <w:vAlign w:val="center"/>
                </w:tcPr>
                <w:p w14:paraId="69B3C81B">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840" w:type="pct"/>
                  <w:gridSpan w:val="2"/>
                  <w:vMerge w:val="continue"/>
                  <w:tcBorders>
                    <w:tl2br w:val="nil"/>
                    <w:tr2bl w:val="nil"/>
                  </w:tcBorders>
                  <w:shd w:val="clear" w:color="auto" w:fill="auto"/>
                  <w:vAlign w:val="center"/>
                </w:tcPr>
                <w:p w14:paraId="6FF278C1">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2694" w:type="pct"/>
                  <w:gridSpan w:val="3"/>
                  <w:tcBorders>
                    <w:tl2br w:val="nil"/>
                    <w:tr2bl w:val="nil"/>
                  </w:tcBorders>
                  <w:shd w:val="clear" w:color="auto" w:fill="auto"/>
                  <w:vAlign w:val="center"/>
                </w:tcPr>
                <w:p w14:paraId="4E109259">
                  <w:pPr>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auto"/>
                      <w:szCs w:val="21"/>
                    </w:rPr>
                  </w:pPr>
                  <w:r>
                    <w:rPr>
                      <w:rFonts w:hint="eastAsia"/>
                      <w:color w:val="auto"/>
                      <w:szCs w:val="21"/>
                    </w:rPr>
                    <w:t>2#生产车间</w:t>
                  </w:r>
                  <w:r>
                    <w:rPr>
                      <w:rFonts w:hint="eastAsia"/>
                      <w:bCs/>
                      <w:color w:val="auto"/>
                      <w:szCs w:val="21"/>
                      <w:lang w:eastAsia="zh-CN"/>
                    </w:rPr>
                    <w:t>，位于</w:t>
                  </w:r>
                  <w:r>
                    <w:rPr>
                      <w:rFonts w:hint="eastAsia"/>
                      <w:bCs/>
                      <w:color w:val="auto"/>
                      <w:szCs w:val="21"/>
                      <w:lang w:val="en-US" w:eastAsia="zh-CN"/>
                    </w:rPr>
                    <w:t>1#厂房2F，</w:t>
                  </w:r>
                  <w:r>
                    <w:rPr>
                      <w:rFonts w:hint="eastAsia"/>
                      <w:bCs/>
                      <w:color w:val="auto"/>
                      <w:szCs w:val="21"/>
                    </w:rPr>
                    <w:t>建筑面积9550.04m</w:t>
                  </w:r>
                  <w:r>
                    <w:rPr>
                      <w:rFonts w:hint="eastAsia"/>
                      <w:bCs/>
                      <w:color w:val="auto"/>
                      <w:szCs w:val="21"/>
                      <w:vertAlign w:val="superscript"/>
                    </w:rPr>
                    <w:t>2</w:t>
                  </w:r>
                  <w:r>
                    <w:rPr>
                      <w:rFonts w:hint="eastAsia"/>
                      <w:bCs/>
                      <w:color w:val="auto"/>
                      <w:szCs w:val="21"/>
                      <w:vertAlign w:val="baseline"/>
                      <w:lang w:eastAsia="zh-CN"/>
                    </w:rPr>
                    <w:t>，布设电机生产线、</w:t>
                  </w:r>
                  <w:r>
                    <w:rPr>
                      <w:rFonts w:hint="eastAsia"/>
                      <w:bCs/>
                      <w:color w:val="auto"/>
                      <w:szCs w:val="21"/>
                      <w:vertAlign w:val="baseline"/>
                      <w:lang w:val="en-US" w:eastAsia="zh-CN"/>
                    </w:rPr>
                    <w:t>1#</w:t>
                  </w:r>
                  <w:r>
                    <w:rPr>
                      <w:rFonts w:hint="eastAsia"/>
                      <w:bCs/>
                      <w:color w:val="auto"/>
                      <w:szCs w:val="21"/>
                      <w:vertAlign w:val="baseline"/>
                      <w:lang w:eastAsia="zh-CN"/>
                    </w:rPr>
                    <w:t>烘干房（</w:t>
                  </w:r>
                  <w:r>
                    <w:rPr>
                      <w:rFonts w:hint="eastAsia"/>
                      <w:bCs/>
                      <w:color w:val="auto"/>
                      <w:szCs w:val="21"/>
                      <w:vertAlign w:val="baseline"/>
                      <w:lang w:val="en-US" w:eastAsia="zh-CN"/>
                    </w:rPr>
                    <w:t>1间，</w:t>
                  </w:r>
                  <w:r>
                    <w:rPr>
                      <w:rFonts w:hint="eastAsia"/>
                      <w:bCs/>
                      <w:color w:val="auto"/>
                      <w:szCs w:val="21"/>
                    </w:rPr>
                    <w:t>建筑面积</w:t>
                  </w:r>
                  <w:r>
                    <w:rPr>
                      <w:rFonts w:hint="eastAsia"/>
                      <w:bCs/>
                      <w:color w:val="auto"/>
                      <w:szCs w:val="21"/>
                      <w:lang w:val="en-US" w:eastAsia="zh-CN"/>
                    </w:rPr>
                    <w:t>48</w:t>
                  </w:r>
                  <w:r>
                    <w:rPr>
                      <w:rFonts w:hint="eastAsia"/>
                      <w:bCs/>
                      <w:color w:val="auto"/>
                      <w:szCs w:val="21"/>
                    </w:rPr>
                    <w:t>m</w:t>
                  </w:r>
                  <w:r>
                    <w:rPr>
                      <w:rFonts w:hint="eastAsia"/>
                      <w:bCs/>
                      <w:color w:val="auto"/>
                      <w:szCs w:val="21"/>
                      <w:vertAlign w:val="superscript"/>
                    </w:rPr>
                    <w:t>2</w:t>
                  </w:r>
                  <w:r>
                    <w:rPr>
                      <w:rFonts w:hint="eastAsia"/>
                      <w:bCs/>
                      <w:color w:val="auto"/>
                      <w:szCs w:val="21"/>
                      <w:vertAlign w:val="baseline"/>
                      <w:lang w:eastAsia="zh-CN"/>
                    </w:rPr>
                    <w:t>）</w:t>
                  </w:r>
                </w:p>
              </w:tc>
              <w:tc>
                <w:tcPr>
                  <w:tcW w:w="1086" w:type="pct"/>
                  <w:tcBorders>
                    <w:tl2br w:val="nil"/>
                    <w:tr2bl w:val="nil"/>
                  </w:tcBorders>
                  <w:shd w:val="clear" w:color="auto" w:fill="auto"/>
                  <w:vAlign w:val="center"/>
                </w:tcPr>
                <w:p w14:paraId="09B4367A">
                  <w:pPr>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auto"/>
                      <w:szCs w:val="21"/>
                    </w:rPr>
                  </w:pPr>
                  <w:r>
                    <w:rPr>
                      <w:rFonts w:hint="eastAsia"/>
                      <w:bCs/>
                      <w:color w:val="auto"/>
                      <w:szCs w:val="21"/>
                    </w:rPr>
                    <w:t>新建</w:t>
                  </w:r>
                </w:p>
              </w:tc>
            </w:tr>
            <w:tr w14:paraId="3BA8CD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8" w:type="pct"/>
                  <w:vMerge w:val="continue"/>
                  <w:tcBorders>
                    <w:tl2br w:val="nil"/>
                    <w:tr2bl w:val="nil"/>
                  </w:tcBorders>
                  <w:shd w:val="clear" w:color="auto" w:fill="auto"/>
                  <w:vAlign w:val="center"/>
                </w:tcPr>
                <w:p w14:paraId="07E20967">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840" w:type="pct"/>
                  <w:gridSpan w:val="2"/>
                  <w:tcBorders>
                    <w:tl2br w:val="nil"/>
                    <w:tr2bl w:val="nil"/>
                  </w:tcBorders>
                  <w:shd w:val="clear" w:color="auto" w:fill="auto"/>
                  <w:vAlign w:val="center"/>
                </w:tcPr>
                <w:p w14:paraId="618006DF">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val="en-US" w:eastAsia="zh-CN"/>
                    </w:rPr>
                    <w:t>2#厂房</w:t>
                  </w:r>
                </w:p>
              </w:tc>
              <w:tc>
                <w:tcPr>
                  <w:tcW w:w="2694" w:type="pct"/>
                  <w:gridSpan w:val="3"/>
                  <w:tcBorders>
                    <w:tl2br w:val="nil"/>
                    <w:tr2bl w:val="nil"/>
                  </w:tcBorders>
                  <w:shd w:val="clear" w:color="auto" w:fill="auto"/>
                  <w:vAlign w:val="center"/>
                </w:tcPr>
                <w:p w14:paraId="334E13DA">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bCs/>
                      <w:color w:val="auto"/>
                      <w:szCs w:val="21"/>
                      <w:vertAlign w:val="baseline"/>
                      <w:lang w:eastAsia="zh-CN"/>
                    </w:rPr>
                  </w:pPr>
                  <w:r>
                    <w:rPr>
                      <w:rFonts w:hint="eastAsia"/>
                      <w:bCs/>
                      <w:color w:val="auto"/>
                      <w:szCs w:val="21"/>
                      <w:lang w:val="en-US" w:eastAsia="zh-CN"/>
                    </w:rPr>
                    <w:t>2F，</w:t>
                  </w:r>
                  <w:r>
                    <w:rPr>
                      <w:rFonts w:hint="eastAsia"/>
                      <w:bCs/>
                      <w:color w:val="auto"/>
                      <w:szCs w:val="21"/>
                    </w:rPr>
                    <w:t>占地面积4770.5m</w:t>
                  </w:r>
                  <w:r>
                    <w:rPr>
                      <w:rFonts w:hint="eastAsia"/>
                      <w:bCs/>
                      <w:color w:val="auto"/>
                      <w:szCs w:val="21"/>
                      <w:vertAlign w:val="superscript"/>
                    </w:rPr>
                    <w:t>2</w:t>
                  </w:r>
                  <w:r>
                    <w:rPr>
                      <w:rFonts w:hint="eastAsia"/>
                      <w:bCs/>
                      <w:color w:val="auto"/>
                      <w:szCs w:val="21"/>
                    </w:rPr>
                    <w:t>，建筑面积9550.04m</w:t>
                  </w:r>
                  <w:r>
                    <w:rPr>
                      <w:rFonts w:hint="eastAsia"/>
                      <w:bCs/>
                      <w:color w:val="auto"/>
                      <w:szCs w:val="21"/>
                      <w:vertAlign w:val="superscript"/>
                    </w:rPr>
                    <w:t>2</w:t>
                  </w:r>
                  <w:r>
                    <w:rPr>
                      <w:rFonts w:hint="eastAsia"/>
                      <w:bCs/>
                      <w:color w:val="auto"/>
                      <w:szCs w:val="21"/>
                      <w:vertAlign w:val="baseline"/>
                      <w:lang w:eastAsia="zh-CN"/>
                    </w:rPr>
                    <w:t>，闲置</w:t>
                  </w:r>
                </w:p>
              </w:tc>
              <w:tc>
                <w:tcPr>
                  <w:tcW w:w="1086" w:type="pct"/>
                  <w:tcBorders>
                    <w:tl2br w:val="nil"/>
                    <w:tr2bl w:val="nil"/>
                  </w:tcBorders>
                  <w:shd w:val="clear" w:color="auto" w:fill="auto"/>
                  <w:vAlign w:val="center"/>
                </w:tcPr>
                <w:p w14:paraId="25811BD3">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bCs/>
                      <w:color w:val="auto"/>
                      <w:szCs w:val="21"/>
                    </w:rPr>
                  </w:pPr>
                  <w:r>
                    <w:rPr>
                      <w:rFonts w:hint="eastAsia"/>
                      <w:bCs/>
                      <w:color w:val="auto"/>
                      <w:szCs w:val="21"/>
                    </w:rPr>
                    <w:t>新建</w:t>
                  </w:r>
                </w:p>
              </w:tc>
            </w:tr>
            <w:tr w14:paraId="30C26A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8" w:type="pct"/>
                  <w:vMerge w:val="restart"/>
                  <w:tcBorders>
                    <w:tl2br w:val="nil"/>
                    <w:tr2bl w:val="nil"/>
                  </w:tcBorders>
                  <w:shd w:val="clear" w:color="auto" w:fill="auto"/>
                  <w:vAlign w:val="center"/>
                </w:tcPr>
                <w:p w14:paraId="599944BC">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辅助工程</w:t>
                  </w:r>
                </w:p>
              </w:tc>
              <w:tc>
                <w:tcPr>
                  <w:tcW w:w="840" w:type="pct"/>
                  <w:gridSpan w:val="2"/>
                  <w:tcBorders>
                    <w:tl2br w:val="nil"/>
                    <w:tr2bl w:val="nil"/>
                  </w:tcBorders>
                  <w:shd w:val="clear" w:color="auto" w:fill="auto"/>
                  <w:vAlign w:val="center"/>
                </w:tcPr>
                <w:p w14:paraId="5905B77C">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Cs w:val="21"/>
                      <w:lang w:eastAsia="zh-CN"/>
                    </w:rPr>
                  </w:pPr>
                  <w:r>
                    <w:rPr>
                      <w:rFonts w:hint="eastAsia"/>
                      <w:color w:val="auto"/>
                      <w:szCs w:val="21"/>
                      <w:lang w:eastAsia="zh-CN"/>
                    </w:rPr>
                    <w:t>办公楼</w:t>
                  </w:r>
                </w:p>
              </w:tc>
              <w:tc>
                <w:tcPr>
                  <w:tcW w:w="2694" w:type="pct"/>
                  <w:gridSpan w:val="3"/>
                  <w:tcBorders>
                    <w:tl2br w:val="nil"/>
                    <w:tr2bl w:val="nil"/>
                  </w:tcBorders>
                  <w:shd w:val="clear" w:color="auto" w:fill="auto"/>
                  <w:vAlign w:val="center"/>
                </w:tcPr>
                <w:p w14:paraId="106F35F7">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bCs/>
                      <w:color w:val="auto"/>
                      <w:szCs w:val="21"/>
                      <w:lang w:val="en-US" w:eastAsia="zh-CN"/>
                    </w:rPr>
                    <w:t>5F，</w:t>
                  </w:r>
                  <w:r>
                    <w:rPr>
                      <w:rFonts w:hint="eastAsia"/>
                      <w:bCs/>
                      <w:color w:val="auto"/>
                      <w:szCs w:val="21"/>
                    </w:rPr>
                    <w:t>占地面积1102m</w:t>
                  </w:r>
                  <w:r>
                    <w:rPr>
                      <w:rFonts w:hint="eastAsia"/>
                      <w:bCs/>
                      <w:color w:val="auto"/>
                      <w:szCs w:val="21"/>
                      <w:vertAlign w:val="superscript"/>
                    </w:rPr>
                    <w:t>2</w:t>
                  </w:r>
                  <w:r>
                    <w:rPr>
                      <w:rFonts w:hint="eastAsia"/>
                      <w:bCs/>
                      <w:color w:val="auto"/>
                      <w:szCs w:val="21"/>
                    </w:rPr>
                    <w:t>，建筑面积5081.91m</w:t>
                  </w:r>
                  <w:r>
                    <w:rPr>
                      <w:rFonts w:hint="eastAsia"/>
                      <w:bCs/>
                      <w:color w:val="auto"/>
                      <w:szCs w:val="21"/>
                      <w:vertAlign w:val="superscript"/>
                    </w:rPr>
                    <w:t>2</w:t>
                  </w:r>
                </w:p>
              </w:tc>
              <w:tc>
                <w:tcPr>
                  <w:tcW w:w="1086" w:type="pct"/>
                  <w:tcBorders>
                    <w:tl2br w:val="nil"/>
                    <w:tr2bl w:val="nil"/>
                  </w:tcBorders>
                  <w:shd w:val="clear" w:color="auto" w:fill="auto"/>
                  <w:vAlign w:val="center"/>
                </w:tcPr>
                <w:p w14:paraId="3982A860">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新建</w:t>
                  </w:r>
                </w:p>
              </w:tc>
            </w:tr>
            <w:tr w14:paraId="052270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8" w:type="pct"/>
                  <w:vMerge w:val="continue"/>
                  <w:tcBorders>
                    <w:tl2br w:val="nil"/>
                    <w:tr2bl w:val="nil"/>
                  </w:tcBorders>
                  <w:shd w:val="clear" w:color="auto" w:fill="auto"/>
                  <w:vAlign w:val="center"/>
                </w:tcPr>
                <w:p w14:paraId="148AEFDE">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840" w:type="pct"/>
                  <w:gridSpan w:val="2"/>
                  <w:tcBorders>
                    <w:tl2br w:val="nil"/>
                    <w:tr2bl w:val="nil"/>
                  </w:tcBorders>
                  <w:shd w:val="clear" w:color="auto" w:fill="auto"/>
                  <w:vAlign w:val="center"/>
                </w:tcPr>
                <w:p w14:paraId="5BBD6AF2">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color w:val="auto"/>
                      <w:szCs w:val="21"/>
                      <w:lang w:eastAsia="zh-CN"/>
                    </w:rPr>
                  </w:pPr>
                  <w:r>
                    <w:rPr>
                      <w:rFonts w:hint="eastAsia"/>
                      <w:color w:val="auto"/>
                      <w:szCs w:val="21"/>
                      <w:lang w:eastAsia="zh-CN"/>
                    </w:rPr>
                    <w:t>食堂</w:t>
                  </w:r>
                </w:p>
              </w:tc>
              <w:tc>
                <w:tcPr>
                  <w:tcW w:w="2694" w:type="pct"/>
                  <w:gridSpan w:val="3"/>
                  <w:tcBorders>
                    <w:tl2br w:val="nil"/>
                    <w:tr2bl w:val="nil"/>
                  </w:tcBorders>
                  <w:shd w:val="clear" w:color="auto" w:fill="auto"/>
                  <w:vAlign w:val="center"/>
                </w:tcPr>
                <w:p w14:paraId="283FF96B">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bCs/>
                      <w:color w:val="auto"/>
                      <w:szCs w:val="21"/>
                      <w:lang w:val="en-US" w:eastAsia="zh-CN"/>
                    </w:rPr>
                  </w:pPr>
                  <w:r>
                    <w:rPr>
                      <w:rFonts w:hint="eastAsia"/>
                      <w:bCs/>
                      <w:color w:val="auto"/>
                      <w:szCs w:val="21"/>
                      <w:lang w:val="en-US" w:eastAsia="zh-CN"/>
                    </w:rPr>
                    <w:t>位于办公楼5F，建筑面积1102m</w:t>
                  </w:r>
                  <w:r>
                    <w:rPr>
                      <w:rFonts w:hint="eastAsia"/>
                      <w:bCs/>
                      <w:color w:val="auto"/>
                      <w:szCs w:val="21"/>
                      <w:vertAlign w:val="superscript"/>
                      <w:lang w:val="en-US" w:eastAsia="zh-CN"/>
                    </w:rPr>
                    <w:t>2</w:t>
                  </w:r>
                </w:p>
              </w:tc>
              <w:tc>
                <w:tcPr>
                  <w:tcW w:w="1086" w:type="pct"/>
                  <w:tcBorders>
                    <w:tl2br w:val="nil"/>
                    <w:tr2bl w:val="nil"/>
                  </w:tcBorders>
                  <w:shd w:val="clear" w:color="auto" w:fill="auto"/>
                  <w:vAlign w:val="center"/>
                </w:tcPr>
                <w:p w14:paraId="7BD217A9">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color w:val="auto"/>
                      <w:szCs w:val="21"/>
                    </w:rPr>
                  </w:pPr>
                  <w:r>
                    <w:rPr>
                      <w:rFonts w:hint="eastAsia"/>
                      <w:color w:val="auto"/>
                      <w:szCs w:val="21"/>
                    </w:rPr>
                    <w:t>新建</w:t>
                  </w:r>
                </w:p>
              </w:tc>
            </w:tr>
            <w:tr w14:paraId="46FE4C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8" w:type="pct"/>
                  <w:vMerge w:val="continue"/>
                  <w:tcBorders>
                    <w:tl2br w:val="nil"/>
                    <w:tr2bl w:val="nil"/>
                  </w:tcBorders>
                  <w:shd w:val="clear" w:color="auto" w:fill="auto"/>
                  <w:vAlign w:val="center"/>
                </w:tcPr>
                <w:p w14:paraId="2CE92C2E">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840" w:type="pct"/>
                  <w:gridSpan w:val="2"/>
                  <w:tcBorders>
                    <w:tl2br w:val="nil"/>
                    <w:tr2bl w:val="nil"/>
                  </w:tcBorders>
                  <w:shd w:val="clear" w:color="auto" w:fill="auto"/>
                  <w:vAlign w:val="center"/>
                </w:tcPr>
                <w:p w14:paraId="6D07655D">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门卫</w:t>
                  </w:r>
                </w:p>
              </w:tc>
              <w:tc>
                <w:tcPr>
                  <w:tcW w:w="2694" w:type="pct"/>
                  <w:gridSpan w:val="3"/>
                  <w:tcBorders>
                    <w:tl2br w:val="nil"/>
                    <w:tr2bl w:val="nil"/>
                  </w:tcBorders>
                  <w:shd w:val="clear" w:color="auto" w:fill="auto"/>
                  <w:vAlign w:val="center"/>
                </w:tcPr>
                <w:p w14:paraId="59098DD1">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bCs/>
                      <w:color w:val="auto"/>
                      <w:szCs w:val="21"/>
                      <w:lang w:val="en-US" w:eastAsia="zh-CN"/>
                    </w:rPr>
                    <w:t>1F，</w:t>
                  </w:r>
                  <w:r>
                    <w:rPr>
                      <w:rFonts w:hint="eastAsia"/>
                      <w:bCs/>
                      <w:color w:val="auto"/>
                      <w:szCs w:val="21"/>
                    </w:rPr>
                    <w:t>占地面积53.32m</w:t>
                  </w:r>
                  <w:r>
                    <w:rPr>
                      <w:rFonts w:hint="eastAsia"/>
                      <w:bCs/>
                      <w:color w:val="auto"/>
                      <w:szCs w:val="21"/>
                      <w:vertAlign w:val="superscript"/>
                    </w:rPr>
                    <w:t>2</w:t>
                  </w:r>
                </w:p>
              </w:tc>
              <w:tc>
                <w:tcPr>
                  <w:tcW w:w="1086" w:type="pct"/>
                  <w:tcBorders>
                    <w:tl2br w:val="nil"/>
                    <w:tr2bl w:val="nil"/>
                  </w:tcBorders>
                  <w:shd w:val="clear" w:color="auto" w:fill="auto"/>
                  <w:vAlign w:val="center"/>
                </w:tcPr>
                <w:p w14:paraId="61FC34AF">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新建</w:t>
                  </w:r>
                </w:p>
              </w:tc>
            </w:tr>
            <w:tr w14:paraId="719DBB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8" w:type="pct"/>
                  <w:vMerge w:val="restart"/>
                  <w:tcBorders>
                    <w:tl2br w:val="nil"/>
                    <w:tr2bl w:val="nil"/>
                  </w:tcBorders>
                  <w:shd w:val="clear" w:color="auto" w:fill="auto"/>
                  <w:vAlign w:val="center"/>
                </w:tcPr>
                <w:p w14:paraId="34440FC4">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贮存工程</w:t>
                  </w:r>
                </w:p>
              </w:tc>
              <w:tc>
                <w:tcPr>
                  <w:tcW w:w="840" w:type="pct"/>
                  <w:gridSpan w:val="2"/>
                  <w:tcBorders>
                    <w:tl2br w:val="nil"/>
                    <w:tr2bl w:val="nil"/>
                  </w:tcBorders>
                  <w:shd w:val="clear" w:color="auto" w:fill="auto"/>
                  <w:vAlign w:val="center"/>
                </w:tcPr>
                <w:p w14:paraId="262F3A3C">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原料仓库</w:t>
                  </w:r>
                </w:p>
              </w:tc>
              <w:tc>
                <w:tcPr>
                  <w:tcW w:w="2694" w:type="pct"/>
                  <w:gridSpan w:val="3"/>
                  <w:tcBorders>
                    <w:tl2br w:val="nil"/>
                    <w:tr2bl w:val="nil"/>
                  </w:tcBorders>
                  <w:shd w:val="clear" w:color="auto" w:fill="auto"/>
                  <w:vAlign w:val="center"/>
                </w:tcPr>
                <w:p w14:paraId="768EA8F9">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eastAsia="宋体"/>
                      <w:color w:val="auto"/>
                      <w:szCs w:val="21"/>
                      <w:lang w:val="en-US" w:eastAsia="zh-CN"/>
                    </w:rPr>
                  </w:pPr>
                  <w:r>
                    <w:rPr>
                      <w:rFonts w:hint="eastAsia"/>
                      <w:color w:val="auto"/>
                      <w:szCs w:val="21"/>
                    </w:rPr>
                    <w:t>位于</w:t>
                  </w:r>
                  <w:r>
                    <w:rPr>
                      <w:rFonts w:hint="eastAsia"/>
                      <w:color w:val="auto"/>
                      <w:szCs w:val="21"/>
                      <w:lang w:val="en-US" w:eastAsia="zh-CN"/>
                    </w:rPr>
                    <w:t>1#厂房1F，建筑面积200m</w:t>
                  </w:r>
                  <w:r>
                    <w:rPr>
                      <w:rFonts w:hint="eastAsia"/>
                      <w:color w:val="auto"/>
                      <w:szCs w:val="21"/>
                      <w:vertAlign w:val="superscript"/>
                      <w:lang w:val="en-US" w:eastAsia="zh-CN"/>
                    </w:rPr>
                    <w:t>2</w:t>
                  </w:r>
                </w:p>
              </w:tc>
              <w:tc>
                <w:tcPr>
                  <w:tcW w:w="1086" w:type="pct"/>
                  <w:tcBorders>
                    <w:tl2br w:val="nil"/>
                    <w:tr2bl w:val="nil"/>
                  </w:tcBorders>
                  <w:shd w:val="clear" w:color="auto" w:fill="auto"/>
                  <w:vAlign w:val="center"/>
                </w:tcPr>
                <w:p w14:paraId="12A46D2D">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bCs/>
                      <w:color w:val="auto"/>
                      <w:szCs w:val="21"/>
                    </w:rPr>
                    <w:t>新建</w:t>
                  </w:r>
                </w:p>
              </w:tc>
            </w:tr>
            <w:tr w14:paraId="4ABA60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8" w:type="pct"/>
                  <w:vMerge w:val="continue"/>
                  <w:tcBorders>
                    <w:tl2br w:val="nil"/>
                    <w:tr2bl w:val="nil"/>
                  </w:tcBorders>
                  <w:shd w:val="clear" w:color="auto" w:fill="auto"/>
                  <w:vAlign w:val="center"/>
                </w:tcPr>
                <w:p w14:paraId="30D41B25">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840" w:type="pct"/>
                  <w:gridSpan w:val="2"/>
                  <w:tcBorders>
                    <w:tl2br w:val="nil"/>
                    <w:tr2bl w:val="nil"/>
                  </w:tcBorders>
                  <w:shd w:val="clear" w:color="auto" w:fill="auto"/>
                  <w:vAlign w:val="center"/>
                </w:tcPr>
                <w:p w14:paraId="3055F25B">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成品仓库</w:t>
                  </w:r>
                </w:p>
              </w:tc>
              <w:tc>
                <w:tcPr>
                  <w:tcW w:w="2694" w:type="pct"/>
                  <w:gridSpan w:val="3"/>
                  <w:tcBorders>
                    <w:tl2br w:val="nil"/>
                    <w:tr2bl w:val="nil"/>
                  </w:tcBorders>
                  <w:shd w:val="clear" w:color="auto" w:fill="auto"/>
                  <w:vAlign w:val="center"/>
                </w:tcPr>
                <w:p w14:paraId="766F5B0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位于</w:t>
                  </w:r>
                  <w:r>
                    <w:rPr>
                      <w:rFonts w:hint="eastAsia"/>
                      <w:color w:val="auto"/>
                      <w:szCs w:val="21"/>
                      <w:lang w:val="en-US" w:eastAsia="zh-CN"/>
                    </w:rPr>
                    <w:t>1#厂房1F，建筑面积200m</w:t>
                  </w:r>
                  <w:r>
                    <w:rPr>
                      <w:rFonts w:hint="eastAsia"/>
                      <w:color w:val="auto"/>
                      <w:szCs w:val="21"/>
                      <w:vertAlign w:val="superscript"/>
                      <w:lang w:val="en-US" w:eastAsia="zh-CN"/>
                    </w:rPr>
                    <w:t>2</w:t>
                  </w:r>
                </w:p>
              </w:tc>
              <w:tc>
                <w:tcPr>
                  <w:tcW w:w="1086" w:type="pct"/>
                  <w:tcBorders>
                    <w:tl2br w:val="nil"/>
                    <w:tr2bl w:val="nil"/>
                  </w:tcBorders>
                  <w:shd w:val="clear" w:color="auto" w:fill="auto"/>
                  <w:vAlign w:val="center"/>
                </w:tcPr>
                <w:p w14:paraId="62114F35">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bCs/>
                      <w:color w:val="auto"/>
                      <w:szCs w:val="21"/>
                    </w:rPr>
                    <w:t>新建</w:t>
                  </w:r>
                </w:p>
              </w:tc>
            </w:tr>
            <w:tr w14:paraId="57B176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8" w:type="pct"/>
                  <w:vMerge w:val="restart"/>
                  <w:tcBorders>
                    <w:tl2br w:val="nil"/>
                    <w:tr2bl w:val="nil"/>
                  </w:tcBorders>
                  <w:shd w:val="clear" w:color="auto" w:fill="auto"/>
                  <w:vAlign w:val="center"/>
                </w:tcPr>
                <w:p w14:paraId="1A8D2E8C">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公用工程</w:t>
                  </w:r>
                </w:p>
              </w:tc>
              <w:tc>
                <w:tcPr>
                  <w:tcW w:w="341" w:type="pct"/>
                  <w:vMerge w:val="restart"/>
                  <w:tcBorders>
                    <w:tl2br w:val="nil"/>
                    <w:tr2bl w:val="nil"/>
                  </w:tcBorders>
                  <w:shd w:val="clear" w:color="auto" w:fill="auto"/>
                  <w:vAlign w:val="center"/>
                </w:tcPr>
                <w:p w14:paraId="5336254B">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给水系统</w:t>
                  </w:r>
                </w:p>
              </w:tc>
              <w:tc>
                <w:tcPr>
                  <w:tcW w:w="498" w:type="pct"/>
                  <w:tcBorders>
                    <w:tl2br w:val="nil"/>
                    <w:tr2bl w:val="nil"/>
                  </w:tcBorders>
                  <w:shd w:val="clear" w:color="auto" w:fill="auto"/>
                  <w:vAlign w:val="center"/>
                </w:tcPr>
                <w:p w14:paraId="3B99E450">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自来水</w:t>
                  </w:r>
                </w:p>
              </w:tc>
              <w:tc>
                <w:tcPr>
                  <w:tcW w:w="2694" w:type="pct"/>
                  <w:gridSpan w:val="3"/>
                  <w:tcBorders>
                    <w:tl2br w:val="nil"/>
                    <w:tr2bl w:val="nil"/>
                  </w:tcBorders>
                  <w:shd w:val="clear" w:color="auto" w:fill="auto"/>
                  <w:vAlign w:val="center"/>
                </w:tcPr>
                <w:p w14:paraId="16AD049E">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lang w:val="en-US" w:eastAsia="zh-CN"/>
                    </w:rPr>
                    <w:t>2852.9</w:t>
                  </w:r>
                  <w:r>
                    <w:rPr>
                      <w:color w:val="auto"/>
                      <w:szCs w:val="21"/>
                    </w:rPr>
                    <w:t>t/a</w:t>
                  </w:r>
                </w:p>
              </w:tc>
              <w:tc>
                <w:tcPr>
                  <w:tcW w:w="1086" w:type="pct"/>
                  <w:tcBorders>
                    <w:tl2br w:val="nil"/>
                    <w:tr2bl w:val="nil"/>
                  </w:tcBorders>
                  <w:shd w:val="clear" w:color="auto" w:fill="auto"/>
                  <w:vAlign w:val="center"/>
                </w:tcPr>
                <w:p w14:paraId="16A368D3">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市政供水</w:t>
                  </w:r>
                  <w:r>
                    <w:rPr>
                      <w:color w:val="auto"/>
                      <w:szCs w:val="21"/>
                    </w:rPr>
                    <w:t>管网</w:t>
                  </w:r>
                </w:p>
              </w:tc>
            </w:tr>
            <w:tr w14:paraId="6917B5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8" w:type="pct"/>
                  <w:vMerge w:val="continue"/>
                  <w:tcBorders>
                    <w:tl2br w:val="nil"/>
                    <w:tr2bl w:val="nil"/>
                  </w:tcBorders>
                  <w:shd w:val="clear" w:color="auto" w:fill="auto"/>
                  <w:vAlign w:val="center"/>
                </w:tcPr>
                <w:p w14:paraId="48A8CB0A">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341" w:type="pct"/>
                  <w:vMerge w:val="continue"/>
                  <w:tcBorders>
                    <w:tl2br w:val="nil"/>
                    <w:tr2bl w:val="nil"/>
                  </w:tcBorders>
                  <w:shd w:val="clear" w:color="auto" w:fill="auto"/>
                  <w:vAlign w:val="center"/>
                </w:tcPr>
                <w:p w14:paraId="06871A73">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498" w:type="pct"/>
                  <w:tcBorders>
                    <w:tl2br w:val="nil"/>
                    <w:tr2bl w:val="nil"/>
                  </w:tcBorders>
                  <w:shd w:val="clear" w:color="auto" w:fill="auto"/>
                  <w:vAlign w:val="center"/>
                </w:tcPr>
                <w:p w14:paraId="6A04D97A">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纯水</w:t>
                  </w:r>
                </w:p>
              </w:tc>
              <w:tc>
                <w:tcPr>
                  <w:tcW w:w="2694" w:type="pct"/>
                  <w:gridSpan w:val="3"/>
                  <w:tcBorders>
                    <w:tl2br w:val="nil"/>
                    <w:tr2bl w:val="nil"/>
                  </w:tcBorders>
                  <w:shd w:val="clear" w:color="auto" w:fill="auto"/>
                  <w:vAlign w:val="center"/>
                </w:tcPr>
                <w:p w14:paraId="120D133B">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3t/a</w:t>
                  </w:r>
                </w:p>
              </w:tc>
              <w:tc>
                <w:tcPr>
                  <w:tcW w:w="1086" w:type="pct"/>
                  <w:tcBorders>
                    <w:tl2br w:val="nil"/>
                    <w:tr2bl w:val="nil"/>
                  </w:tcBorders>
                  <w:shd w:val="clear" w:color="auto" w:fill="auto"/>
                  <w:vAlign w:val="center"/>
                </w:tcPr>
                <w:p w14:paraId="7412AE29">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纯水外购</w:t>
                  </w:r>
                </w:p>
              </w:tc>
            </w:tr>
            <w:tr w14:paraId="097606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8" w:type="pct"/>
                  <w:vMerge w:val="continue"/>
                  <w:tcBorders>
                    <w:tl2br w:val="nil"/>
                    <w:tr2bl w:val="nil"/>
                  </w:tcBorders>
                  <w:shd w:val="clear" w:color="auto" w:fill="auto"/>
                  <w:vAlign w:val="center"/>
                </w:tcPr>
                <w:p w14:paraId="316406AE">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840" w:type="pct"/>
                  <w:gridSpan w:val="2"/>
                  <w:tcBorders>
                    <w:tl2br w:val="nil"/>
                    <w:tr2bl w:val="nil"/>
                  </w:tcBorders>
                  <w:shd w:val="clear" w:color="auto" w:fill="auto"/>
                  <w:vAlign w:val="center"/>
                </w:tcPr>
                <w:p w14:paraId="120CBD3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排水系统</w:t>
                  </w:r>
                </w:p>
              </w:tc>
              <w:tc>
                <w:tcPr>
                  <w:tcW w:w="2694" w:type="pct"/>
                  <w:gridSpan w:val="3"/>
                  <w:tcBorders>
                    <w:tl2br w:val="nil"/>
                    <w:tr2bl w:val="nil"/>
                  </w:tcBorders>
                  <w:shd w:val="clear" w:color="auto" w:fill="auto"/>
                  <w:vAlign w:val="center"/>
                </w:tcPr>
                <w:p w14:paraId="1FCA1629">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lang w:val="en-US" w:eastAsia="zh-CN"/>
                    </w:rPr>
                    <w:t>2280</w:t>
                  </w:r>
                  <w:r>
                    <w:rPr>
                      <w:color w:val="auto"/>
                      <w:szCs w:val="21"/>
                    </w:rPr>
                    <w:t>t/a</w:t>
                  </w:r>
                </w:p>
              </w:tc>
              <w:tc>
                <w:tcPr>
                  <w:tcW w:w="1086" w:type="pct"/>
                  <w:tcBorders>
                    <w:tl2br w:val="nil"/>
                    <w:tr2bl w:val="nil"/>
                  </w:tcBorders>
                  <w:shd w:val="clear" w:color="auto" w:fill="auto"/>
                  <w:vAlign w:val="center"/>
                </w:tcPr>
                <w:p w14:paraId="5DE3B7F0">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食堂废水经隔油池处理后与</w:t>
                  </w:r>
                  <w:r>
                    <w:rPr>
                      <w:rFonts w:hint="eastAsia"/>
                      <w:color w:val="auto"/>
                      <w:szCs w:val="21"/>
                      <w:lang w:eastAsia="zh-CN"/>
                    </w:rPr>
                    <w:t>生活污水</w:t>
                  </w:r>
                  <w:r>
                    <w:rPr>
                      <w:rFonts w:hint="eastAsia"/>
                      <w:color w:val="auto"/>
                      <w:szCs w:val="21"/>
                    </w:rPr>
                    <w:t>汇合，经化粪池处理后</w:t>
                  </w:r>
                  <w:r>
                    <w:rPr>
                      <w:color w:val="auto"/>
                      <w:szCs w:val="21"/>
                    </w:rPr>
                    <w:t>接管</w:t>
                  </w:r>
                  <w:r>
                    <w:rPr>
                      <w:rFonts w:hint="eastAsia"/>
                      <w:color w:val="auto"/>
                      <w:szCs w:val="21"/>
                    </w:rPr>
                    <w:t>涟水经济开发区西区污水处理厂</w:t>
                  </w:r>
                </w:p>
              </w:tc>
            </w:tr>
            <w:tr w14:paraId="43E704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8" w:type="pct"/>
                  <w:vMerge w:val="continue"/>
                  <w:tcBorders>
                    <w:tl2br w:val="nil"/>
                    <w:tr2bl w:val="nil"/>
                  </w:tcBorders>
                  <w:shd w:val="clear" w:color="auto" w:fill="auto"/>
                  <w:vAlign w:val="center"/>
                </w:tcPr>
                <w:p w14:paraId="4C1AEC18">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840" w:type="pct"/>
                  <w:gridSpan w:val="2"/>
                  <w:tcBorders>
                    <w:tl2br w:val="nil"/>
                    <w:tr2bl w:val="nil"/>
                  </w:tcBorders>
                  <w:shd w:val="clear" w:color="auto" w:fill="auto"/>
                  <w:vAlign w:val="center"/>
                </w:tcPr>
                <w:p w14:paraId="2F8F6751">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供电系统</w:t>
                  </w:r>
                </w:p>
              </w:tc>
              <w:tc>
                <w:tcPr>
                  <w:tcW w:w="2694" w:type="pct"/>
                  <w:gridSpan w:val="3"/>
                  <w:tcBorders>
                    <w:tl2br w:val="nil"/>
                    <w:tr2bl w:val="nil"/>
                  </w:tcBorders>
                  <w:shd w:val="clear" w:color="auto" w:fill="auto"/>
                  <w:vAlign w:val="center"/>
                </w:tcPr>
                <w:p w14:paraId="150DDA2A">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40</w:t>
                  </w:r>
                  <w:r>
                    <w:rPr>
                      <w:color w:val="auto"/>
                      <w:szCs w:val="21"/>
                    </w:rPr>
                    <w:t>万kWh/a</w:t>
                  </w:r>
                </w:p>
              </w:tc>
              <w:tc>
                <w:tcPr>
                  <w:tcW w:w="1086" w:type="pct"/>
                  <w:tcBorders>
                    <w:tl2br w:val="nil"/>
                    <w:tr2bl w:val="nil"/>
                  </w:tcBorders>
                  <w:shd w:val="clear" w:color="auto" w:fill="auto"/>
                  <w:vAlign w:val="center"/>
                </w:tcPr>
                <w:p w14:paraId="275634E9">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市政供电管网</w:t>
                  </w:r>
                </w:p>
              </w:tc>
            </w:tr>
            <w:tr w14:paraId="04827B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8" w:type="pct"/>
                  <w:vMerge w:val="continue"/>
                  <w:tcBorders>
                    <w:tl2br w:val="nil"/>
                    <w:tr2bl w:val="nil"/>
                  </w:tcBorders>
                  <w:shd w:val="clear" w:color="auto" w:fill="auto"/>
                  <w:vAlign w:val="center"/>
                </w:tcPr>
                <w:p w14:paraId="24C67E6F">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840" w:type="pct"/>
                  <w:gridSpan w:val="2"/>
                  <w:tcBorders>
                    <w:tl2br w:val="nil"/>
                    <w:tr2bl w:val="nil"/>
                  </w:tcBorders>
                  <w:shd w:val="clear" w:color="auto" w:fill="auto"/>
                  <w:vAlign w:val="center"/>
                </w:tcPr>
                <w:p w14:paraId="13F00C56">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val="en-US" w:eastAsia="zh-CN"/>
                    </w:rPr>
                    <w:t>天然气</w:t>
                  </w:r>
                </w:p>
              </w:tc>
              <w:tc>
                <w:tcPr>
                  <w:tcW w:w="2694" w:type="pct"/>
                  <w:gridSpan w:val="3"/>
                  <w:tcBorders>
                    <w:tl2br w:val="nil"/>
                    <w:tr2bl w:val="nil"/>
                  </w:tcBorders>
                  <w:shd w:val="clear" w:color="auto" w:fill="auto"/>
                  <w:vAlign w:val="center"/>
                </w:tcPr>
                <w:p w14:paraId="58A40FAF">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val="en-US" w:eastAsia="zh-CN"/>
                    </w:rPr>
                    <w:t>0.5万m</w:t>
                  </w:r>
                  <w:r>
                    <w:rPr>
                      <w:rFonts w:hint="eastAsia"/>
                      <w:color w:val="auto"/>
                      <w:szCs w:val="21"/>
                      <w:vertAlign w:val="superscript"/>
                      <w:lang w:val="en-US" w:eastAsia="zh-CN"/>
                    </w:rPr>
                    <w:t>3</w:t>
                  </w:r>
                  <w:r>
                    <w:rPr>
                      <w:rFonts w:hint="eastAsia"/>
                      <w:color w:val="auto"/>
                      <w:szCs w:val="21"/>
                      <w:lang w:val="en-US" w:eastAsia="zh-CN"/>
                    </w:rPr>
                    <w:t>/a</w:t>
                  </w:r>
                </w:p>
              </w:tc>
              <w:tc>
                <w:tcPr>
                  <w:tcW w:w="1086" w:type="pct"/>
                  <w:tcBorders>
                    <w:tl2br w:val="nil"/>
                    <w:tr2bl w:val="nil"/>
                  </w:tcBorders>
                  <w:shd w:val="clear" w:color="auto" w:fill="auto"/>
                  <w:vAlign w:val="center"/>
                </w:tcPr>
                <w:p w14:paraId="32C0B54E">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Cs w:val="21"/>
                      <w:lang w:eastAsia="zh-CN"/>
                    </w:rPr>
                  </w:pPr>
                  <w:r>
                    <w:rPr>
                      <w:rFonts w:hint="eastAsia"/>
                      <w:color w:val="auto"/>
                      <w:szCs w:val="21"/>
                      <w:lang w:eastAsia="zh-CN"/>
                    </w:rPr>
                    <w:t>天然气管道</w:t>
                  </w:r>
                </w:p>
              </w:tc>
            </w:tr>
            <w:tr w14:paraId="4391B0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78" w:type="pct"/>
                  <w:vMerge w:val="restart"/>
                  <w:tcBorders>
                    <w:tl2br w:val="nil"/>
                    <w:tr2bl w:val="nil"/>
                  </w:tcBorders>
                  <w:shd w:val="clear" w:color="auto" w:fill="auto"/>
                  <w:vAlign w:val="center"/>
                </w:tcPr>
                <w:p w14:paraId="4065C340">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环保工程</w:t>
                  </w:r>
                </w:p>
              </w:tc>
              <w:tc>
                <w:tcPr>
                  <w:tcW w:w="840" w:type="pct"/>
                  <w:gridSpan w:val="2"/>
                  <w:vMerge w:val="restart"/>
                  <w:tcBorders>
                    <w:tl2br w:val="nil"/>
                    <w:tr2bl w:val="nil"/>
                  </w:tcBorders>
                  <w:shd w:val="clear" w:color="auto" w:fill="auto"/>
                  <w:vAlign w:val="center"/>
                </w:tcPr>
                <w:p w14:paraId="42349BAF">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bCs/>
                      <w:color w:val="auto"/>
                      <w:szCs w:val="21"/>
                    </w:rPr>
                    <w:t>废气处理设施</w:t>
                  </w:r>
                </w:p>
              </w:tc>
              <w:tc>
                <w:tcPr>
                  <w:tcW w:w="596" w:type="pct"/>
                  <w:tcBorders>
                    <w:tl2br w:val="nil"/>
                    <w:tr2bl w:val="nil"/>
                  </w:tcBorders>
                  <w:shd w:val="clear" w:color="auto" w:fill="auto"/>
                  <w:vAlign w:val="center"/>
                </w:tcPr>
                <w:p w14:paraId="21EBF780">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切割粉尘</w:t>
                  </w:r>
                </w:p>
              </w:tc>
              <w:tc>
                <w:tcPr>
                  <w:tcW w:w="2097" w:type="pct"/>
                  <w:gridSpan w:val="2"/>
                  <w:tcBorders>
                    <w:tl2br w:val="nil"/>
                    <w:tr2bl w:val="nil"/>
                  </w:tcBorders>
                  <w:shd w:val="clear" w:color="auto" w:fill="auto"/>
                  <w:vAlign w:val="center"/>
                </w:tcPr>
                <w:p w14:paraId="1B81D7D7">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集气罩+布袋除尘器+15米高1#排气筒</w:t>
                  </w:r>
                </w:p>
              </w:tc>
              <w:tc>
                <w:tcPr>
                  <w:tcW w:w="1086" w:type="pct"/>
                  <w:tcBorders>
                    <w:tl2br w:val="nil"/>
                    <w:tr2bl w:val="nil"/>
                  </w:tcBorders>
                  <w:shd w:val="clear" w:color="auto" w:fill="auto"/>
                  <w:vAlign w:val="center"/>
                </w:tcPr>
                <w:p w14:paraId="30525D65">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新建</w:t>
                  </w:r>
                </w:p>
              </w:tc>
            </w:tr>
            <w:tr w14:paraId="5EE2B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78" w:type="pct"/>
                  <w:vMerge w:val="continue"/>
                  <w:tcBorders>
                    <w:tl2br w:val="nil"/>
                    <w:tr2bl w:val="nil"/>
                  </w:tcBorders>
                  <w:shd w:val="clear" w:color="auto" w:fill="auto"/>
                  <w:vAlign w:val="center"/>
                </w:tcPr>
                <w:p w14:paraId="3A0FDDF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840" w:type="pct"/>
                  <w:gridSpan w:val="2"/>
                  <w:vMerge w:val="continue"/>
                  <w:tcBorders>
                    <w:tl2br w:val="nil"/>
                    <w:tr2bl w:val="nil"/>
                  </w:tcBorders>
                  <w:shd w:val="clear" w:color="auto" w:fill="auto"/>
                  <w:vAlign w:val="center"/>
                </w:tcPr>
                <w:p w14:paraId="274CBC20">
                  <w:pPr>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auto"/>
                      <w:szCs w:val="21"/>
                    </w:rPr>
                  </w:pPr>
                </w:p>
              </w:tc>
              <w:tc>
                <w:tcPr>
                  <w:tcW w:w="596" w:type="pct"/>
                  <w:tcBorders>
                    <w:tl2br w:val="nil"/>
                    <w:tr2bl w:val="nil"/>
                  </w:tcBorders>
                  <w:shd w:val="clear" w:color="auto" w:fill="auto"/>
                  <w:vAlign w:val="center"/>
                </w:tcPr>
                <w:p w14:paraId="43CFA8E2">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浸漆废气</w:t>
                  </w:r>
                </w:p>
              </w:tc>
              <w:tc>
                <w:tcPr>
                  <w:tcW w:w="1040" w:type="pct"/>
                  <w:tcBorders>
                    <w:tl2br w:val="nil"/>
                    <w:tr2bl w:val="nil"/>
                  </w:tcBorders>
                  <w:shd w:val="clear" w:color="auto" w:fill="auto"/>
                  <w:vAlign w:val="center"/>
                </w:tcPr>
                <w:p w14:paraId="63CBE8AF">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密闭</w:t>
                  </w:r>
                  <w:r>
                    <w:rPr>
                      <w:rFonts w:hint="eastAsia"/>
                      <w:color w:val="auto"/>
                      <w:szCs w:val="21"/>
                      <w:lang w:eastAsia="zh-CN"/>
                    </w:rPr>
                    <w:t>设备</w:t>
                  </w:r>
                  <w:r>
                    <w:rPr>
                      <w:rFonts w:hint="eastAsia"/>
                      <w:color w:val="auto"/>
                      <w:szCs w:val="21"/>
                    </w:rPr>
                    <w:t>负压收集</w:t>
                  </w:r>
                </w:p>
              </w:tc>
              <w:tc>
                <w:tcPr>
                  <w:tcW w:w="1057" w:type="pct"/>
                  <w:vMerge w:val="restart"/>
                  <w:tcBorders>
                    <w:tl2br w:val="nil"/>
                    <w:tr2bl w:val="nil"/>
                  </w:tcBorders>
                  <w:shd w:val="clear" w:color="auto" w:fill="auto"/>
                  <w:vAlign w:val="center"/>
                </w:tcPr>
                <w:p w14:paraId="042EE808">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color w:val="auto"/>
                      <w:szCs w:val="21"/>
                    </w:rPr>
                  </w:pPr>
                  <w:r>
                    <w:rPr>
                      <w:rFonts w:hint="eastAsia"/>
                      <w:color w:val="auto"/>
                      <w:szCs w:val="21"/>
                    </w:rPr>
                    <w:t>干式过滤棉+二级活性炭装置+15米高2#排气筒</w:t>
                  </w:r>
                </w:p>
              </w:tc>
              <w:tc>
                <w:tcPr>
                  <w:tcW w:w="1086" w:type="pct"/>
                  <w:vMerge w:val="restart"/>
                  <w:tcBorders>
                    <w:tl2br w:val="nil"/>
                    <w:tr2bl w:val="nil"/>
                  </w:tcBorders>
                  <w:shd w:val="clear" w:color="auto" w:fill="auto"/>
                  <w:vAlign w:val="center"/>
                </w:tcPr>
                <w:p w14:paraId="30DA4FF5">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新建</w:t>
                  </w:r>
                </w:p>
              </w:tc>
            </w:tr>
            <w:tr w14:paraId="642437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78" w:type="pct"/>
                  <w:vMerge w:val="continue"/>
                  <w:tcBorders>
                    <w:tl2br w:val="nil"/>
                    <w:tr2bl w:val="nil"/>
                  </w:tcBorders>
                  <w:shd w:val="clear" w:color="auto" w:fill="auto"/>
                  <w:vAlign w:val="center"/>
                </w:tcPr>
                <w:p w14:paraId="666C6093">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840" w:type="pct"/>
                  <w:gridSpan w:val="2"/>
                  <w:vMerge w:val="continue"/>
                  <w:tcBorders>
                    <w:tl2br w:val="nil"/>
                    <w:tr2bl w:val="nil"/>
                  </w:tcBorders>
                  <w:shd w:val="clear" w:color="auto" w:fill="auto"/>
                  <w:vAlign w:val="center"/>
                </w:tcPr>
                <w:p w14:paraId="539CDB9D">
                  <w:pPr>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auto"/>
                      <w:szCs w:val="21"/>
                    </w:rPr>
                  </w:pPr>
                </w:p>
              </w:tc>
              <w:tc>
                <w:tcPr>
                  <w:tcW w:w="596" w:type="pct"/>
                  <w:tcBorders>
                    <w:tl2br w:val="nil"/>
                    <w:tr2bl w:val="nil"/>
                  </w:tcBorders>
                  <w:shd w:val="clear" w:color="auto" w:fill="auto"/>
                  <w:vAlign w:val="center"/>
                </w:tcPr>
                <w:p w14:paraId="4EE2732F">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color w:val="auto"/>
                      <w:szCs w:val="21"/>
                    </w:rPr>
                  </w:pPr>
                  <w:r>
                    <w:rPr>
                      <w:rFonts w:hint="eastAsia"/>
                      <w:color w:val="auto"/>
                      <w:szCs w:val="21"/>
                    </w:rPr>
                    <w:t>烘干废气</w:t>
                  </w:r>
                </w:p>
              </w:tc>
              <w:tc>
                <w:tcPr>
                  <w:tcW w:w="1040" w:type="pct"/>
                  <w:tcBorders>
                    <w:tl2br w:val="nil"/>
                    <w:tr2bl w:val="nil"/>
                  </w:tcBorders>
                  <w:shd w:val="clear" w:color="auto" w:fill="auto"/>
                  <w:vAlign w:val="center"/>
                </w:tcPr>
                <w:p w14:paraId="0F375003">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Cs w:val="21"/>
                      <w:lang w:eastAsia="zh-CN"/>
                    </w:rPr>
                  </w:pPr>
                  <w:r>
                    <w:rPr>
                      <w:rFonts w:hint="eastAsia"/>
                      <w:color w:val="auto"/>
                      <w:szCs w:val="21"/>
                      <w:lang w:eastAsia="zh-CN"/>
                    </w:rPr>
                    <w:t>密闭车间负压收集</w:t>
                  </w:r>
                </w:p>
              </w:tc>
              <w:tc>
                <w:tcPr>
                  <w:tcW w:w="1057" w:type="pct"/>
                  <w:vMerge w:val="continue"/>
                  <w:tcBorders>
                    <w:tl2br w:val="nil"/>
                    <w:tr2bl w:val="nil"/>
                  </w:tcBorders>
                  <w:shd w:val="clear" w:color="auto" w:fill="auto"/>
                  <w:vAlign w:val="center"/>
                </w:tcPr>
                <w:p w14:paraId="45F880CC">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color w:val="auto"/>
                      <w:szCs w:val="21"/>
                    </w:rPr>
                  </w:pPr>
                </w:p>
              </w:tc>
              <w:tc>
                <w:tcPr>
                  <w:tcW w:w="1086" w:type="pct"/>
                  <w:vMerge w:val="continue"/>
                  <w:tcBorders>
                    <w:tl2br w:val="nil"/>
                    <w:tr2bl w:val="nil"/>
                  </w:tcBorders>
                  <w:shd w:val="clear" w:color="auto" w:fill="auto"/>
                  <w:vAlign w:val="center"/>
                </w:tcPr>
                <w:p w14:paraId="48E4B833">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color w:val="auto"/>
                      <w:szCs w:val="21"/>
                    </w:rPr>
                  </w:pPr>
                </w:p>
              </w:tc>
            </w:tr>
            <w:tr w14:paraId="561911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78" w:type="pct"/>
                  <w:vMerge w:val="continue"/>
                  <w:tcBorders>
                    <w:tl2br w:val="nil"/>
                    <w:tr2bl w:val="nil"/>
                  </w:tcBorders>
                  <w:shd w:val="clear" w:color="auto" w:fill="auto"/>
                  <w:vAlign w:val="center"/>
                </w:tcPr>
                <w:p w14:paraId="3F5C355C">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840" w:type="pct"/>
                  <w:gridSpan w:val="2"/>
                  <w:vMerge w:val="continue"/>
                  <w:tcBorders>
                    <w:tl2br w:val="nil"/>
                    <w:tr2bl w:val="nil"/>
                  </w:tcBorders>
                  <w:shd w:val="clear" w:color="auto" w:fill="auto"/>
                  <w:vAlign w:val="center"/>
                </w:tcPr>
                <w:p w14:paraId="6A39D423">
                  <w:pPr>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auto"/>
                      <w:szCs w:val="21"/>
                    </w:rPr>
                  </w:pPr>
                </w:p>
              </w:tc>
              <w:tc>
                <w:tcPr>
                  <w:tcW w:w="596" w:type="pct"/>
                  <w:tcBorders>
                    <w:tl2br w:val="nil"/>
                    <w:tr2bl w:val="nil"/>
                  </w:tcBorders>
                  <w:shd w:val="clear" w:color="auto" w:fill="auto"/>
                  <w:vAlign w:val="center"/>
                </w:tcPr>
                <w:p w14:paraId="784180E0">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Cs w:val="21"/>
                      <w:lang w:eastAsia="zh-CN"/>
                    </w:rPr>
                  </w:pPr>
                  <w:r>
                    <w:rPr>
                      <w:rFonts w:hint="eastAsia"/>
                      <w:color w:val="auto"/>
                      <w:szCs w:val="21"/>
                      <w:lang w:eastAsia="zh-CN"/>
                    </w:rPr>
                    <w:t>喷漆废气</w:t>
                  </w:r>
                </w:p>
              </w:tc>
              <w:tc>
                <w:tcPr>
                  <w:tcW w:w="1040" w:type="pct"/>
                  <w:tcBorders>
                    <w:tl2br w:val="nil"/>
                    <w:tr2bl w:val="nil"/>
                  </w:tcBorders>
                  <w:shd w:val="clear" w:color="auto" w:fill="auto"/>
                  <w:vAlign w:val="center"/>
                </w:tcPr>
                <w:p w14:paraId="5823F716">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color w:val="auto"/>
                      <w:szCs w:val="21"/>
                    </w:rPr>
                  </w:pPr>
                  <w:r>
                    <w:rPr>
                      <w:rFonts w:hint="eastAsia"/>
                      <w:color w:val="auto"/>
                      <w:szCs w:val="21"/>
                      <w:lang w:eastAsia="zh-CN"/>
                    </w:rPr>
                    <w:t>密闭车间负压收集</w:t>
                  </w:r>
                </w:p>
              </w:tc>
              <w:tc>
                <w:tcPr>
                  <w:tcW w:w="1057" w:type="pct"/>
                  <w:vMerge w:val="continue"/>
                  <w:tcBorders>
                    <w:tl2br w:val="nil"/>
                    <w:tr2bl w:val="nil"/>
                  </w:tcBorders>
                  <w:shd w:val="clear" w:color="auto" w:fill="auto"/>
                  <w:vAlign w:val="center"/>
                </w:tcPr>
                <w:p w14:paraId="03C958E5">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Cs w:val="21"/>
                      <w:lang w:eastAsia="zh-CN"/>
                    </w:rPr>
                  </w:pPr>
                </w:p>
              </w:tc>
              <w:tc>
                <w:tcPr>
                  <w:tcW w:w="1086" w:type="pct"/>
                  <w:vMerge w:val="continue"/>
                  <w:tcBorders>
                    <w:tl2br w:val="nil"/>
                    <w:tr2bl w:val="nil"/>
                  </w:tcBorders>
                  <w:shd w:val="clear" w:color="auto" w:fill="auto"/>
                  <w:vAlign w:val="center"/>
                </w:tcPr>
                <w:p w14:paraId="01EA443F">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color w:val="auto"/>
                      <w:szCs w:val="21"/>
                    </w:rPr>
                  </w:pPr>
                </w:p>
              </w:tc>
            </w:tr>
            <w:tr w14:paraId="7AF481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78" w:type="pct"/>
                  <w:vMerge w:val="continue"/>
                  <w:tcBorders>
                    <w:tl2br w:val="nil"/>
                    <w:tr2bl w:val="nil"/>
                  </w:tcBorders>
                  <w:shd w:val="clear" w:color="auto" w:fill="auto"/>
                  <w:vAlign w:val="center"/>
                </w:tcPr>
                <w:p w14:paraId="3A531275">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840" w:type="pct"/>
                  <w:gridSpan w:val="2"/>
                  <w:vMerge w:val="continue"/>
                  <w:tcBorders>
                    <w:tl2br w:val="nil"/>
                    <w:tr2bl w:val="nil"/>
                  </w:tcBorders>
                  <w:shd w:val="clear" w:color="auto" w:fill="auto"/>
                  <w:vAlign w:val="center"/>
                </w:tcPr>
                <w:p w14:paraId="23813F68">
                  <w:pPr>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auto"/>
                      <w:szCs w:val="21"/>
                    </w:rPr>
                  </w:pPr>
                </w:p>
              </w:tc>
              <w:tc>
                <w:tcPr>
                  <w:tcW w:w="596" w:type="pct"/>
                  <w:tcBorders>
                    <w:tl2br w:val="nil"/>
                    <w:tr2bl w:val="nil"/>
                  </w:tcBorders>
                  <w:shd w:val="clear" w:color="auto" w:fill="auto"/>
                  <w:vAlign w:val="center"/>
                </w:tcPr>
                <w:p w14:paraId="0FC5753C">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color w:val="auto"/>
                      <w:szCs w:val="21"/>
                      <w:lang w:eastAsia="zh-CN"/>
                    </w:rPr>
                  </w:pPr>
                  <w:r>
                    <w:rPr>
                      <w:rFonts w:hint="eastAsia"/>
                      <w:color w:val="auto"/>
                      <w:szCs w:val="21"/>
                      <w:lang w:eastAsia="zh-CN"/>
                    </w:rPr>
                    <w:t>擦拭废气</w:t>
                  </w:r>
                </w:p>
              </w:tc>
              <w:tc>
                <w:tcPr>
                  <w:tcW w:w="1040" w:type="pct"/>
                  <w:tcBorders>
                    <w:tl2br w:val="nil"/>
                    <w:tr2bl w:val="nil"/>
                  </w:tcBorders>
                  <w:shd w:val="clear" w:color="auto" w:fill="auto"/>
                  <w:vAlign w:val="center"/>
                </w:tcPr>
                <w:p w14:paraId="7550F30B">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color w:val="auto"/>
                      <w:szCs w:val="21"/>
                      <w:lang w:eastAsia="zh-CN"/>
                    </w:rPr>
                  </w:pPr>
                  <w:r>
                    <w:rPr>
                      <w:rFonts w:hint="eastAsia"/>
                      <w:color w:val="auto"/>
                      <w:szCs w:val="21"/>
                      <w:lang w:eastAsia="zh-CN"/>
                    </w:rPr>
                    <w:t>密闭车间负压收集</w:t>
                  </w:r>
                </w:p>
              </w:tc>
              <w:tc>
                <w:tcPr>
                  <w:tcW w:w="1057" w:type="pct"/>
                  <w:vMerge w:val="continue"/>
                  <w:tcBorders>
                    <w:tl2br w:val="nil"/>
                    <w:tr2bl w:val="nil"/>
                  </w:tcBorders>
                  <w:shd w:val="clear" w:color="auto" w:fill="auto"/>
                  <w:vAlign w:val="center"/>
                </w:tcPr>
                <w:p w14:paraId="5C56B604">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Cs w:val="21"/>
                      <w:lang w:eastAsia="zh-CN"/>
                    </w:rPr>
                  </w:pPr>
                </w:p>
              </w:tc>
              <w:tc>
                <w:tcPr>
                  <w:tcW w:w="1086" w:type="pct"/>
                  <w:vMerge w:val="continue"/>
                  <w:tcBorders>
                    <w:tl2br w:val="nil"/>
                    <w:tr2bl w:val="nil"/>
                  </w:tcBorders>
                  <w:shd w:val="clear" w:color="auto" w:fill="auto"/>
                  <w:vAlign w:val="center"/>
                </w:tcPr>
                <w:p w14:paraId="07484A65">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color w:val="auto"/>
                      <w:szCs w:val="21"/>
                    </w:rPr>
                  </w:pPr>
                </w:p>
              </w:tc>
            </w:tr>
            <w:tr w14:paraId="5CBB8E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8" w:type="pct"/>
                  <w:vMerge w:val="continue"/>
                  <w:tcBorders>
                    <w:tl2br w:val="nil"/>
                    <w:tr2bl w:val="nil"/>
                  </w:tcBorders>
                  <w:shd w:val="clear" w:color="auto" w:fill="auto"/>
                  <w:vAlign w:val="center"/>
                </w:tcPr>
                <w:p w14:paraId="1EE2869D">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840" w:type="pct"/>
                  <w:gridSpan w:val="2"/>
                  <w:vMerge w:val="continue"/>
                  <w:tcBorders>
                    <w:tl2br w:val="nil"/>
                    <w:tr2bl w:val="nil"/>
                  </w:tcBorders>
                  <w:shd w:val="clear" w:color="auto" w:fill="auto"/>
                  <w:vAlign w:val="center"/>
                </w:tcPr>
                <w:p w14:paraId="0F258F4D">
                  <w:pPr>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auto"/>
                      <w:szCs w:val="21"/>
                    </w:rPr>
                  </w:pPr>
                </w:p>
              </w:tc>
              <w:tc>
                <w:tcPr>
                  <w:tcW w:w="2694" w:type="pct"/>
                  <w:gridSpan w:val="3"/>
                  <w:tcBorders>
                    <w:tl2br w:val="nil"/>
                    <w:tr2bl w:val="nil"/>
                  </w:tcBorders>
                  <w:shd w:val="clear" w:color="auto" w:fill="auto"/>
                  <w:vAlign w:val="center"/>
                </w:tcPr>
                <w:p w14:paraId="1954EBCB">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食堂：油烟净化器+油烟专用排放管道</w:t>
                  </w:r>
                </w:p>
              </w:tc>
              <w:tc>
                <w:tcPr>
                  <w:tcW w:w="1086" w:type="pct"/>
                  <w:tcBorders>
                    <w:tl2br w:val="nil"/>
                    <w:tr2bl w:val="nil"/>
                  </w:tcBorders>
                  <w:shd w:val="clear" w:color="auto" w:fill="auto"/>
                  <w:vAlign w:val="center"/>
                </w:tcPr>
                <w:p w14:paraId="54DEF2C6">
                  <w:pPr>
                    <w:jc w:val="center"/>
                    <w:rPr>
                      <w:rFonts w:hint="eastAsia" w:asciiTheme="minorHAnsi" w:hAnsiTheme="minorHAnsi" w:eastAsiaTheme="minorEastAsia" w:cstheme="minorBidi"/>
                      <w:color w:val="auto"/>
                      <w:kern w:val="2"/>
                      <w:sz w:val="21"/>
                      <w:szCs w:val="24"/>
                      <w:lang w:val="en-US" w:eastAsia="zh-CN" w:bidi="ar-SA"/>
                    </w:rPr>
                  </w:pPr>
                  <w:r>
                    <w:rPr>
                      <w:rFonts w:hint="eastAsia"/>
                      <w:color w:val="auto"/>
                      <w:szCs w:val="21"/>
                    </w:rPr>
                    <w:t>新建</w:t>
                  </w:r>
                </w:p>
              </w:tc>
            </w:tr>
            <w:tr w14:paraId="0D4A21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8" w:type="pct"/>
                  <w:vMerge w:val="continue"/>
                  <w:tcBorders>
                    <w:tl2br w:val="nil"/>
                    <w:tr2bl w:val="nil"/>
                  </w:tcBorders>
                  <w:shd w:val="clear" w:color="auto" w:fill="auto"/>
                  <w:vAlign w:val="center"/>
                </w:tcPr>
                <w:p w14:paraId="467E2034">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840" w:type="pct"/>
                  <w:gridSpan w:val="2"/>
                  <w:tcBorders>
                    <w:tl2br w:val="nil"/>
                    <w:tr2bl w:val="nil"/>
                  </w:tcBorders>
                  <w:shd w:val="clear" w:color="auto" w:fill="auto"/>
                  <w:vAlign w:val="center"/>
                </w:tcPr>
                <w:p w14:paraId="288820C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废水处理设施</w:t>
                  </w:r>
                </w:p>
              </w:tc>
              <w:tc>
                <w:tcPr>
                  <w:tcW w:w="2694" w:type="pct"/>
                  <w:gridSpan w:val="3"/>
                  <w:tcBorders>
                    <w:tl2br w:val="nil"/>
                    <w:tr2bl w:val="nil"/>
                  </w:tcBorders>
                  <w:shd w:val="clear" w:color="auto" w:fill="auto"/>
                  <w:vAlign w:val="center"/>
                </w:tcPr>
                <w:p w14:paraId="0ABDAF27">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szCs w:val="21"/>
                    </w:rPr>
                    <w:t>化粪池</w:t>
                  </w:r>
                  <w:r>
                    <w:rPr>
                      <w:color w:val="auto"/>
                      <w:szCs w:val="21"/>
                      <w:lang w:bidi="ar"/>
                    </w:rPr>
                    <w:t>1</w:t>
                  </w:r>
                  <w:r>
                    <w:rPr>
                      <w:rFonts w:hint="eastAsia" w:hAnsi="宋体"/>
                      <w:color w:val="auto"/>
                      <w:szCs w:val="21"/>
                      <w:lang w:bidi="ar"/>
                    </w:rPr>
                    <w:t>座（</w:t>
                  </w:r>
                  <w:r>
                    <w:rPr>
                      <w:rFonts w:hint="eastAsia"/>
                      <w:color w:val="auto"/>
                      <w:szCs w:val="21"/>
                      <w:lang w:val="en-US" w:eastAsia="zh-CN" w:bidi="ar"/>
                    </w:rPr>
                    <w:t>10</w:t>
                  </w:r>
                  <w:r>
                    <w:rPr>
                      <w:rFonts w:hint="eastAsia"/>
                      <w:color w:val="auto"/>
                      <w:szCs w:val="21"/>
                      <w:lang w:bidi="ar"/>
                    </w:rPr>
                    <w:t>t/d</w:t>
                  </w:r>
                  <w:r>
                    <w:rPr>
                      <w:rFonts w:hint="eastAsia" w:hAnsi="宋体"/>
                      <w:color w:val="auto"/>
                      <w:szCs w:val="21"/>
                      <w:lang w:bidi="ar"/>
                    </w:rPr>
                    <w:t>）</w:t>
                  </w:r>
                  <w:r>
                    <w:rPr>
                      <w:rFonts w:hint="eastAsia"/>
                      <w:color w:val="auto"/>
                      <w:szCs w:val="21"/>
                    </w:rPr>
                    <w:t>、隔油池</w:t>
                  </w:r>
                  <w:r>
                    <w:rPr>
                      <w:color w:val="auto"/>
                      <w:szCs w:val="21"/>
                      <w:lang w:bidi="ar"/>
                    </w:rPr>
                    <w:t>1</w:t>
                  </w:r>
                  <w:r>
                    <w:rPr>
                      <w:rFonts w:hint="eastAsia" w:hAnsi="宋体"/>
                      <w:color w:val="auto"/>
                      <w:szCs w:val="21"/>
                      <w:lang w:bidi="ar"/>
                    </w:rPr>
                    <w:t>座（</w:t>
                  </w:r>
                  <w:r>
                    <w:rPr>
                      <w:rFonts w:hint="eastAsia"/>
                      <w:color w:val="auto"/>
                      <w:szCs w:val="21"/>
                      <w:lang w:val="en-US" w:eastAsia="zh-CN" w:bidi="ar"/>
                    </w:rPr>
                    <w:t>2</w:t>
                  </w:r>
                  <w:r>
                    <w:rPr>
                      <w:rFonts w:hint="eastAsia"/>
                      <w:color w:val="auto"/>
                      <w:szCs w:val="21"/>
                      <w:lang w:bidi="ar"/>
                    </w:rPr>
                    <w:t>t/d</w:t>
                  </w:r>
                  <w:r>
                    <w:rPr>
                      <w:rFonts w:hint="eastAsia" w:hAnsi="宋体"/>
                      <w:color w:val="auto"/>
                      <w:szCs w:val="21"/>
                      <w:lang w:bidi="ar"/>
                    </w:rPr>
                    <w:t>）</w:t>
                  </w:r>
                </w:p>
              </w:tc>
              <w:tc>
                <w:tcPr>
                  <w:tcW w:w="1086" w:type="pct"/>
                  <w:tcBorders>
                    <w:tl2br w:val="nil"/>
                    <w:tr2bl w:val="nil"/>
                  </w:tcBorders>
                  <w:shd w:val="clear" w:color="auto" w:fill="auto"/>
                  <w:vAlign w:val="center"/>
                </w:tcPr>
                <w:p w14:paraId="5E8E2E75">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szCs w:val="21"/>
                    </w:rPr>
                    <w:t>新建</w:t>
                  </w:r>
                </w:p>
              </w:tc>
            </w:tr>
            <w:tr w14:paraId="3F643C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8" w:type="pct"/>
                  <w:vMerge w:val="continue"/>
                  <w:tcBorders>
                    <w:tl2br w:val="nil"/>
                    <w:tr2bl w:val="nil"/>
                  </w:tcBorders>
                  <w:shd w:val="clear" w:color="auto" w:fill="auto"/>
                  <w:vAlign w:val="center"/>
                </w:tcPr>
                <w:p w14:paraId="208977B5">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840" w:type="pct"/>
                  <w:gridSpan w:val="2"/>
                  <w:tcBorders>
                    <w:tl2br w:val="nil"/>
                    <w:tr2bl w:val="nil"/>
                  </w:tcBorders>
                  <w:shd w:val="clear" w:color="auto" w:fill="auto"/>
                  <w:vAlign w:val="center"/>
                </w:tcPr>
                <w:p w14:paraId="1DABDBBB">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噪声治理设施</w:t>
                  </w:r>
                </w:p>
              </w:tc>
              <w:tc>
                <w:tcPr>
                  <w:tcW w:w="2694" w:type="pct"/>
                  <w:gridSpan w:val="3"/>
                  <w:tcBorders>
                    <w:tl2br w:val="nil"/>
                    <w:tr2bl w:val="nil"/>
                  </w:tcBorders>
                  <w:shd w:val="clear" w:color="auto" w:fill="auto"/>
                  <w:vAlign w:val="center"/>
                </w:tcPr>
                <w:p w14:paraId="6E410821">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hAnsi="宋体"/>
                      <w:color w:val="auto"/>
                      <w:szCs w:val="21"/>
                      <w:lang w:bidi="ar"/>
                    </w:rPr>
                    <w:t>合理布局、隔声、减振</w:t>
                  </w:r>
                </w:p>
              </w:tc>
              <w:tc>
                <w:tcPr>
                  <w:tcW w:w="1086" w:type="pct"/>
                  <w:tcBorders>
                    <w:tl2br w:val="nil"/>
                    <w:tr2bl w:val="nil"/>
                  </w:tcBorders>
                  <w:shd w:val="clear" w:color="auto" w:fill="auto"/>
                  <w:vAlign w:val="center"/>
                </w:tcPr>
                <w:p w14:paraId="23AA5BC3">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kern w:val="0"/>
                      <w:szCs w:val="21"/>
                    </w:rPr>
                    <w:t>/</w:t>
                  </w:r>
                </w:p>
              </w:tc>
            </w:tr>
            <w:tr w14:paraId="2AF700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8" w:type="pct"/>
                  <w:vMerge w:val="continue"/>
                  <w:tcBorders>
                    <w:tl2br w:val="nil"/>
                    <w:tr2bl w:val="nil"/>
                  </w:tcBorders>
                  <w:shd w:val="clear" w:color="auto" w:fill="auto"/>
                  <w:vAlign w:val="center"/>
                </w:tcPr>
                <w:p w14:paraId="6305AC5C">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840" w:type="pct"/>
                  <w:gridSpan w:val="2"/>
                  <w:tcBorders>
                    <w:tl2br w:val="nil"/>
                    <w:tr2bl w:val="nil"/>
                  </w:tcBorders>
                  <w:shd w:val="clear" w:color="auto" w:fill="auto"/>
                  <w:vAlign w:val="center"/>
                </w:tcPr>
                <w:p w14:paraId="04E09EE3">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一般固废</w:t>
                  </w:r>
                  <w:r>
                    <w:rPr>
                      <w:rFonts w:hint="eastAsia"/>
                      <w:color w:val="auto"/>
                      <w:szCs w:val="21"/>
                    </w:rPr>
                    <w:t>仓库</w:t>
                  </w:r>
                </w:p>
              </w:tc>
              <w:tc>
                <w:tcPr>
                  <w:tcW w:w="2694" w:type="pct"/>
                  <w:gridSpan w:val="3"/>
                  <w:tcBorders>
                    <w:tl2br w:val="nil"/>
                    <w:tr2bl w:val="nil"/>
                  </w:tcBorders>
                  <w:shd w:val="clear" w:color="auto" w:fill="auto"/>
                  <w:vAlign w:val="center"/>
                </w:tcPr>
                <w:p w14:paraId="1291040D">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位于</w:t>
                  </w:r>
                  <w:r>
                    <w:rPr>
                      <w:rFonts w:hint="eastAsia"/>
                      <w:color w:val="auto"/>
                      <w:szCs w:val="21"/>
                      <w:lang w:val="en-US" w:eastAsia="zh-CN"/>
                    </w:rPr>
                    <w:t>1#厂房1F</w:t>
                  </w:r>
                  <w:r>
                    <w:rPr>
                      <w:rFonts w:hint="eastAsia"/>
                      <w:color w:val="auto"/>
                      <w:szCs w:val="21"/>
                      <w:lang w:eastAsia="zh-CN"/>
                    </w:rPr>
                    <w:t>东北</w:t>
                  </w:r>
                  <w:r>
                    <w:rPr>
                      <w:rFonts w:hint="eastAsia"/>
                      <w:color w:val="auto"/>
                      <w:szCs w:val="21"/>
                    </w:rPr>
                    <w:t>侧，建筑面积50</w:t>
                  </w:r>
                  <w:r>
                    <w:rPr>
                      <w:bCs/>
                      <w:color w:val="auto"/>
                      <w:szCs w:val="21"/>
                    </w:rPr>
                    <w:t>m</w:t>
                  </w:r>
                  <w:r>
                    <w:rPr>
                      <w:bCs/>
                      <w:color w:val="auto"/>
                      <w:szCs w:val="21"/>
                      <w:vertAlign w:val="superscript"/>
                    </w:rPr>
                    <w:t>2</w:t>
                  </w:r>
                </w:p>
              </w:tc>
              <w:tc>
                <w:tcPr>
                  <w:tcW w:w="1086" w:type="pct"/>
                  <w:tcBorders>
                    <w:tl2br w:val="nil"/>
                    <w:tr2bl w:val="nil"/>
                  </w:tcBorders>
                  <w:shd w:val="clear" w:color="auto" w:fill="auto"/>
                  <w:vAlign w:val="center"/>
                </w:tcPr>
                <w:p w14:paraId="455AAFFC">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新建</w:t>
                  </w:r>
                </w:p>
              </w:tc>
            </w:tr>
            <w:tr w14:paraId="1430A8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8" w:type="pct"/>
                  <w:vMerge w:val="continue"/>
                  <w:tcBorders>
                    <w:tl2br w:val="nil"/>
                    <w:tr2bl w:val="nil"/>
                  </w:tcBorders>
                  <w:shd w:val="clear" w:color="auto" w:fill="auto"/>
                  <w:vAlign w:val="center"/>
                </w:tcPr>
                <w:p w14:paraId="4069B28D">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840" w:type="pct"/>
                  <w:gridSpan w:val="2"/>
                  <w:tcBorders>
                    <w:tl2br w:val="nil"/>
                    <w:tr2bl w:val="nil"/>
                  </w:tcBorders>
                  <w:shd w:val="clear" w:color="auto" w:fill="auto"/>
                  <w:vAlign w:val="center"/>
                </w:tcPr>
                <w:p w14:paraId="29B8FC2D">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危废仓库</w:t>
                  </w:r>
                </w:p>
              </w:tc>
              <w:tc>
                <w:tcPr>
                  <w:tcW w:w="2694" w:type="pct"/>
                  <w:gridSpan w:val="3"/>
                  <w:tcBorders>
                    <w:tl2br w:val="nil"/>
                    <w:tr2bl w:val="nil"/>
                  </w:tcBorders>
                  <w:shd w:val="clear" w:color="auto" w:fill="auto"/>
                  <w:vAlign w:val="center"/>
                </w:tcPr>
                <w:p w14:paraId="69D056E2">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位于</w:t>
                  </w:r>
                  <w:r>
                    <w:rPr>
                      <w:rFonts w:hint="eastAsia"/>
                      <w:color w:val="auto"/>
                      <w:szCs w:val="21"/>
                      <w:lang w:val="en-US" w:eastAsia="zh-CN"/>
                    </w:rPr>
                    <w:t>1#厂房1F</w:t>
                  </w:r>
                  <w:r>
                    <w:rPr>
                      <w:rFonts w:hint="eastAsia"/>
                      <w:color w:val="auto"/>
                      <w:szCs w:val="21"/>
                      <w:lang w:eastAsia="zh-CN"/>
                    </w:rPr>
                    <w:t>东北</w:t>
                  </w:r>
                  <w:r>
                    <w:rPr>
                      <w:rFonts w:hint="eastAsia"/>
                      <w:color w:val="auto"/>
                      <w:szCs w:val="21"/>
                    </w:rPr>
                    <w:t>侧，建筑面积10</w:t>
                  </w:r>
                  <w:r>
                    <w:rPr>
                      <w:color w:val="auto"/>
                      <w:szCs w:val="21"/>
                    </w:rPr>
                    <w:t>m</w:t>
                  </w:r>
                  <w:r>
                    <w:rPr>
                      <w:color w:val="auto"/>
                      <w:szCs w:val="21"/>
                      <w:vertAlign w:val="superscript"/>
                    </w:rPr>
                    <w:t>2</w:t>
                  </w:r>
                </w:p>
              </w:tc>
              <w:tc>
                <w:tcPr>
                  <w:tcW w:w="1086" w:type="pct"/>
                  <w:tcBorders>
                    <w:tl2br w:val="nil"/>
                    <w:tr2bl w:val="nil"/>
                  </w:tcBorders>
                  <w:shd w:val="clear" w:color="auto" w:fill="auto"/>
                  <w:vAlign w:val="center"/>
                </w:tcPr>
                <w:p w14:paraId="57617D61">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新建</w:t>
                  </w:r>
                </w:p>
              </w:tc>
            </w:tr>
          </w:tbl>
          <w:p w14:paraId="161B8D5A">
            <w:pPr>
              <w:adjustRightInd w:val="0"/>
              <w:snapToGrid w:val="0"/>
              <w:spacing w:before="120" w:beforeLines="50" w:line="360" w:lineRule="auto"/>
              <w:ind w:firstLine="482" w:firstLineChars="200"/>
              <w:rPr>
                <w:b/>
                <w:bCs/>
                <w:color w:val="auto"/>
                <w:sz w:val="24"/>
              </w:rPr>
            </w:pPr>
            <w:r>
              <w:rPr>
                <w:b/>
                <w:bCs/>
                <w:color w:val="auto"/>
                <w:sz w:val="24"/>
              </w:rPr>
              <w:t>6.</w:t>
            </w:r>
            <w:r>
              <w:rPr>
                <w:rFonts w:hint="eastAsia"/>
                <w:b/>
                <w:bCs/>
                <w:color w:val="auto"/>
                <w:sz w:val="24"/>
                <w:lang w:val="zh-CN"/>
              </w:rPr>
              <w:t>劳动定员及工作制度</w:t>
            </w:r>
          </w:p>
          <w:p w14:paraId="1D11A5CE">
            <w:pPr>
              <w:adjustRightInd w:val="0"/>
              <w:snapToGrid w:val="0"/>
              <w:spacing w:line="360" w:lineRule="auto"/>
              <w:ind w:firstLine="480" w:firstLineChars="200"/>
              <w:rPr>
                <w:color w:val="auto"/>
                <w:sz w:val="24"/>
              </w:rPr>
            </w:pPr>
            <w:r>
              <w:rPr>
                <w:rFonts w:hint="eastAsia"/>
                <w:color w:val="auto"/>
                <w:sz w:val="24"/>
              </w:rPr>
              <w:t>（1）工作时数：</w:t>
            </w:r>
            <w:r>
              <w:rPr>
                <w:color w:val="auto"/>
                <w:sz w:val="24"/>
              </w:rPr>
              <w:t>实行</w:t>
            </w:r>
            <w:r>
              <w:rPr>
                <w:rFonts w:hint="eastAsia"/>
                <w:color w:val="auto"/>
                <w:sz w:val="24"/>
              </w:rPr>
              <w:t>一</w:t>
            </w:r>
            <w:r>
              <w:rPr>
                <w:color w:val="auto"/>
                <w:sz w:val="24"/>
              </w:rPr>
              <w:t>班制，每班工作8小时，年工作</w:t>
            </w:r>
            <w:r>
              <w:rPr>
                <w:rFonts w:hint="eastAsia"/>
                <w:color w:val="auto"/>
                <w:sz w:val="24"/>
              </w:rPr>
              <w:t>300</w:t>
            </w:r>
            <w:r>
              <w:rPr>
                <w:color w:val="auto"/>
                <w:sz w:val="24"/>
              </w:rPr>
              <w:t>天</w:t>
            </w:r>
            <w:r>
              <w:rPr>
                <w:rFonts w:hint="eastAsia"/>
                <w:color w:val="auto"/>
                <w:sz w:val="24"/>
              </w:rPr>
              <w:t>；</w:t>
            </w:r>
          </w:p>
          <w:p w14:paraId="190F93E7">
            <w:pPr>
              <w:adjustRightInd w:val="0"/>
              <w:snapToGrid w:val="0"/>
              <w:spacing w:line="360" w:lineRule="auto"/>
              <w:ind w:firstLine="480" w:firstLineChars="200"/>
              <w:rPr>
                <w:color w:val="auto"/>
                <w:sz w:val="24"/>
              </w:rPr>
            </w:pPr>
            <w:r>
              <w:rPr>
                <w:rFonts w:hint="eastAsia"/>
                <w:color w:val="auto"/>
                <w:sz w:val="24"/>
              </w:rPr>
              <w:t>（2）职工人数：</w:t>
            </w:r>
            <w:r>
              <w:rPr>
                <w:color w:val="auto"/>
                <w:sz w:val="24"/>
              </w:rPr>
              <w:t>职工定员</w:t>
            </w:r>
            <w:r>
              <w:rPr>
                <w:rFonts w:hint="eastAsia"/>
                <w:color w:val="auto"/>
                <w:sz w:val="24"/>
              </w:rPr>
              <w:t>100</w:t>
            </w:r>
            <w:r>
              <w:rPr>
                <w:color w:val="auto"/>
                <w:sz w:val="24"/>
              </w:rPr>
              <w:t>人，</w:t>
            </w:r>
            <w:r>
              <w:rPr>
                <w:rFonts w:hint="eastAsia"/>
                <w:color w:val="auto"/>
                <w:sz w:val="24"/>
              </w:rPr>
              <w:t>每日提供</w:t>
            </w:r>
            <w:r>
              <w:rPr>
                <w:rFonts w:hint="eastAsia"/>
                <w:color w:val="auto"/>
                <w:sz w:val="24"/>
                <w:lang w:eastAsia="zh-CN"/>
              </w:rPr>
              <w:t>一</w:t>
            </w:r>
            <w:r>
              <w:rPr>
                <w:rFonts w:hint="eastAsia"/>
                <w:color w:val="auto"/>
                <w:sz w:val="24"/>
              </w:rPr>
              <w:t>餐，不提供住宿。</w:t>
            </w:r>
          </w:p>
          <w:p w14:paraId="51D70333">
            <w:pPr>
              <w:adjustRightInd w:val="0"/>
              <w:snapToGrid w:val="0"/>
              <w:spacing w:line="360" w:lineRule="auto"/>
              <w:ind w:firstLine="482" w:firstLineChars="200"/>
              <w:rPr>
                <w:b/>
                <w:bCs/>
                <w:color w:val="auto"/>
                <w:sz w:val="24"/>
              </w:rPr>
            </w:pPr>
            <w:r>
              <w:rPr>
                <w:rFonts w:hint="eastAsia"/>
                <w:b/>
                <w:bCs/>
                <w:color w:val="auto"/>
                <w:sz w:val="24"/>
              </w:rPr>
              <w:t>7.厂区平面布置</w:t>
            </w:r>
          </w:p>
          <w:p w14:paraId="785633C2">
            <w:pPr>
              <w:adjustRightInd w:val="0"/>
              <w:snapToGrid w:val="0"/>
              <w:spacing w:line="360" w:lineRule="auto"/>
              <w:ind w:firstLine="480" w:firstLineChars="200"/>
              <w:rPr>
                <w:color w:val="auto"/>
                <w:sz w:val="24"/>
              </w:rPr>
            </w:pPr>
            <w:r>
              <w:rPr>
                <w:color w:val="auto"/>
                <w:sz w:val="24"/>
              </w:rPr>
              <w:t>本项目</w:t>
            </w:r>
            <w:r>
              <w:rPr>
                <w:rFonts w:hint="eastAsia"/>
                <w:color w:val="auto"/>
                <w:sz w:val="24"/>
              </w:rPr>
              <w:t>用地面积</w:t>
            </w:r>
            <w:r>
              <w:rPr>
                <w:rFonts w:hint="eastAsia"/>
                <w:color w:val="auto"/>
                <w:sz w:val="24"/>
                <w:lang w:val="en-US" w:eastAsia="zh-CN"/>
              </w:rPr>
              <w:t>22890</w:t>
            </w:r>
            <w:r>
              <w:rPr>
                <w:rFonts w:hint="eastAsia"/>
                <w:color w:val="auto"/>
                <w:sz w:val="24"/>
              </w:rPr>
              <w:t>平方米，厂区</w:t>
            </w:r>
            <w:r>
              <w:rPr>
                <w:rFonts w:hint="eastAsia"/>
                <w:color w:val="auto"/>
                <w:sz w:val="24"/>
                <w:lang w:eastAsia="zh-CN"/>
              </w:rPr>
              <w:t>由北向南分别为</w:t>
            </w:r>
            <w:r>
              <w:rPr>
                <w:rFonts w:hint="eastAsia"/>
                <w:color w:val="auto"/>
                <w:sz w:val="24"/>
                <w:lang w:val="en-US" w:eastAsia="zh-CN"/>
              </w:rPr>
              <w:t>1#厂房、2#厂房、办公楼、中心景观，大门位于厂区南侧，本项目使用1#厂房进行生产，1#厂房共2层，1F西侧为1#生产车间，1F东南侧分别为成品仓库和原料仓库，东北侧分别为危废仓库和一般固废仓库，2F为2#生产车间。</w:t>
            </w:r>
          </w:p>
          <w:p w14:paraId="5E7FACFE">
            <w:pPr>
              <w:adjustRightInd w:val="0"/>
              <w:snapToGrid w:val="0"/>
              <w:spacing w:line="360" w:lineRule="auto"/>
              <w:ind w:firstLine="480" w:firstLineChars="200"/>
              <w:rPr>
                <w:color w:val="auto"/>
                <w:sz w:val="24"/>
              </w:rPr>
            </w:pPr>
            <w:r>
              <w:rPr>
                <w:rFonts w:hint="eastAsia"/>
                <w:color w:val="auto"/>
                <w:sz w:val="24"/>
              </w:rPr>
              <w:t>项目东侧为</w:t>
            </w:r>
            <w:r>
              <w:rPr>
                <w:rFonts w:hint="eastAsia"/>
                <w:color w:val="auto"/>
                <w:sz w:val="24"/>
                <w:lang w:eastAsia="zh-CN"/>
              </w:rPr>
              <w:t>贾庄</w:t>
            </w:r>
            <w:r>
              <w:rPr>
                <w:rFonts w:hint="eastAsia"/>
                <w:color w:val="auto"/>
                <w:sz w:val="24"/>
              </w:rPr>
              <w:t>，</w:t>
            </w:r>
            <w:r>
              <w:rPr>
                <w:rFonts w:hint="eastAsia"/>
                <w:color w:val="auto"/>
                <w:sz w:val="24"/>
                <w:lang w:eastAsia="zh-CN"/>
              </w:rPr>
              <w:t>东南侧为学田庄、朱码头，南侧隔涟古路为空地，西侧与北侧为空地</w:t>
            </w:r>
            <w:r>
              <w:rPr>
                <w:rFonts w:hint="eastAsia"/>
                <w:color w:val="auto"/>
                <w:sz w:val="24"/>
              </w:rPr>
              <w:t>。</w:t>
            </w:r>
          </w:p>
          <w:p w14:paraId="1CE0D930">
            <w:pPr>
              <w:adjustRightInd w:val="0"/>
              <w:snapToGrid w:val="0"/>
              <w:spacing w:line="360" w:lineRule="auto"/>
              <w:ind w:firstLine="480" w:firstLineChars="200"/>
              <w:rPr>
                <w:b/>
                <w:bCs/>
                <w:color w:val="auto"/>
                <w:sz w:val="24"/>
              </w:rPr>
            </w:pPr>
            <w:r>
              <w:rPr>
                <w:color w:val="auto"/>
                <w:sz w:val="24"/>
              </w:rPr>
              <w:t>建设项目平面布置见</w:t>
            </w:r>
            <w:r>
              <w:rPr>
                <w:b/>
                <w:bCs/>
                <w:color w:val="auto"/>
                <w:sz w:val="24"/>
              </w:rPr>
              <w:t>附图</w:t>
            </w:r>
            <w:r>
              <w:rPr>
                <w:rFonts w:hint="eastAsia"/>
                <w:b/>
                <w:bCs/>
                <w:color w:val="auto"/>
                <w:sz w:val="24"/>
                <w:lang w:val="en-US" w:eastAsia="zh-CN"/>
              </w:rPr>
              <w:t>4</w:t>
            </w:r>
            <w:r>
              <w:rPr>
                <w:rFonts w:hint="eastAsia"/>
                <w:color w:val="auto"/>
                <w:sz w:val="24"/>
              </w:rPr>
              <w:t>、周边状况图见</w:t>
            </w:r>
            <w:r>
              <w:rPr>
                <w:rFonts w:hint="eastAsia"/>
                <w:b/>
                <w:bCs/>
                <w:color w:val="auto"/>
                <w:sz w:val="24"/>
              </w:rPr>
              <w:t>附图</w:t>
            </w:r>
            <w:r>
              <w:rPr>
                <w:rFonts w:hint="eastAsia"/>
                <w:b/>
                <w:bCs/>
                <w:color w:val="auto"/>
                <w:sz w:val="24"/>
                <w:lang w:val="en-US" w:eastAsia="zh-CN"/>
              </w:rPr>
              <w:t>3</w:t>
            </w:r>
            <w:r>
              <w:rPr>
                <w:color w:val="auto"/>
                <w:sz w:val="24"/>
              </w:rPr>
              <w:t>。</w:t>
            </w:r>
          </w:p>
          <w:p w14:paraId="7776EC1A">
            <w:pPr>
              <w:adjustRightInd w:val="0"/>
              <w:snapToGrid w:val="0"/>
              <w:spacing w:line="360" w:lineRule="auto"/>
              <w:ind w:firstLine="482" w:firstLineChars="200"/>
              <w:rPr>
                <w:b/>
                <w:bCs/>
                <w:color w:val="auto"/>
                <w:sz w:val="24"/>
              </w:rPr>
            </w:pPr>
            <w:r>
              <w:rPr>
                <w:rFonts w:hint="eastAsia"/>
                <w:b/>
                <w:bCs/>
                <w:color w:val="auto"/>
                <w:sz w:val="24"/>
              </w:rPr>
              <w:t>8</w:t>
            </w:r>
            <w:r>
              <w:rPr>
                <w:b/>
                <w:bCs/>
                <w:color w:val="auto"/>
                <w:sz w:val="24"/>
              </w:rPr>
              <w:t>.建设项目水平衡分析</w:t>
            </w:r>
          </w:p>
          <w:p w14:paraId="014BCEF9">
            <w:pPr>
              <w:widowControl/>
              <w:spacing w:line="360" w:lineRule="auto"/>
              <w:ind w:firstLine="480" w:firstLineChars="200"/>
              <w:rPr>
                <w:bCs/>
                <w:color w:val="auto"/>
                <w:sz w:val="24"/>
              </w:rPr>
            </w:pPr>
            <w:r>
              <w:rPr>
                <w:bCs/>
                <w:color w:val="auto"/>
                <w:sz w:val="24"/>
              </w:rPr>
              <w:t>本项目用水</w:t>
            </w:r>
            <w:r>
              <w:rPr>
                <w:rFonts w:hint="eastAsia"/>
                <w:bCs/>
                <w:color w:val="auto"/>
                <w:sz w:val="24"/>
              </w:rPr>
              <w:t>包括生产用水和职工生活用水</w:t>
            </w:r>
            <w:r>
              <w:rPr>
                <w:bCs/>
                <w:color w:val="auto"/>
                <w:sz w:val="24"/>
              </w:rPr>
              <w:t>。</w:t>
            </w:r>
          </w:p>
          <w:p w14:paraId="7233CB46">
            <w:pPr>
              <w:widowControl/>
              <w:spacing w:line="360" w:lineRule="auto"/>
              <w:ind w:firstLine="480" w:firstLineChars="200"/>
              <w:rPr>
                <w:rFonts w:hint="eastAsia" w:eastAsia="宋体"/>
                <w:color w:val="auto"/>
                <w:sz w:val="24"/>
                <w:szCs w:val="32"/>
                <w:lang w:eastAsia="zh-CN"/>
              </w:rPr>
            </w:pPr>
            <w:r>
              <w:rPr>
                <w:rFonts w:hint="eastAsia"/>
                <w:color w:val="auto"/>
                <w:sz w:val="24"/>
                <w:szCs w:val="32"/>
                <w:lang w:eastAsia="zh-CN"/>
              </w:rPr>
              <w:t>（</w:t>
            </w:r>
            <w:r>
              <w:rPr>
                <w:rFonts w:hint="eastAsia"/>
                <w:color w:val="auto"/>
                <w:sz w:val="24"/>
                <w:szCs w:val="32"/>
                <w:lang w:val="en-US" w:eastAsia="zh-CN"/>
              </w:rPr>
              <w:t>1</w:t>
            </w:r>
            <w:r>
              <w:rPr>
                <w:rFonts w:hint="eastAsia"/>
                <w:color w:val="auto"/>
                <w:sz w:val="24"/>
                <w:szCs w:val="32"/>
                <w:lang w:eastAsia="zh-CN"/>
              </w:rPr>
              <w:t>）生产用水及排水</w:t>
            </w:r>
          </w:p>
          <w:p w14:paraId="0A0B2D6B">
            <w:pPr>
              <w:widowControl/>
              <w:spacing w:line="360" w:lineRule="auto"/>
              <w:ind w:firstLine="480" w:firstLineChars="200"/>
              <w:rPr>
                <w:color w:val="auto"/>
                <w:sz w:val="24"/>
                <w:szCs w:val="32"/>
              </w:rPr>
            </w:pPr>
            <w:r>
              <w:rPr>
                <w:rFonts w:hint="eastAsia"/>
                <w:color w:val="auto"/>
                <w:sz w:val="24"/>
                <w:szCs w:val="32"/>
              </w:rPr>
              <w:t>①</w:t>
            </w:r>
            <w:r>
              <w:rPr>
                <w:rFonts w:hint="eastAsia"/>
                <w:color w:val="auto"/>
                <w:sz w:val="24"/>
              </w:rPr>
              <w:t>氢氧焊机用水</w:t>
            </w:r>
          </w:p>
          <w:p w14:paraId="41F10C71">
            <w:pPr>
              <w:widowControl/>
              <w:spacing w:line="360" w:lineRule="auto"/>
              <w:ind w:firstLine="480" w:firstLineChars="200"/>
              <w:rPr>
                <w:color w:val="auto"/>
                <w:sz w:val="24"/>
                <w:szCs w:val="32"/>
              </w:rPr>
            </w:pPr>
            <w:r>
              <w:rPr>
                <w:rFonts w:hint="eastAsia"/>
                <w:color w:val="auto"/>
                <w:sz w:val="24"/>
                <w:szCs w:val="32"/>
              </w:rPr>
              <w:t>本项目焊接工序采用</w:t>
            </w:r>
            <w:r>
              <w:rPr>
                <w:rFonts w:hint="eastAsia"/>
                <w:color w:val="auto"/>
                <w:sz w:val="24"/>
              </w:rPr>
              <w:t>氢氧焊机（以水为介质，通电将水进行电化学分解产生氢气和氧气，以氢气为燃料，氧气助燃，经专用氢氧火焰枪点火形成氢氧焰，对工件进行焊接作业）进行焊接，根据企业提供的资料，项目焊接工序氢氧焊机用水主要为外购的纯水，用水量约3t/a，全部消耗，不外排。</w:t>
            </w:r>
          </w:p>
          <w:p w14:paraId="4607DA88">
            <w:pPr>
              <w:widowControl/>
              <w:spacing w:line="360" w:lineRule="auto"/>
              <w:ind w:firstLine="480" w:firstLineChars="200"/>
              <w:rPr>
                <w:color w:val="auto"/>
                <w:sz w:val="24"/>
                <w:szCs w:val="32"/>
              </w:rPr>
            </w:pPr>
            <w:r>
              <w:rPr>
                <w:rFonts w:hint="eastAsia"/>
                <w:color w:val="auto"/>
                <w:sz w:val="24"/>
                <w:szCs w:val="32"/>
              </w:rPr>
              <w:t>②切削液兑水</w:t>
            </w:r>
          </w:p>
          <w:p w14:paraId="66B0E2DC">
            <w:pPr>
              <w:widowControl/>
              <w:spacing w:line="360" w:lineRule="auto"/>
              <w:ind w:firstLine="480" w:firstLineChars="200"/>
              <w:rPr>
                <w:rFonts w:hint="eastAsia"/>
                <w:color w:val="auto"/>
                <w:sz w:val="24"/>
              </w:rPr>
            </w:pPr>
            <w:r>
              <w:rPr>
                <w:rFonts w:hint="eastAsia"/>
                <w:color w:val="auto"/>
                <w:sz w:val="24"/>
                <w:szCs w:val="32"/>
              </w:rPr>
              <w:t>项目切削液需按照1</w:t>
            </w:r>
            <w:r>
              <w:rPr>
                <w:rFonts w:hint="eastAsia"/>
                <w:color w:val="auto"/>
                <w:sz w:val="24"/>
                <w:szCs w:val="32"/>
                <w:lang w:eastAsia="zh-CN"/>
              </w:rPr>
              <w:t>:</w:t>
            </w:r>
            <w:r>
              <w:rPr>
                <w:rFonts w:hint="eastAsia"/>
                <w:color w:val="auto"/>
                <w:sz w:val="24"/>
                <w:szCs w:val="32"/>
              </w:rPr>
              <w:t>30比例加水稀释使用，建设项目切削液用量为0.03t/a，则用水量为0.9t/a，</w:t>
            </w:r>
            <w:r>
              <w:rPr>
                <w:rFonts w:hint="eastAsia"/>
                <w:color w:val="auto"/>
                <w:sz w:val="24"/>
              </w:rPr>
              <w:t>使用过程中水大部分损耗，少量存留在切削液中，最后调配后约有90%损耗，废切削液产生量约为0.093t/a，属于危废，经收集后暂存于危废仓库，并定期交由有资质单位安全处置。</w:t>
            </w:r>
          </w:p>
          <w:p w14:paraId="354E32D4">
            <w:pPr>
              <w:widowControl/>
              <w:spacing w:line="360" w:lineRule="auto"/>
              <w:ind w:firstLine="480" w:firstLineChars="200"/>
              <w:rPr>
                <w:rFonts w:hint="eastAsia"/>
                <w:color w:val="auto"/>
                <w:sz w:val="24"/>
                <w:lang w:eastAsia="zh-CN"/>
              </w:rPr>
            </w:pPr>
            <w:r>
              <w:rPr>
                <w:rFonts w:hint="eastAsia"/>
                <w:color w:val="auto"/>
                <w:sz w:val="24"/>
                <w:lang w:eastAsia="zh-CN"/>
              </w:rPr>
              <w:t>③清洗剂兑水</w:t>
            </w:r>
          </w:p>
          <w:p w14:paraId="4BCBBF4B">
            <w:pPr>
              <w:widowControl/>
              <w:spacing w:line="360" w:lineRule="auto"/>
              <w:ind w:firstLine="480" w:firstLineChars="200"/>
              <w:rPr>
                <w:rFonts w:hint="default"/>
                <w:color w:val="auto"/>
                <w:sz w:val="24"/>
                <w:lang w:val="en-US" w:eastAsia="zh-CN"/>
              </w:rPr>
            </w:pPr>
            <w:r>
              <w:rPr>
                <w:rFonts w:hint="eastAsia"/>
                <w:color w:val="auto"/>
                <w:sz w:val="24"/>
                <w:lang w:eastAsia="zh-CN"/>
              </w:rPr>
              <w:t>项目清洗剂由</w:t>
            </w:r>
            <w:r>
              <w:rPr>
                <w:rFonts w:hint="eastAsia"/>
                <w:color w:val="auto"/>
                <w:sz w:val="24"/>
                <w:lang w:val="en-US" w:eastAsia="zh-CN"/>
              </w:rPr>
              <w:t>70%乙醇和水调配而成，根据企业提供的资料，70%乙醇和水的比例约为1:20，项目乙醇用量为0.1t/a，则调配用水量为2t/a。</w:t>
            </w:r>
          </w:p>
          <w:p w14:paraId="14FCB7B7">
            <w:pPr>
              <w:widowControl/>
              <w:spacing w:line="360" w:lineRule="auto"/>
              <w:ind w:firstLine="480" w:firstLineChars="200"/>
              <w:rPr>
                <w:rFonts w:hint="eastAsia" w:eastAsia="宋体"/>
                <w:color w:val="auto"/>
                <w:sz w:val="24"/>
                <w:szCs w:val="32"/>
                <w:lang w:eastAsia="zh-CN"/>
              </w:rPr>
            </w:pPr>
            <w:r>
              <w:rPr>
                <w:rFonts w:hint="eastAsia"/>
                <w:color w:val="auto"/>
                <w:sz w:val="24"/>
                <w:szCs w:val="32"/>
                <w:lang w:eastAsia="zh-CN"/>
              </w:rPr>
              <w:t>（</w:t>
            </w:r>
            <w:r>
              <w:rPr>
                <w:rFonts w:hint="eastAsia"/>
                <w:color w:val="auto"/>
                <w:sz w:val="24"/>
                <w:szCs w:val="32"/>
                <w:lang w:val="en-US" w:eastAsia="zh-CN"/>
              </w:rPr>
              <w:t>2</w:t>
            </w:r>
            <w:r>
              <w:rPr>
                <w:rFonts w:hint="eastAsia"/>
                <w:color w:val="auto"/>
                <w:sz w:val="24"/>
                <w:szCs w:val="32"/>
                <w:lang w:eastAsia="zh-CN"/>
              </w:rPr>
              <w:t>）生活用水及排水</w:t>
            </w:r>
          </w:p>
          <w:p w14:paraId="1481E780">
            <w:pPr>
              <w:widowControl/>
              <w:spacing w:line="360" w:lineRule="auto"/>
              <w:ind w:firstLine="480" w:firstLineChars="200"/>
              <w:rPr>
                <w:color w:val="auto"/>
                <w:sz w:val="24"/>
                <w:szCs w:val="32"/>
              </w:rPr>
            </w:pPr>
            <w:r>
              <w:rPr>
                <w:rFonts w:hint="eastAsia"/>
                <w:color w:val="auto"/>
                <w:sz w:val="24"/>
                <w:szCs w:val="32"/>
              </w:rPr>
              <w:t>①生活用水</w:t>
            </w:r>
          </w:p>
          <w:p w14:paraId="67DD6129">
            <w:pPr>
              <w:pStyle w:val="55"/>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本项目劳动定员为</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0人，年生产300天根据</w:t>
            </w:r>
            <w:r>
              <w:rPr>
                <w:rFonts w:hint="eastAsia" w:cs="Times New Roman"/>
                <w:color w:val="auto"/>
                <w:sz w:val="24"/>
                <w:lang w:eastAsia="zh-CN"/>
              </w:rPr>
              <w:t>《</w:t>
            </w:r>
            <w:r>
              <w:rPr>
                <w:rFonts w:hint="default" w:ascii="Times New Roman" w:hAnsi="Times New Roman" w:cs="Times New Roman"/>
                <w:color w:val="auto"/>
                <w:sz w:val="24"/>
              </w:rPr>
              <w:t>江苏省工业、服务业和生活用水定</w:t>
            </w:r>
            <w:r>
              <w:rPr>
                <w:rFonts w:hint="eastAsia" w:ascii="Times New Roman" w:hAnsi="Times New Roman" w:cs="Times New Roman"/>
                <w:color w:val="auto"/>
                <w:sz w:val="24"/>
                <w:lang w:eastAsia="zh-CN"/>
              </w:rPr>
              <w:t>额</w:t>
            </w:r>
            <w:r>
              <w:rPr>
                <w:rFonts w:hint="eastAsia" w:cs="Times New Roman"/>
                <w:color w:val="auto"/>
                <w:sz w:val="24"/>
                <w:lang w:eastAsia="zh-CN"/>
              </w:rPr>
              <w:t>》</w:t>
            </w:r>
            <w:r>
              <w:rPr>
                <w:rFonts w:hint="default" w:ascii="Times New Roman" w:hAnsi="Times New Roman" w:cs="Times New Roman"/>
                <w:color w:val="auto"/>
                <w:sz w:val="24"/>
              </w:rPr>
              <w:t>（2014年修订），企业管理人员生活用水可取</w:t>
            </w:r>
            <w:r>
              <w:rPr>
                <w:rFonts w:hint="eastAsia" w:cs="Times New Roman"/>
                <w:color w:val="auto"/>
                <w:sz w:val="24"/>
                <w:lang w:val="en-US" w:eastAsia="zh-CN"/>
              </w:rPr>
              <w:t>80—150</w:t>
            </w:r>
            <w:r>
              <w:rPr>
                <w:rFonts w:hint="default" w:ascii="Times New Roman" w:hAnsi="Times New Roman" w:cs="Times New Roman"/>
                <w:color w:val="auto"/>
                <w:sz w:val="24"/>
              </w:rPr>
              <w:t>L/人·</w:t>
            </w:r>
            <w:r>
              <w:rPr>
                <w:rFonts w:hint="eastAsia" w:cs="Times New Roman"/>
                <w:color w:val="auto"/>
                <w:sz w:val="24"/>
                <w:lang w:val="en-US" w:eastAsia="zh-CN"/>
              </w:rPr>
              <w:t>d</w:t>
            </w:r>
            <w:r>
              <w:rPr>
                <w:rFonts w:hint="default" w:ascii="Times New Roman" w:hAnsi="Times New Roman" w:cs="Times New Roman"/>
                <w:color w:val="auto"/>
                <w:sz w:val="24"/>
              </w:rPr>
              <w:t>，</w:t>
            </w:r>
            <w:r>
              <w:rPr>
                <w:rFonts w:hint="eastAsia" w:cs="Times New Roman"/>
                <w:color w:val="auto"/>
                <w:sz w:val="24"/>
                <w:lang w:eastAsia="zh-CN"/>
              </w:rPr>
              <w:t>项目厂区内不提供住宿，</w:t>
            </w:r>
            <w:r>
              <w:rPr>
                <w:rFonts w:hint="default" w:ascii="Times New Roman" w:hAnsi="Times New Roman" w:cs="Times New Roman"/>
                <w:color w:val="auto"/>
                <w:sz w:val="24"/>
              </w:rPr>
              <w:t>本次评价取</w:t>
            </w:r>
            <w:r>
              <w:rPr>
                <w:rFonts w:hint="eastAsia" w:cs="Times New Roman"/>
                <w:color w:val="auto"/>
                <w:sz w:val="24"/>
                <w:lang w:val="en-US" w:eastAsia="zh-CN"/>
              </w:rPr>
              <w:t>80</w:t>
            </w:r>
            <w:r>
              <w:rPr>
                <w:rFonts w:hint="default" w:ascii="Times New Roman" w:hAnsi="Times New Roman" w:cs="Times New Roman"/>
                <w:color w:val="auto"/>
                <w:sz w:val="24"/>
              </w:rPr>
              <w:t>L/人·</w:t>
            </w:r>
            <w:r>
              <w:rPr>
                <w:rFonts w:hint="eastAsia" w:cs="Times New Roman"/>
                <w:color w:val="auto"/>
                <w:sz w:val="24"/>
                <w:lang w:val="en-US" w:eastAsia="zh-CN"/>
              </w:rPr>
              <w:t>d</w:t>
            </w:r>
            <w:r>
              <w:rPr>
                <w:rFonts w:hint="default" w:ascii="Times New Roman" w:hAnsi="Times New Roman" w:cs="Times New Roman"/>
                <w:color w:val="auto"/>
                <w:sz w:val="24"/>
              </w:rPr>
              <w:t>，则年用水量为</w:t>
            </w:r>
            <w:r>
              <w:rPr>
                <w:rFonts w:hint="eastAsia" w:cs="Times New Roman"/>
                <w:color w:val="auto"/>
                <w:sz w:val="24"/>
                <w:lang w:val="en-US" w:eastAsia="zh-CN"/>
              </w:rPr>
              <w:t>24</w:t>
            </w:r>
            <w:r>
              <w:rPr>
                <w:rFonts w:hint="default" w:ascii="Times New Roman" w:hAnsi="Times New Roman" w:cs="Times New Roman"/>
                <w:color w:val="auto"/>
                <w:sz w:val="24"/>
                <w:lang w:val="en-US" w:eastAsia="zh-CN"/>
              </w:rPr>
              <w:t>00</w:t>
            </w:r>
            <w:r>
              <w:rPr>
                <w:rFonts w:hint="eastAsia" w:cs="Times New Roman"/>
                <w:color w:val="auto"/>
                <w:sz w:val="24"/>
                <w:lang w:val="en-US" w:eastAsia="zh-CN"/>
              </w:rPr>
              <w:t>t</w:t>
            </w:r>
            <w:r>
              <w:rPr>
                <w:rFonts w:hint="default" w:ascii="Times New Roman" w:hAnsi="Times New Roman" w:cs="Times New Roman"/>
                <w:color w:val="auto"/>
                <w:sz w:val="24"/>
              </w:rPr>
              <w:t>/a。根据生态环境部发布的《排放源统计调查产排污核算方法和系数手册》（公告 2021年 第24号）</w:t>
            </w:r>
            <w:r>
              <w:rPr>
                <w:rFonts w:hint="eastAsia" w:ascii="宋体" w:hAnsi="宋体" w:eastAsia="宋体" w:cs="宋体"/>
                <w:color w:val="auto"/>
                <w:sz w:val="24"/>
              </w:rPr>
              <w:t>“</w:t>
            </w:r>
            <w:r>
              <w:rPr>
                <w:rFonts w:hint="default" w:ascii="Times New Roman" w:hAnsi="Times New Roman" w:cs="Times New Roman"/>
                <w:color w:val="auto"/>
                <w:sz w:val="24"/>
              </w:rPr>
              <w:t>附表 生活源产排污核算系数手册</w:t>
            </w:r>
            <w:r>
              <w:rPr>
                <w:rFonts w:hint="eastAsia" w:ascii="宋体" w:hAnsi="宋体" w:eastAsia="宋体" w:cs="宋体"/>
                <w:color w:val="auto"/>
                <w:sz w:val="24"/>
              </w:rPr>
              <w:t>”中“</w:t>
            </w:r>
            <w:r>
              <w:rPr>
                <w:rFonts w:hint="default" w:ascii="Times New Roman" w:hAnsi="Times New Roman" w:cs="Times New Roman"/>
                <w:color w:val="auto"/>
                <w:sz w:val="24"/>
              </w:rPr>
              <w:t>城镇生活污水产生量根据城镇生活用水量和折污系数计算。折污系数为0.8-0.9，其中，人均日生活用水量≤150升/人·天时，折污系数取0.8；人均日生活用水量</w:t>
            </w:r>
            <w:r>
              <w:rPr>
                <w:rFonts w:hint="eastAsia" w:ascii="宋体" w:hAnsi="宋体" w:eastAsia="宋体" w:cs="宋体"/>
                <w:color w:val="auto"/>
                <w:sz w:val="24"/>
              </w:rPr>
              <w:t>≥</w:t>
            </w:r>
            <w:r>
              <w:rPr>
                <w:rFonts w:hint="default" w:ascii="Times New Roman" w:hAnsi="Times New Roman" w:cs="Times New Roman"/>
                <w:color w:val="auto"/>
                <w:sz w:val="24"/>
              </w:rPr>
              <w:t>250升/人</w:t>
            </w:r>
            <w:r>
              <w:rPr>
                <w:rFonts w:hint="eastAsia" w:ascii="宋体" w:hAnsi="宋体" w:eastAsia="宋体" w:cs="宋体"/>
                <w:color w:val="auto"/>
                <w:sz w:val="24"/>
              </w:rPr>
              <w:t>·</w:t>
            </w:r>
            <w:r>
              <w:rPr>
                <w:rFonts w:hint="default" w:ascii="Times New Roman" w:hAnsi="Times New Roman" w:cs="Times New Roman"/>
                <w:color w:val="auto"/>
                <w:sz w:val="24"/>
              </w:rPr>
              <w:t>天时，取0.9；人均日生活用水量介于150升/人</w:t>
            </w:r>
            <w:r>
              <w:rPr>
                <w:rFonts w:hint="eastAsia" w:ascii="宋体" w:hAnsi="宋体" w:eastAsia="宋体" w:cs="宋体"/>
                <w:color w:val="auto"/>
                <w:sz w:val="24"/>
              </w:rPr>
              <w:t>·</w:t>
            </w:r>
            <w:r>
              <w:rPr>
                <w:rFonts w:hint="default" w:ascii="Times New Roman" w:hAnsi="Times New Roman" w:cs="Times New Roman"/>
                <w:color w:val="auto"/>
                <w:sz w:val="24"/>
              </w:rPr>
              <w:t>天和250升/人</w:t>
            </w:r>
            <w:r>
              <w:rPr>
                <w:rFonts w:hint="eastAsia" w:ascii="宋体" w:hAnsi="宋体" w:eastAsia="宋体" w:cs="宋体"/>
                <w:color w:val="auto"/>
                <w:sz w:val="24"/>
              </w:rPr>
              <w:t>·</w:t>
            </w:r>
            <w:r>
              <w:rPr>
                <w:rFonts w:hint="default" w:ascii="Times New Roman" w:hAnsi="Times New Roman" w:cs="Times New Roman"/>
                <w:color w:val="auto"/>
                <w:sz w:val="24"/>
              </w:rPr>
              <w:t>天间时，采用插值法确定</w:t>
            </w:r>
            <w:r>
              <w:rPr>
                <w:rFonts w:hint="eastAsia" w:ascii="Times New Roman" w:hAnsi="Times New Roman" w:cs="Times New Roman"/>
                <w:color w:val="auto"/>
                <w:sz w:val="24"/>
                <w:lang w:eastAsia="zh-CN"/>
              </w:rPr>
              <w:t>。</w:t>
            </w:r>
            <w:r>
              <w:rPr>
                <w:rFonts w:hint="eastAsia" w:ascii="宋体" w:hAnsi="宋体" w:eastAsia="宋体" w:cs="宋体"/>
                <w:color w:val="auto"/>
                <w:sz w:val="24"/>
              </w:rPr>
              <w:t>”</w:t>
            </w:r>
            <w:r>
              <w:rPr>
                <w:rFonts w:hint="default" w:ascii="Times New Roman" w:hAnsi="Times New Roman" w:cs="Times New Roman"/>
                <w:color w:val="auto"/>
                <w:sz w:val="24"/>
              </w:rPr>
              <w:t>因此</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本次评价生活污水产污系数取0.8，生活污水年产生量为</w:t>
            </w:r>
            <w:r>
              <w:rPr>
                <w:rFonts w:hint="eastAsia" w:cs="Times New Roman"/>
                <w:color w:val="auto"/>
                <w:sz w:val="24"/>
                <w:lang w:val="en-US" w:eastAsia="zh-CN"/>
              </w:rPr>
              <w:t>1920</w:t>
            </w:r>
            <w:r>
              <w:rPr>
                <w:rFonts w:hint="eastAsia" w:ascii="Times New Roman" w:hAnsi="Times New Roman" w:cs="Times New Roman"/>
                <w:color w:val="auto"/>
                <w:sz w:val="24"/>
                <w:lang w:val="en-US" w:eastAsia="zh-CN"/>
              </w:rPr>
              <w:t>t</w:t>
            </w:r>
            <w:r>
              <w:rPr>
                <w:rFonts w:hint="default" w:ascii="Times New Roman" w:hAnsi="Times New Roman" w:cs="Times New Roman"/>
                <w:color w:val="auto"/>
                <w:sz w:val="24"/>
              </w:rPr>
              <w:t>/a。</w:t>
            </w:r>
          </w:p>
          <w:p w14:paraId="18F57C1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lang w:eastAsia="zh-CN"/>
              </w:rPr>
            </w:pPr>
            <w:r>
              <w:rPr>
                <w:rFonts w:hint="eastAsia"/>
                <w:color w:val="auto"/>
                <w:sz w:val="24"/>
                <w:szCs w:val="32"/>
              </w:rPr>
              <w:t>②</w:t>
            </w:r>
            <w:r>
              <w:rPr>
                <w:rFonts w:hint="eastAsia"/>
                <w:color w:val="auto"/>
                <w:sz w:val="24"/>
                <w:szCs w:val="24"/>
                <w:lang w:eastAsia="zh-CN"/>
              </w:rPr>
              <w:t>食堂用水及排水</w:t>
            </w:r>
          </w:p>
          <w:p w14:paraId="74E1F1BC">
            <w:pPr>
              <w:widowControl/>
              <w:spacing w:line="360" w:lineRule="auto"/>
              <w:ind w:firstLine="480" w:firstLineChars="200"/>
              <w:rPr>
                <w:color w:val="auto"/>
                <w:sz w:val="24"/>
                <w:szCs w:val="32"/>
              </w:rPr>
            </w:pP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sz w:val="24"/>
                <w:lang w:val="en-US" w:eastAsia="zh-CN"/>
              </w:rPr>
              <w:t>现场</w:t>
            </w:r>
            <w:r>
              <w:rPr>
                <w:rFonts w:hint="default" w:ascii="Times New Roman" w:hAnsi="Times New Roman" w:eastAsia="宋体" w:cs="Times New Roman"/>
                <w:color w:val="auto"/>
                <w:sz w:val="24"/>
              </w:rPr>
              <w:t>员工</w:t>
            </w:r>
            <w:r>
              <w:rPr>
                <w:rFonts w:hint="default" w:ascii="Times New Roman" w:hAnsi="Times New Roman" w:eastAsia="宋体" w:cs="Times New Roman"/>
                <w:color w:val="auto"/>
                <w:sz w:val="24"/>
                <w:lang w:val="en-US" w:eastAsia="zh-CN"/>
              </w:rPr>
              <w:t>约</w:t>
            </w:r>
            <w:r>
              <w:rPr>
                <w:rFonts w:hint="eastAsia" w:cs="Times New Roman"/>
                <w:color w:val="auto"/>
                <w:sz w:val="24"/>
                <w:szCs w:val="32"/>
                <w:lang w:val="en-US" w:eastAsia="zh-CN"/>
              </w:rPr>
              <w:t>100</w:t>
            </w:r>
            <w:r>
              <w:rPr>
                <w:rFonts w:hint="default" w:ascii="Times New Roman" w:hAnsi="Times New Roman" w:eastAsia="宋体" w:cs="Times New Roman"/>
                <w:color w:val="auto"/>
                <w:sz w:val="24"/>
                <w:szCs w:val="32"/>
                <w:lang w:val="en-US" w:eastAsia="zh-CN"/>
              </w:rPr>
              <w:t>人</w:t>
            </w:r>
            <w:r>
              <w:rPr>
                <w:rFonts w:hint="default" w:ascii="Times New Roman" w:hAnsi="Times New Roman" w:eastAsia="宋体" w:cs="Times New Roman"/>
                <w:snapToGrid w:val="0"/>
                <w:color w:val="auto"/>
                <w:kern w:val="0"/>
                <w:sz w:val="24"/>
                <w:lang w:val="en-US" w:eastAsia="zh-CN"/>
              </w:rPr>
              <w:t>，根据</w:t>
            </w:r>
            <w:r>
              <w:rPr>
                <w:rFonts w:hint="eastAsia" w:cs="Times New Roman"/>
                <w:color w:val="auto"/>
                <w:sz w:val="24"/>
                <w:lang w:eastAsia="zh-CN"/>
              </w:rPr>
              <w:t>《</w:t>
            </w:r>
            <w:r>
              <w:rPr>
                <w:rFonts w:hint="default" w:ascii="Times New Roman" w:hAnsi="Times New Roman" w:cs="Times New Roman"/>
                <w:color w:val="auto"/>
                <w:sz w:val="24"/>
              </w:rPr>
              <w:t>江苏省工业、服务业和生活用水定</w:t>
            </w:r>
            <w:r>
              <w:rPr>
                <w:rFonts w:hint="eastAsia" w:ascii="Times New Roman" w:hAnsi="Times New Roman" w:cs="Times New Roman"/>
                <w:color w:val="auto"/>
                <w:sz w:val="24"/>
                <w:lang w:eastAsia="zh-CN"/>
              </w:rPr>
              <w:t>额</w:t>
            </w:r>
            <w:r>
              <w:rPr>
                <w:rFonts w:hint="eastAsia" w:cs="Times New Roman"/>
                <w:color w:val="auto"/>
                <w:sz w:val="24"/>
                <w:lang w:eastAsia="zh-CN"/>
              </w:rPr>
              <w:t>》</w:t>
            </w:r>
            <w:r>
              <w:rPr>
                <w:rFonts w:hint="default" w:ascii="Times New Roman" w:hAnsi="Times New Roman" w:cs="Times New Roman"/>
                <w:color w:val="auto"/>
                <w:sz w:val="24"/>
              </w:rPr>
              <w:t>（2014年修订）</w:t>
            </w:r>
            <w:r>
              <w:rPr>
                <w:rFonts w:hint="eastAsia" w:ascii="Times New Roman" w:hAnsi="Times New Roman" w:cs="Times New Roman"/>
                <w:color w:val="auto"/>
                <w:sz w:val="24"/>
                <w:lang w:eastAsia="zh-CN"/>
              </w:rPr>
              <w:t>，</w:t>
            </w:r>
            <w:r>
              <w:rPr>
                <w:rFonts w:hint="eastAsia" w:ascii="Times New Roman" w:hAnsi="Times New Roman" w:eastAsia="宋体" w:cs="Times New Roman"/>
                <w:snapToGrid w:val="0"/>
                <w:color w:val="auto"/>
                <w:kern w:val="0"/>
                <w:sz w:val="24"/>
                <w:lang w:val="en-US" w:eastAsia="zh-CN"/>
              </w:rPr>
              <w:t>食堂</w:t>
            </w:r>
            <w:r>
              <w:rPr>
                <w:rFonts w:hint="default" w:ascii="Times New Roman" w:hAnsi="Times New Roman" w:eastAsia="宋体" w:cs="Times New Roman"/>
                <w:snapToGrid w:val="0"/>
                <w:color w:val="auto"/>
                <w:kern w:val="0"/>
                <w:sz w:val="24"/>
                <w:lang w:val="en-US" w:eastAsia="zh-CN"/>
              </w:rPr>
              <w:t>用水量按</w:t>
            </w:r>
            <w:r>
              <w:rPr>
                <w:rFonts w:hint="eastAsia" w:eastAsia="宋体"/>
                <w:color w:val="auto"/>
                <w:sz w:val="24"/>
                <w:lang w:val="en-US" w:eastAsia="zh-CN"/>
              </w:rPr>
              <w:t>15</w:t>
            </w:r>
            <w:r>
              <w:rPr>
                <w:rFonts w:hint="eastAsia"/>
                <w:color w:val="auto"/>
                <w:sz w:val="24"/>
              </w:rPr>
              <w:t>L/人·</w:t>
            </w:r>
            <w:r>
              <w:rPr>
                <w:rFonts w:hint="eastAsia"/>
                <w:color w:val="auto"/>
                <w:sz w:val="24"/>
                <w:lang w:val="en-US" w:eastAsia="zh-CN"/>
              </w:rPr>
              <w:t>次</w:t>
            </w:r>
            <w:r>
              <w:rPr>
                <w:rFonts w:hint="default" w:ascii="Times New Roman" w:hAnsi="Times New Roman" w:eastAsia="宋体" w:cs="Times New Roman"/>
                <w:snapToGrid w:val="0"/>
                <w:color w:val="auto"/>
                <w:kern w:val="0"/>
                <w:sz w:val="24"/>
                <w:lang w:val="en-US" w:eastAsia="zh-CN"/>
              </w:rPr>
              <w:t>计，</w:t>
            </w:r>
            <w:r>
              <w:rPr>
                <w:rFonts w:hint="eastAsia" w:ascii="Times New Roman" w:hAnsi="Times New Roman" w:eastAsia="宋体" w:cs="Times New Roman"/>
                <w:snapToGrid w:val="0"/>
                <w:color w:val="auto"/>
                <w:kern w:val="0"/>
                <w:sz w:val="24"/>
                <w:lang w:val="en-US" w:eastAsia="zh-CN"/>
              </w:rPr>
              <w:t>以平均每人每天1餐计，</w:t>
            </w:r>
            <w:r>
              <w:rPr>
                <w:rFonts w:hint="default" w:ascii="Times New Roman" w:hAnsi="Times New Roman" w:eastAsia="宋体" w:cs="Times New Roman"/>
                <w:snapToGrid w:val="0"/>
                <w:color w:val="auto"/>
                <w:kern w:val="0"/>
                <w:sz w:val="24"/>
                <w:lang w:val="en-US" w:eastAsia="zh-CN"/>
              </w:rPr>
              <w:t>则建设项目营运期</w:t>
            </w:r>
            <w:r>
              <w:rPr>
                <w:rFonts w:hint="eastAsia" w:ascii="Times New Roman" w:hAnsi="Times New Roman" w:eastAsia="宋体" w:cs="Times New Roman"/>
                <w:snapToGrid w:val="0"/>
                <w:color w:val="auto"/>
                <w:kern w:val="0"/>
                <w:sz w:val="24"/>
                <w:lang w:val="en-US" w:eastAsia="zh-CN"/>
              </w:rPr>
              <w:t>食堂用水</w:t>
            </w:r>
            <w:r>
              <w:rPr>
                <w:rFonts w:hint="default" w:ascii="Times New Roman" w:hAnsi="Times New Roman" w:eastAsia="宋体" w:cs="Times New Roman"/>
                <w:snapToGrid w:val="0"/>
                <w:color w:val="auto"/>
                <w:kern w:val="0"/>
                <w:sz w:val="24"/>
                <w:lang w:val="en-US" w:eastAsia="zh-CN"/>
              </w:rPr>
              <w:t>量约为</w:t>
            </w:r>
            <w:r>
              <w:rPr>
                <w:rFonts w:hint="eastAsia" w:cs="Times New Roman"/>
                <w:snapToGrid w:val="0"/>
                <w:color w:val="auto"/>
                <w:kern w:val="0"/>
                <w:sz w:val="24"/>
                <w:lang w:val="en-US" w:eastAsia="zh-CN"/>
              </w:rPr>
              <w:t>450</w:t>
            </w:r>
            <w:r>
              <w:rPr>
                <w:rFonts w:hint="eastAsia" w:ascii="Times New Roman" w:hAnsi="Times New Roman" w:eastAsia="宋体" w:cs="Times New Roman"/>
                <w:snapToGrid w:val="0"/>
                <w:color w:val="auto"/>
                <w:kern w:val="0"/>
                <w:sz w:val="24"/>
                <w:lang w:val="en-US" w:eastAsia="zh-CN"/>
              </w:rPr>
              <w:t>t</w:t>
            </w:r>
            <w:r>
              <w:rPr>
                <w:rFonts w:hint="default" w:ascii="Times New Roman" w:hAnsi="Times New Roman" w:eastAsia="宋体" w:cs="Times New Roman"/>
                <w:snapToGrid w:val="0"/>
                <w:color w:val="auto"/>
                <w:kern w:val="0"/>
                <w:sz w:val="24"/>
                <w:lang w:val="en-US" w:eastAsia="zh-CN"/>
              </w:rPr>
              <w:t>/a，排放系数以0.</w:t>
            </w:r>
            <w:r>
              <w:rPr>
                <w:rFonts w:hint="eastAsia" w:cs="Times New Roman"/>
                <w:snapToGrid w:val="0"/>
                <w:color w:val="auto"/>
                <w:kern w:val="0"/>
                <w:sz w:val="24"/>
                <w:lang w:val="en-US" w:eastAsia="zh-CN"/>
              </w:rPr>
              <w:t>8</w:t>
            </w:r>
            <w:r>
              <w:rPr>
                <w:rFonts w:hint="default" w:ascii="Times New Roman" w:hAnsi="Times New Roman" w:eastAsia="宋体" w:cs="Times New Roman"/>
                <w:snapToGrid w:val="0"/>
                <w:color w:val="auto"/>
                <w:kern w:val="0"/>
                <w:sz w:val="24"/>
                <w:lang w:val="en-US" w:eastAsia="zh-CN"/>
              </w:rPr>
              <w:t>计，</w:t>
            </w:r>
            <w:r>
              <w:rPr>
                <w:rFonts w:hint="eastAsia" w:ascii="Times New Roman" w:hAnsi="Times New Roman" w:eastAsia="宋体" w:cs="Times New Roman"/>
                <w:snapToGrid w:val="0"/>
                <w:color w:val="auto"/>
                <w:kern w:val="0"/>
                <w:sz w:val="24"/>
                <w:lang w:val="en-US" w:eastAsia="zh-CN"/>
              </w:rPr>
              <w:t>食堂废水</w:t>
            </w:r>
            <w:r>
              <w:rPr>
                <w:rFonts w:hint="default" w:ascii="Times New Roman" w:hAnsi="Times New Roman" w:eastAsia="宋体" w:cs="Times New Roman"/>
                <w:snapToGrid w:val="0"/>
                <w:color w:val="auto"/>
                <w:kern w:val="0"/>
                <w:sz w:val="24"/>
                <w:lang w:val="en-US" w:eastAsia="zh-CN"/>
              </w:rPr>
              <w:t>产生量约为</w:t>
            </w:r>
            <w:r>
              <w:rPr>
                <w:rFonts w:hint="eastAsia" w:cs="Times New Roman"/>
                <w:snapToGrid w:val="0"/>
                <w:color w:val="auto"/>
                <w:kern w:val="0"/>
                <w:sz w:val="24"/>
                <w:lang w:val="en-US" w:eastAsia="zh-CN"/>
              </w:rPr>
              <w:t>360</w:t>
            </w:r>
            <w:r>
              <w:rPr>
                <w:rFonts w:hint="eastAsia" w:ascii="Times New Roman" w:hAnsi="Times New Roman" w:eastAsia="宋体" w:cs="Times New Roman"/>
                <w:snapToGrid w:val="0"/>
                <w:color w:val="auto"/>
                <w:kern w:val="0"/>
                <w:sz w:val="24"/>
                <w:lang w:val="en-US" w:eastAsia="zh-CN"/>
              </w:rPr>
              <w:t>t</w:t>
            </w:r>
            <w:r>
              <w:rPr>
                <w:rFonts w:hint="default" w:ascii="Times New Roman" w:hAnsi="Times New Roman" w:eastAsia="宋体" w:cs="Times New Roman"/>
                <w:snapToGrid w:val="0"/>
                <w:color w:val="auto"/>
                <w:kern w:val="0"/>
                <w:sz w:val="24"/>
                <w:lang w:val="en-US" w:eastAsia="zh-CN"/>
              </w:rPr>
              <w:t>/a。</w:t>
            </w:r>
          </w:p>
          <w:p w14:paraId="0E579848">
            <w:pPr>
              <w:widowControl/>
              <w:spacing w:line="360" w:lineRule="auto"/>
              <w:ind w:firstLine="480" w:firstLineChars="200"/>
              <w:rPr>
                <w:color w:val="auto"/>
                <w:sz w:val="24"/>
                <w:szCs w:val="32"/>
              </w:rPr>
            </w:pPr>
            <w:r>
              <w:rPr>
                <w:rFonts w:hint="eastAsia"/>
                <w:color w:val="auto"/>
                <w:sz w:val="24"/>
                <w:szCs w:val="32"/>
              </w:rPr>
              <w:t>本项目建成后水平衡如下图所示：</w:t>
            </w:r>
          </w:p>
          <w:p w14:paraId="004040BE">
            <w:pPr>
              <w:widowControl/>
              <w:spacing w:line="360" w:lineRule="auto"/>
              <w:jc w:val="center"/>
              <w:rPr>
                <w:rFonts w:hint="default" w:eastAsia="宋体"/>
                <w:b w:val="0"/>
                <w:bCs w:val="0"/>
                <w:color w:val="auto"/>
                <w:sz w:val="24"/>
                <w:lang w:val="en-US" w:eastAsia="zh-CN"/>
              </w:rPr>
            </w:pPr>
            <w:r>
              <w:rPr>
                <w:rFonts w:hint="eastAsia"/>
                <w:b/>
                <w:bCs/>
                <w:color w:val="auto"/>
                <w:sz w:val="24"/>
              </w:rPr>
              <w:object>
                <v:shape id="_x0000_i1025" o:spt="75" type="#_x0000_t75" style="height:228.75pt;width:422.25pt;" o:ole="t" filled="f" o:preferrelative="t" stroked="f" coordsize="21600,21600">
                  <v:path/>
                  <v:fill on="f" focussize="0,0"/>
                  <v:stroke on="f"/>
                  <v:imagedata r:id="rId13" o:title=""/>
                  <o:lock v:ext="edit" aspectratio="f"/>
                  <w10:wrap type="none"/>
                  <w10:anchorlock/>
                </v:shape>
                <o:OLEObject Type="Embed" ProgID="Visio.Drawing.15" ShapeID="_x0000_i1025" DrawAspect="Content" ObjectID="_1468075725" r:id="rId12">
                  <o:LockedField>false</o:LockedField>
                </o:OLEObject>
              </w:object>
            </w:r>
            <w:r>
              <w:rPr>
                <w:rFonts w:hint="eastAsia"/>
                <w:b/>
                <w:bCs/>
                <w:color w:val="auto"/>
                <w:sz w:val="24"/>
              </w:rPr>
              <w:t>图2-1 项目水平衡图</w:t>
            </w:r>
            <w:r>
              <w:rPr>
                <w:rFonts w:hint="eastAsia"/>
                <w:b/>
                <w:bCs/>
                <w:color w:val="auto"/>
                <w:sz w:val="24"/>
                <w:lang w:val="en-US" w:eastAsia="zh-CN"/>
              </w:rPr>
              <w:t xml:space="preserve">  </w:t>
            </w:r>
            <w:r>
              <w:rPr>
                <w:rFonts w:hint="eastAsia"/>
                <w:b w:val="0"/>
                <w:bCs w:val="0"/>
                <w:color w:val="auto"/>
                <w:sz w:val="24"/>
                <w:lang w:val="en-US" w:eastAsia="zh-CN"/>
              </w:rPr>
              <w:t>单位：t/a</w:t>
            </w:r>
          </w:p>
          <w:p w14:paraId="260E8700">
            <w:pPr>
              <w:widowControl/>
              <w:adjustRightInd w:val="0"/>
              <w:snapToGrid w:val="0"/>
              <w:ind w:firstLine="480" w:firstLineChars="200"/>
              <w:jc w:val="center"/>
              <w:rPr>
                <w:color w:val="auto"/>
                <w:sz w:val="24"/>
              </w:rPr>
            </w:pPr>
          </w:p>
        </w:tc>
      </w:tr>
    </w:tbl>
    <w:p w14:paraId="70E3223A">
      <w:pPr>
        <w:pStyle w:val="81"/>
        <w:adjustRightInd w:val="0"/>
        <w:snapToGrid w:val="0"/>
        <w:spacing w:before="0" w:beforeAutospacing="0" w:after="0" w:afterAutospacing="0"/>
        <w:jc w:val="center"/>
        <w:rPr>
          <w:rFonts w:ascii="Times New Roman" w:hAnsi="Times New Roman"/>
          <w:color w:val="auto"/>
          <w:szCs w:val="24"/>
          <w:lang w:val="en-US"/>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8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1"/>
        <w:gridCol w:w="13061"/>
      </w:tblGrid>
      <w:tr w14:paraId="760B2F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28" w:hRule="atLeast"/>
          <w:jc w:val="center"/>
        </w:trPr>
        <w:tc>
          <w:tcPr>
            <w:tcW w:w="591" w:type="dxa"/>
            <w:vAlign w:val="center"/>
          </w:tcPr>
          <w:p w14:paraId="020C1FC6">
            <w:pPr>
              <w:pStyle w:val="81"/>
              <w:adjustRightInd w:val="0"/>
              <w:snapToGrid w:val="0"/>
              <w:spacing w:before="0" w:beforeAutospacing="0" w:after="0" w:afterAutospacing="0"/>
              <w:jc w:val="center"/>
              <w:rPr>
                <w:rFonts w:ascii="Times New Roman" w:hAnsi="Times New Roman"/>
                <w:color w:val="auto"/>
                <w:szCs w:val="24"/>
                <w:lang w:val="en-US"/>
              </w:rPr>
            </w:pPr>
            <w:r>
              <w:rPr>
                <w:rFonts w:ascii="Times New Roman" w:hAnsi="Times New Roman"/>
                <w:color w:val="auto"/>
                <w:szCs w:val="24"/>
                <w:lang w:val="en-US"/>
              </w:rPr>
              <w:t>工艺流程和产排污环节</w:t>
            </w:r>
          </w:p>
        </w:tc>
        <w:tc>
          <w:tcPr>
            <w:tcW w:w="13061" w:type="dxa"/>
          </w:tcPr>
          <w:p w14:paraId="3C4B0D9B">
            <w:pPr>
              <w:pStyle w:val="70"/>
              <w:adjustRightInd w:val="0"/>
              <w:snapToGrid w:val="0"/>
              <w:ind w:firstLine="482"/>
              <w:rPr>
                <w:b/>
                <w:color w:val="auto"/>
                <w:sz w:val="24"/>
                <w:szCs w:val="24"/>
                <w:lang w:val="en-US"/>
              </w:rPr>
            </w:pPr>
            <w:r>
              <w:rPr>
                <w:b/>
                <w:color w:val="auto"/>
                <w:sz w:val="24"/>
                <w:szCs w:val="24"/>
                <w:lang w:val="en-US"/>
              </w:rPr>
              <w:t>工艺流程</w:t>
            </w:r>
          </w:p>
          <w:p w14:paraId="6D34E4C9">
            <w:pPr>
              <w:adjustRightInd w:val="0"/>
              <w:snapToGrid w:val="0"/>
              <w:ind w:firstLine="480" w:firstLineChars="200"/>
              <w:rPr>
                <w:color w:val="auto"/>
                <w:sz w:val="24"/>
              </w:rPr>
            </w:pPr>
            <w:r>
              <w:rPr>
                <w:rFonts w:hint="eastAsia"/>
                <w:color w:val="auto"/>
                <w:sz w:val="24"/>
              </w:rPr>
              <w:t>（1）本项目电机生产工艺流程</w:t>
            </w:r>
          </w:p>
          <w:p w14:paraId="52A5D4E9">
            <w:pPr>
              <w:adjustRightInd w:val="0"/>
              <w:snapToGrid w:val="0"/>
              <w:ind w:firstLine="482"/>
              <w:jc w:val="center"/>
              <w:rPr>
                <w:b/>
                <w:color w:val="auto"/>
                <w:sz w:val="24"/>
              </w:rPr>
            </w:pPr>
            <w:r>
              <w:rPr>
                <w:b/>
                <w:color w:val="auto"/>
                <w:sz w:val="24"/>
              </w:rPr>
              <w:object>
                <v:shape id="_x0000_i1026" o:spt="75" type="#_x0000_t75" style="height:387.1pt;width:558pt;" o:ole="t" filled="f" o:preferrelative="t" stroked="f" coordsize="21600,21600">
                  <v:path/>
                  <v:fill on="f" focussize="0,0"/>
                  <v:stroke on="f"/>
                  <v:imagedata r:id="rId15" o:title=""/>
                  <o:lock v:ext="edit" aspectratio="f"/>
                  <w10:wrap type="none"/>
                  <w10:anchorlock/>
                </v:shape>
                <o:OLEObject Type="Embed" ProgID="Visio.Drawing.15" ShapeID="_x0000_i1026" DrawAspect="Content" ObjectID="_1468075726" r:id="rId14">
                  <o:LockedField>false</o:LockedField>
                </o:OLEObject>
              </w:object>
            </w:r>
          </w:p>
          <w:p w14:paraId="72BE1026">
            <w:pPr>
              <w:adjustRightInd w:val="0"/>
              <w:snapToGrid w:val="0"/>
              <w:ind w:firstLine="482"/>
              <w:jc w:val="center"/>
              <w:rPr>
                <w:color w:val="auto"/>
                <w:sz w:val="24"/>
              </w:rPr>
            </w:pPr>
            <w:r>
              <w:rPr>
                <w:b/>
                <w:color w:val="auto"/>
                <w:sz w:val="24"/>
              </w:rPr>
              <w:t>图2-</w:t>
            </w:r>
            <w:r>
              <w:rPr>
                <w:rFonts w:hint="eastAsia"/>
                <w:b/>
                <w:color w:val="auto"/>
                <w:sz w:val="24"/>
              </w:rPr>
              <w:t>2</w:t>
            </w:r>
            <w:r>
              <w:rPr>
                <w:b/>
                <w:color w:val="auto"/>
                <w:sz w:val="24"/>
              </w:rPr>
              <w:t xml:space="preserve"> </w:t>
            </w:r>
            <w:r>
              <w:rPr>
                <w:rFonts w:hint="eastAsia"/>
                <w:b/>
                <w:color w:val="auto"/>
                <w:sz w:val="24"/>
              </w:rPr>
              <w:t>电机生产</w:t>
            </w:r>
            <w:r>
              <w:rPr>
                <w:b/>
                <w:color w:val="auto"/>
                <w:sz w:val="24"/>
              </w:rPr>
              <w:t>工艺流程及产污节点图</w:t>
            </w:r>
          </w:p>
        </w:tc>
      </w:tr>
    </w:tbl>
    <w:p w14:paraId="3E6E51A9">
      <w:pPr>
        <w:pStyle w:val="81"/>
        <w:adjustRightInd w:val="0"/>
        <w:snapToGrid w:val="0"/>
        <w:spacing w:before="0" w:beforeAutospacing="0" w:after="0" w:afterAutospacing="0"/>
        <w:jc w:val="center"/>
        <w:rPr>
          <w:rFonts w:ascii="Times New Roman" w:hAnsi="Times New Roman"/>
          <w:color w:val="auto"/>
          <w:szCs w:val="24"/>
          <w:lang w:val="en-US"/>
        </w:rPr>
        <w:sectPr>
          <w:type w:val="continuous"/>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tbl>
      <w:tblPr>
        <w:tblStyle w:val="88"/>
        <w:tblpPr w:leftFromText="180" w:rightFromText="180" w:vertAnchor="page" w:horzAnchor="page" w:tblpX="1647" w:tblpY="1735"/>
        <w:tblOverlap w:val="never"/>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2"/>
        <w:gridCol w:w="8668"/>
      </w:tblGrid>
      <w:tr w14:paraId="22A1FF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28" w:hRule="atLeast"/>
        </w:trPr>
        <w:tc>
          <w:tcPr>
            <w:tcW w:w="392" w:type="dxa"/>
            <w:vAlign w:val="center"/>
          </w:tcPr>
          <w:p w14:paraId="2C532478">
            <w:pPr>
              <w:pStyle w:val="81"/>
              <w:adjustRightInd w:val="0"/>
              <w:snapToGrid w:val="0"/>
              <w:spacing w:before="0" w:beforeAutospacing="0" w:after="0" w:afterAutospacing="0"/>
              <w:jc w:val="center"/>
              <w:rPr>
                <w:rFonts w:ascii="Times New Roman" w:hAnsi="Times New Roman"/>
                <w:color w:val="auto"/>
                <w:szCs w:val="24"/>
                <w:lang w:val="en-US"/>
              </w:rPr>
            </w:pPr>
          </w:p>
        </w:tc>
        <w:tc>
          <w:tcPr>
            <w:tcW w:w="8668" w:type="dxa"/>
          </w:tcPr>
          <w:p w14:paraId="71B46FBC">
            <w:pPr>
              <w:spacing w:line="360" w:lineRule="auto"/>
              <w:ind w:firstLine="480" w:firstLineChars="200"/>
              <w:rPr>
                <w:color w:val="auto"/>
                <w:sz w:val="24"/>
              </w:rPr>
            </w:pPr>
            <w:r>
              <w:rPr>
                <w:color w:val="auto"/>
                <w:sz w:val="24"/>
              </w:rPr>
              <w:t>工艺流程简述：</w:t>
            </w:r>
          </w:p>
          <w:p w14:paraId="0BCD73A1">
            <w:pPr>
              <w:spacing w:line="360" w:lineRule="auto"/>
              <w:ind w:firstLine="480" w:firstLineChars="200"/>
              <w:rPr>
                <w:color w:val="auto"/>
                <w:sz w:val="24"/>
              </w:rPr>
            </w:pPr>
            <w:r>
              <w:rPr>
                <w:rFonts w:hint="eastAsia"/>
                <w:color w:val="auto"/>
                <w:sz w:val="24"/>
              </w:rPr>
              <w:t>本项目电机组装组件主要包括定子组件、转子组件、端盖组件、风扇、编码器、热保护温度开关、外购标准件等，其中定子组件、转子组件、端盖组件均自行生产。</w:t>
            </w:r>
          </w:p>
          <w:p w14:paraId="435E1A39">
            <w:pPr>
              <w:spacing w:line="360" w:lineRule="auto"/>
              <w:ind w:firstLine="482" w:firstLineChars="200"/>
              <w:rPr>
                <w:b/>
                <w:bCs/>
                <w:color w:val="auto"/>
                <w:sz w:val="24"/>
              </w:rPr>
            </w:pPr>
            <w:r>
              <w:rPr>
                <w:rFonts w:hint="eastAsia"/>
                <w:b/>
                <w:bCs/>
                <w:color w:val="auto"/>
                <w:sz w:val="24"/>
              </w:rPr>
              <w:t>定子组件加工：</w:t>
            </w:r>
          </w:p>
          <w:p w14:paraId="4E6400D7">
            <w:pPr>
              <w:numPr>
                <w:ilvl w:val="0"/>
                <w:numId w:val="3"/>
              </w:numPr>
              <w:spacing w:line="360" w:lineRule="auto"/>
              <w:ind w:firstLine="480" w:firstLineChars="200"/>
              <w:rPr>
                <w:color w:val="auto"/>
                <w:sz w:val="24"/>
              </w:rPr>
            </w:pPr>
            <w:r>
              <w:rPr>
                <w:rFonts w:hint="eastAsia"/>
                <w:color w:val="auto"/>
                <w:sz w:val="24"/>
              </w:rPr>
              <w:t>冲片机加工：本项目定子铁芯和转子铁芯均采用冲片机冲压加工，冲压加工主要将原材料硅钢片通过高速冲床进行冲压形成定子铁芯或转子铁芯，冲床加工工序使用切削液进行润滑和冷却，此工序无粉尘产生。切削液循环使用，并定期更换，此工序会产生边角料S1、废切削液S2；</w:t>
            </w:r>
          </w:p>
          <w:p w14:paraId="0CBBF02D">
            <w:pPr>
              <w:numPr>
                <w:ilvl w:val="0"/>
                <w:numId w:val="3"/>
              </w:numPr>
              <w:spacing w:line="360" w:lineRule="auto"/>
              <w:ind w:firstLine="480" w:firstLineChars="200"/>
              <w:rPr>
                <w:color w:val="auto"/>
                <w:sz w:val="24"/>
              </w:rPr>
            </w:pPr>
            <w:r>
              <w:rPr>
                <w:rFonts w:hint="eastAsia"/>
                <w:color w:val="auto"/>
                <w:sz w:val="24"/>
              </w:rPr>
              <w:t>配件下料：利用激光切割机将冲片成型的定子铁芯/转子铁芯</w:t>
            </w:r>
            <w:r>
              <w:rPr>
                <w:rFonts w:hint="eastAsia"/>
                <w:color w:val="auto"/>
                <w:sz w:val="24"/>
                <w:lang w:eastAsia="zh-CN"/>
              </w:rPr>
              <w:t>进行切割，</w:t>
            </w:r>
            <w:r>
              <w:rPr>
                <w:rFonts w:hint="eastAsia"/>
                <w:color w:val="auto"/>
                <w:sz w:val="24"/>
              </w:rPr>
              <w:t>此工序会产生切割粉尘G1；</w:t>
            </w:r>
          </w:p>
          <w:p w14:paraId="43FFE0B8">
            <w:pPr>
              <w:numPr>
                <w:ilvl w:val="0"/>
                <w:numId w:val="3"/>
              </w:numPr>
              <w:spacing w:line="360" w:lineRule="auto"/>
              <w:ind w:firstLine="480" w:firstLineChars="200"/>
              <w:rPr>
                <w:color w:val="auto"/>
                <w:sz w:val="24"/>
              </w:rPr>
            </w:pPr>
            <w:r>
              <w:rPr>
                <w:rFonts w:hint="eastAsia"/>
                <w:color w:val="auto"/>
                <w:sz w:val="24"/>
              </w:rPr>
              <w:t>线圈绕制：变频漆包线通过全自动绕线机对电机线圈进行绕制处理；</w:t>
            </w:r>
          </w:p>
          <w:p w14:paraId="5009FA87">
            <w:pPr>
              <w:numPr>
                <w:ilvl w:val="0"/>
                <w:numId w:val="3"/>
              </w:numPr>
              <w:spacing w:line="360" w:lineRule="auto"/>
              <w:ind w:firstLine="480" w:firstLineChars="200"/>
              <w:rPr>
                <w:color w:val="auto"/>
                <w:sz w:val="24"/>
              </w:rPr>
            </w:pPr>
            <w:r>
              <w:rPr>
                <w:rFonts w:hint="eastAsia"/>
                <w:color w:val="auto"/>
                <w:sz w:val="24"/>
              </w:rPr>
              <w:t>下线整型：绕好的线圈进行引线处理，并使用铁芯夹机对定子压入铁芯夹，此工序会产生废漆包线S3；</w:t>
            </w:r>
          </w:p>
          <w:p w14:paraId="4830A943">
            <w:pPr>
              <w:numPr>
                <w:ilvl w:val="0"/>
                <w:numId w:val="3"/>
              </w:numPr>
              <w:spacing w:line="360" w:lineRule="auto"/>
              <w:ind w:firstLine="480" w:firstLineChars="200"/>
              <w:rPr>
                <w:color w:val="auto"/>
                <w:sz w:val="24"/>
              </w:rPr>
            </w:pPr>
            <w:r>
              <w:rPr>
                <w:rFonts w:hint="eastAsia"/>
                <w:color w:val="auto"/>
                <w:sz w:val="24"/>
              </w:rPr>
              <w:t>焊接：使用氢氧焊机（以水为介质，通电将水进行电化学分解产生氢气和氧气，以氢气为燃料，氧气助燃，经专用氢氧火焰枪点火形成氢氧焰，对工件进行焊接作业）熔化焊锡丝，使绕线接头与电缆线焊接，本项目焊锡丝用量很少</w:t>
            </w:r>
            <w:r>
              <w:rPr>
                <w:rFonts w:hint="eastAsia"/>
                <w:color w:val="auto"/>
                <w:sz w:val="24"/>
                <w:lang w:eastAsia="zh-CN"/>
              </w:rPr>
              <w:t>（</w:t>
            </w:r>
            <w:r>
              <w:rPr>
                <w:rFonts w:hint="eastAsia"/>
                <w:color w:val="auto"/>
                <w:sz w:val="24"/>
                <w:lang w:val="en-US" w:eastAsia="zh-CN"/>
              </w:rPr>
              <w:t>0.01t/a</w:t>
            </w:r>
            <w:r>
              <w:rPr>
                <w:rFonts w:hint="eastAsia"/>
                <w:color w:val="auto"/>
                <w:sz w:val="24"/>
                <w:lang w:eastAsia="zh-CN"/>
              </w:rPr>
              <w:t>）</w:t>
            </w:r>
            <w:r>
              <w:rPr>
                <w:rFonts w:hint="eastAsia"/>
                <w:color w:val="auto"/>
                <w:sz w:val="24"/>
              </w:rPr>
              <w:t>，使用氢氧焊机焊接过程会产生微量烟尘，产生量极少，本次环评不予量化分析；</w:t>
            </w:r>
          </w:p>
          <w:p w14:paraId="1B67F6EA">
            <w:pPr>
              <w:numPr>
                <w:ilvl w:val="0"/>
                <w:numId w:val="3"/>
              </w:numPr>
              <w:spacing w:line="360" w:lineRule="auto"/>
              <w:ind w:firstLine="480" w:firstLineChars="200"/>
              <w:rPr>
                <w:color w:val="auto"/>
                <w:sz w:val="24"/>
              </w:rPr>
            </w:pPr>
            <w:r>
              <w:rPr>
                <w:rFonts w:hint="eastAsia"/>
                <w:color w:val="auto"/>
                <w:sz w:val="24"/>
              </w:rPr>
              <w:t>定子综合测试：采用定子综合测试仪对焊接完成后定子进行综合测试，测试项目包括直流电阻、绝缘电阻、匝间测试、耐压测试、电机转向测试、电感测试等，此工序均为物理测试，不使用药剂，测试过程会产生测试不合格品S4；</w:t>
            </w:r>
          </w:p>
          <w:p w14:paraId="47366A5A">
            <w:pPr>
              <w:numPr>
                <w:ilvl w:val="0"/>
                <w:numId w:val="3"/>
              </w:numPr>
              <w:spacing w:line="360" w:lineRule="auto"/>
              <w:ind w:firstLine="480" w:firstLineChars="200"/>
              <w:rPr>
                <w:color w:val="auto"/>
                <w:sz w:val="24"/>
              </w:rPr>
            </w:pPr>
            <w:r>
              <w:rPr>
                <w:rFonts w:hint="eastAsia"/>
                <w:color w:val="auto"/>
                <w:sz w:val="24"/>
              </w:rPr>
              <w:t>定子浸漆：将工件放在浸漆架上进入定子真空浸漆系统，待系统</w:t>
            </w:r>
            <w:r>
              <w:rPr>
                <w:rFonts w:hint="eastAsia"/>
                <w:color w:val="auto"/>
                <w:sz w:val="24"/>
                <w:lang w:eastAsia="zh-CN"/>
              </w:rPr>
              <w:t>呈</w:t>
            </w:r>
            <w:r>
              <w:rPr>
                <w:rFonts w:hint="eastAsia"/>
                <w:color w:val="auto"/>
                <w:sz w:val="24"/>
              </w:rPr>
              <w:t>真空状，保持真空浸泡，浸漆温度控制在35-40℃，浸漆时间为20</w:t>
            </w:r>
            <w:r>
              <w:rPr>
                <w:rFonts w:hint="eastAsia"/>
                <w:color w:val="auto"/>
                <w:sz w:val="24"/>
                <w:lang w:eastAsia="zh-CN"/>
              </w:rPr>
              <w:t>～</w:t>
            </w:r>
            <w:r>
              <w:rPr>
                <w:rFonts w:hint="eastAsia"/>
                <w:color w:val="auto"/>
                <w:sz w:val="24"/>
              </w:rPr>
              <w:t>30分钟，</w:t>
            </w:r>
            <w:r>
              <w:rPr>
                <w:rFonts w:hint="eastAsia"/>
                <w:color w:val="auto"/>
                <w:sz w:val="24"/>
                <w:lang w:eastAsia="zh-CN"/>
              </w:rPr>
              <w:t>此工序会产生浸漆废气</w:t>
            </w:r>
            <w:r>
              <w:rPr>
                <w:rFonts w:hint="eastAsia"/>
                <w:color w:val="auto"/>
                <w:sz w:val="24"/>
                <w:lang w:val="en-US" w:eastAsia="zh-CN"/>
              </w:rPr>
              <w:t>G2；</w:t>
            </w:r>
          </w:p>
          <w:p w14:paraId="5CB7BE5D">
            <w:pPr>
              <w:numPr>
                <w:ilvl w:val="0"/>
                <w:numId w:val="3"/>
              </w:numPr>
              <w:spacing w:line="360" w:lineRule="auto"/>
              <w:ind w:firstLine="480" w:firstLineChars="200"/>
              <w:rPr>
                <w:color w:val="auto"/>
                <w:sz w:val="24"/>
              </w:rPr>
            </w:pPr>
            <w:r>
              <w:rPr>
                <w:rFonts w:hint="eastAsia"/>
                <w:color w:val="auto"/>
                <w:sz w:val="24"/>
                <w:lang w:eastAsia="zh-CN"/>
              </w:rPr>
              <w:t>烘干：浸漆后的定子送至密闭烘干房内，利用热风烘干机进行烘干，烘干温度约</w:t>
            </w:r>
            <w:r>
              <w:rPr>
                <w:rFonts w:hint="eastAsia"/>
                <w:color w:val="auto"/>
                <w:sz w:val="24"/>
                <w:lang w:val="en-US" w:eastAsia="zh-CN"/>
              </w:rPr>
              <w:t>120-150</w:t>
            </w:r>
            <w:r>
              <w:rPr>
                <w:rFonts w:hint="eastAsia"/>
                <w:color w:val="auto"/>
                <w:sz w:val="24"/>
              </w:rPr>
              <w:t>℃</w:t>
            </w:r>
            <w:r>
              <w:rPr>
                <w:rFonts w:hint="eastAsia"/>
                <w:color w:val="auto"/>
                <w:sz w:val="24"/>
                <w:lang w:eastAsia="zh-CN"/>
              </w:rPr>
              <w:t>，每批次烘干时间约</w:t>
            </w:r>
            <w:r>
              <w:rPr>
                <w:rFonts w:hint="eastAsia"/>
                <w:color w:val="auto"/>
                <w:sz w:val="24"/>
                <w:lang w:val="en-US" w:eastAsia="zh-CN"/>
              </w:rPr>
              <w:t>2h</w:t>
            </w:r>
            <w:r>
              <w:rPr>
                <w:rFonts w:hint="eastAsia"/>
                <w:color w:val="auto"/>
                <w:sz w:val="24"/>
                <w:lang w:eastAsia="zh-CN"/>
              </w:rPr>
              <w:t>，热风烘干机以电作为能源，</w:t>
            </w:r>
            <w:r>
              <w:rPr>
                <w:rFonts w:hint="eastAsia"/>
                <w:color w:val="auto"/>
                <w:sz w:val="24"/>
              </w:rPr>
              <w:t>烘干过程会产生烘干废气G</w:t>
            </w:r>
            <w:r>
              <w:rPr>
                <w:rFonts w:hint="eastAsia"/>
                <w:color w:val="auto"/>
                <w:sz w:val="24"/>
                <w:lang w:val="en-US" w:eastAsia="zh-CN"/>
              </w:rPr>
              <w:t>3；</w:t>
            </w:r>
          </w:p>
          <w:p w14:paraId="29536C93">
            <w:pPr>
              <w:numPr>
                <w:ilvl w:val="0"/>
                <w:numId w:val="3"/>
              </w:numPr>
              <w:spacing w:line="360" w:lineRule="auto"/>
              <w:ind w:firstLine="480" w:firstLineChars="200"/>
              <w:rPr>
                <w:color w:val="auto"/>
                <w:sz w:val="24"/>
              </w:rPr>
            </w:pPr>
            <w:r>
              <w:rPr>
                <w:rFonts w:hint="eastAsia"/>
                <w:color w:val="auto"/>
                <w:sz w:val="24"/>
              </w:rPr>
              <w:t>机壳机加工：原材料铸铁壳、铝拉伸壳通过数控车床对其进行加工处理，机壳加工工序使用切削液进行润滑和冷却。切削液循环使用，并定期更换，此工序会产生边角料S1、废切削液S2；</w:t>
            </w:r>
          </w:p>
          <w:p w14:paraId="550393FE">
            <w:pPr>
              <w:numPr>
                <w:ilvl w:val="0"/>
                <w:numId w:val="3"/>
              </w:numPr>
              <w:spacing w:line="360" w:lineRule="auto"/>
              <w:ind w:firstLine="480" w:firstLineChars="200"/>
              <w:rPr>
                <w:color w:val="auto"/>
                <w:sz w:val="24"/>
              </w:rPr>
            </w:pPr>
            <w:r>
              <w:rPr>
                <w:rFonts w:hint="eastAsia"/>
                <w:color w:val="auto"/>
                <w:sz w:val="24"/>
              </w:rPr>
              <w:t>定子装配：将加工后的机壳与浸漆后的定子按要求进行组装；</w:t>
            </w:r>
          </w:p>
          <w:p w14:paraId="130F1F1B">
            <w:pPr>
              <w:numPr>
                <w:ilvl w:val="0"/>
                <w:numId w:val="3"/>
              </w:numPr>
              <w:spacing w:line="360" w:lineRule="auto"/>
              <w:ind w:firstLine="480" w:firstLineChars="200"/>
              <w:rPr>
                <w:color w:val="auto"/>
                <w:sz w:val="24"/>
              </w:rPr>
            </w:pPr>
            <w:r>
              <w:rPr>
                <w:rFonts w:hint="eastAsia"/>
                <w:color w:val="auto"/>
                <w:sz w:val="24"/>
              </w:rPr>
              <w:t>接线：组装好的定子进行接线，将绕线接头连接到对应的接线柱上，形成定子组件；</w:t>
            </w:r>
          </w:p>
          <w:p w14:paraId="4817B321">
            <w:pPr>
              <w:spacing w:line="360" w:lineRule="auto"/>
              <w:ind w:firstLine="482" w:firstLineChars="200"/>
              <w:rPr>
                <w:b/>
                <w:bCs/>
                <w:color w:val="auto"/>
                <w:sz w:val="24"/>
              </w:rPr>
            </w:pPr>
            <w:r>
              <w:rPr>
                <w:rFonts w:hint="eastAsia"/>
                <w:b/>
                <w:bCs/>
                <w:color w:val="auto"/>
                <w:sz w:val="24"/>
              </w:rPr>
              <w:t>转子组件加工：</w:t>
            </w:r>
          </w:p>
          <w:p w14:paraId="3B7B1F15">
            <w:pPr>
              <w:spacing w:line="360" w:lineRule="auto"/>
              <w:ind w:firstLine="480" w:firstLineChars="200"/>
              <w:rPr>
                <w:color w:val="auto"/>
                <w:sz w:val="24"/>
              </w:rPr>
            </w:pPr>
            <w:r>
              <w:rPr>
                <w:rFonts w:hint="eastAsia"/>
                <w:color w:val="auto"/>
                <w:sz w:val="24"/>
              </w:rPr>
              <w:t>A.磁钢安装：转子铁芯与磁钢进行组装；</w:t>
            </w:r>
          </w:p>
          <w:p w14:paraId="635DB117">
            <w:pPr>
              <w:spacing w:line="360" w:lineRule="auto"/>
              <w:ind w:firstLine="480" w:firstLineChars="200"/>
              <w:rPr>
                <w:color w:val="auto"/>
                <w:sz w:val="24"/>
              </w:rPr>
            </w:pPr>
            <w:r>
              <w:rPr>
                <w:rFonts w:hint="eastAsia"/>
                <w:color w:val="auto"/>
                <w:sz w:val="24"/>
              </w:rPr>
              <w:t>B.转轴机加工：通过数控车床、数控磨床对轴承进行加工处理，转轴加工工序使用切削液进行润滑冷却，此工序无粉尘产生。切削液循环使用，并定期更换，此工序会产生边角料S1、废切削液S2；</w:t>
            </w:r>
          </w:p>
          <w:p w14:paraId="4B8C2CF7">
            <w:pPr>
              <w:spacing w:line="360" w:lineRule="auto"/>
              <w:ind w:firstLine="480" w:firstLineChars="200"/>
              <w:rPr>
                <w:color w:val="auto"/>
                <w:sz w:val="24"/>
              </w:rPr>
            </w:pPr>
            <w:r>
              <w:rPr>
                <w:rFonts w:hint="eastAsia"/>
                <w:color w:val="auto"/>
                <w:sz w:val="24"/>
              </w:rPr>
              <w:t>C.转轴组件安装：加工完成后的转轴与磁钢进行组件安装；</w:t>
            </w:r>
          </w:p>
          <w:p w14:paraId="5BA60EFB">
            <w:pPr>
              <w:spacing w:line="360" w:lineRule="auto"/>
              <w:ind w:firstLine="480" w:firstLineChars="200"/>
              <w:rPr>
                <w:color w:val="auto"/>
                <w:sz w:val="24"/>
              </w:rPr>
            </w:pPr>
            <w:r>
              <w:rPr>
                <w:rFonts w:hint="eastAsia"/>
                <w:color w:val="auto"/>
                <w:sz w:val="24"/>
              </w:rPr>
              <w:t>D.转子动平衡测试：组装完成后的转子通过转子动平衡测试仪进行转子动平衡测试，测试过程不使用药剂，测试合格后成为转子组件，此工序会产生测试不合格品S4；</w:t>
            </w:r>
          </w:p>
          <w:p w14:paraId="5F77B14F">
            <w:pPr>
              <w:spacing w:line="360" w:lineRule="auto"/>
              <w:ind w:firstLine="482" w:firstLineChars="200"/>
              <w:rPr>
                <w:b/>
                <w:bCs/>
                <w:color w:val="auto"/>
                <w:sz w:val="24"/>
              </w:rPr>
            </w:pPr>
            <w:r>
              <w:rPr>
                <w:rFonts w:hint="eastAsia"/>
                <w:b/>
                <w:bCs/>
                <w:color w:val="auto"/>
                <w:sz w:val="24"/>
              </w:rPr>
              <w:t>端盖组件加工：</w:t>
            </w:r>
          </w:p>
          <w:p w14:paraId="6935F737">
            <w:pPr>
              <w:spacing w:line="360" w:lineRule="auto"/>
              <w:ind w:firstLine="480" w:firstLineChars="200"/>
              <w:rPr>
                <w:color w:val="auto"/>
                <w:sz w:val="24"/>
              </w:rPr>
            </w:pPr>
            <w:r>
              <w:rPr>
                <w:rFonts w:hint="eastAsia"/>
                <w:color w:val="auto"/>
                <w:sz w:val="24"/>
              </w:rPr>
              <w:t>A.端盖机加工：将端盖加工原材料Q235钢板通过冲床冲压加工成端盖组件，</w:t>
            </w:r>
            <w:r>
              <w:rPr>
                <w:rFonts w:hint="eastAsia"/>
                <w:color w:val="auto"/>
                <w:sz w:val="24"/>
                <w:lang w:eastAsia="zh-CN"/>
              </w:rPr>
              <w:t>冲床机加工过程</w:t>
            </w:r>
            <w:r>
              <w:rPr>
                <w:rFonts w:hint="eastAsia"/>
                <w:color w:val="auto"/>
                <w:sz w:val="24"/>
              </w:rPr>
              <w:t>使用切削液进行润滑冷却，此工序无粉尘产生。切削液循环使用，并定期更换，此工序会产生边角料S1、废切削液S2；</w:t>
            </w:r>
          </w:p>
          <w:p w14:paraId="59FDE4CC">
            <w:pPr>
              <w:spacing w:line="360" w:lineRule="auto"/>
              <w:ind w:firstLine="482" w:firstLineChars="200"/>
              <w:rPr>
                <w:color w:val="auto"/>
                <w:sz w:val="24"/>
              </w:rPr>
            </w:pPr>
            <w:r>
              <w:rPr>
                <w:rFonts w:hint="eastAsia"/>
                <w:b/>
                <w:bCs/>
                <w:color w:val="auto"/>
                <w:sz w:val="24"/>
              </w:rPr>
              <w:t>电机总装：</w:t>
            </w:r>
            <w:r>
              <w:rPr>
                <w:rFonts w:hint="eastAsia"/>
                <w:color w:val="auto"/>
                <w:sz w:val="24"/>
              </w:rPr>
              <w:t>将定子组件、转子组件、端盖组件、编码器组件、风扇、热保护温度开关、外购标准件等各组件在产品组装线上完成电机成品的装配；</w:t>
            </w:r>
          </w:p>
          <w:p w14:paraId="3968B7BE">
            <w:pPr>
              <w:spacing w:line="360" w:lineRule="auto"/>
              <w:ind w:firstLine="482" w:firstLineChars="200"/>
              <w:rPr>
                <w:color w:val="auto"/>
                <w:sz w:val="24"/>
              </w:rPr>
            </w:pPr>
            <w:r>
              <w:rPr>
                <w:rFonts w:hint="eastAsia"/>
                <w:b/>
                <w:bCs/>
                <w:color w:val="auto"/>
                <w:sz w:val="24"/>
              </w:rPr>
              <w:t>整机测试：</w:t>
            </w:r>
            <w:r>
              <w:rPr>
                <w:rFonts w:hint="eastAsia"/>
                <w:color w:val="auto"/>
                <w:sz w:val="24"/>
              </w:rPr>
              <w:t>组装好的电机成品通过电机负载测试平台进行整机测试，测试过程不使用药剂，此工序会产生测试不合格品S4；</w:t>
            </w:r>
          </w:p>
          <w:p w14:paraId="70C65F5F">
            <w:pPr>
              <w:spacing w:line="360" w:lineRule="auto"/>
              <w:ind w:firstLine="482" w:firstLineChars="200"/>
              <w:rPr>
                <w:rFonts w:hint="default" w:eastAsia="宋体"/>
                <w:color w:val="auto"/>
                <w:sz w:val="24"/>
                <w:lang w:val="en-US" w:eastAsia="zh-CN"/>
              </w:rPr>
            </w:pPr>
            <w:r>
              <w:rPr>
                <w:rFonts w:hint="eastAsia"/>
                <w:b/>
                <w:bCs/>
                <w:color w:val="auto"/>
                <w:sz w:val="24"/>
              </w:rPr>
              <w:t>喷漆：</w:t>
            </w:r>
            <w:r>
              <w:rPr>
                <w:rFonts w:hint="eastAsia"/>
                <w:color w:val="auto"/>
                <w:sz w:val="24"/>
              </w:rPr>
              <w:t>测试合格的电机进入</w:t>
            </w:r>
            <w:r>
              <w:rPr>
                <w:rFonts w:hint="eastAsia"/>
                <w:snapToGrid w:val="0"/>
                <w:color w:val="auto"/>
                <w:kern w:val="0"/>
                <w:sz w:val="24"/>
              </w:rPr>
              <w:t>密闭喷漆房</w:t>
            </w:r>
            <w:r>
              <w:rPr>
                <w:rFonts w:hint="eastAsia"/>
                <w:color w:val="auto"/>
                <w:sz w:val="24"/>
              </w:rPr>
              <w:t>，采用低压高雾化喷枪进行喷漆处理，</w:t>
            </w:r>
            <w:r>
              <w:rPr>
                <w:rFonts w:hint="eastAsia"/>
                <w:color w:val="auto"/>
                <w:sz w:val="24"/>
                <w:lang w:eastAsia="zh-CN"/>
              </w:rPr>
              <w:t>此工序会产生喷漆废气</w:t>
            </w:r>
            <w:r>
              <w:rPr>
                <w:rFonts w:hint="eastAsia"/>
                <w:color w:val="auto"/>
                <w:sz w:val="24"/>
                <w:lang w:val="en-US" w:eastAsia="zh-CN"/>
              </w:rPr>
              <w:t>G4；</w:t>
            </w:r>
          </w:p>
          <w:p w14:paraId="394D53E6">
            <w:pPr>
              <w:spacing w:line="360" w:lineRule="auto"/>
              <w:ind w:firstLine="482" w:firstLineChars="200"/>
              <w:rPr>
                <w:color w:val="auto"/>
                <w:sz w:val="24"/>
              </w:rPr>
            </w:pPr>
            <w:r>
              <w:rPr>
                <w:rFonts w:hint="eastAsia"/>
                <w:b/>
                <w:bCs/>
                <w:color w:val="auto"/>
                <w:sz w:val="24"/>
                <w:lang w:eastAsia="zh-CN"/>
              </w:rPr>
              <w:t>烘干</w:t>
            </w:r>
            <w:r>
              <w:rPr>
                <w:rFonts w:hint="eastAsia"/>
                <w:color w:val="auto"/>
                <w:sz w:val="24"/>
                <w:lang w:eastAsia="zh-CN"/>
              </w:rPr>
              <w:t>：</w:t>
            </w:r>
            <w:r>
              <w:rPr>
                <w:rFonts w:hint="eastAsia"/>
                <w:color w:val="auto"/>
                <w:sz w:val="24"/>
              </w:rPr>
              <w:t>喷漆后</w:t>
            </w:r>
            <w:r>
              <w:rPr>
                <w:rFonts w:hint="eastAsia"/>
                <w:color w:val="auto"/>
                <w:sz w:val="24"/>
                <w:lang w:eastAsia="zh-CN"/>
              </w:rPr>
              <w:t>的</w:t>
            </w:r>
            <w:r>
              <w:rPr>
                <w:rFonts w:hint="eastAsia"/>
                <w:color w:val="auto"/>
                <w:sz w:val="24"/>
              </w:rPr>
              <w:t>电机</w:t>
            </w:r>
            <w:r>
              <w:rPr>
                <w:rFonts w:hint="eastAsia"/>
                <w:color w:val="auto"/>
                <w:sz w:val="24"/>
                <w:lang w:eastAsia="zh-CN"/>
              </w:rPr>
              <w:t>送至密闭烘干</w:t>
            </w:r>
            <w:r>
              <w:rPr>
                <w:rFonts w:hint="eastAsia"/>
                <w:color w:val="auto"/>
                <w:sz w:val="24"/>
              </w:rPr>
              <w:t>房内</w:t>
            </w:r>
            <w:r>
              <w:rPr>
                <w:rFonts w:hint="eastAsia"/>
                <w:color w:val="auto"/>
                <w:sz w:val="24"/>
                <w:lang w:eastAsia="zh-CN"/>
              </w:rPr>
              <w:t>，利用热风烘干机进行烘干，烘干温度约</w:t>
            </w:r>
            <w:r>
              <w:rPr>
                <w:rFonts w:hint="eastAsia"/>
                <w:color w:val="auto"/>
                <w:sz w:val="24"/>
                <w:lang w:val="en-US" w:eastAsia="zh-CN"/>
              </w:rPr>
              <w:t>120-150</w:t>
            </w:r>
            <w:r>
              <w:rPr>
                <w:rFonts w:hint="eastAsia"/>
                <w:color w:val="auto"/>
                <w:sz w:val="24"/>
              </w:rPr>
              <w:t>℃</w:t>
            </w:r>
            <w:r>
              <w:rPr>
                <w:rFonts w:hint="eastAsia"/>
                <w:color w:val="auto"/>
                <w:sz w:val="24"/>
                <w:lang w:eastAsia="zh-CN"/>
              </w:rPr>
              <w:t>，每批次烘干时间约</w:t>
            </w:r>
            <w:r>
              <w:rPr>
                <w:rFonts w:hint="eastAsia"/>
                <w:color w:val="auto"/>
                <w:sz w:val="24"/>
                <w:lang w:val="en-US" w:eastAsia="zh-CN"/>
              </w:rPr>
              <w:t>2h</w:t>
            </w:r>
            <w:r>
              <w:rPr>
                <w:rFonts w:hint="eastAsia"/>
                <w:color w:val="auto"/>
                <w:sz w:val="24"/>
                <w:lang w:eastAsia="zh-CN"/>
              </w:rPr>
              <w:t>，热风烘干机以电作为能源，</w:t>
            </w:r>
            <w:r>
              <w:rPr>
                <w:rFonts w:hint="eastAsia"/>
                <w:color w:val="auto"/>
                <w:sz w:val="24"/>
              </w:rPr>
              <w:t>烘干过程会产生烘干废气G</w:t>
            </w:r>
            <w:r>
              <w:rPr>
                <w:rFonts w:hint="eastAsia"/>
                <w:color w:val="auto"/>
                <w:sz w:val="24"/>
                <w:lang w:val="en-US" w:eastAsia="zh-CN"/>
              </w:rPr>
              <w:t>5</w:t>
            </w:r>
            <w:r>
              <w:rPr>
                <w:rFonts w:hint="eastAsia"/>
                <w:color w:val="auto"/>
                <w:sz w:val="24"/>
              </w:rPr>
              <w:t>；</w:t>
            </w:r>
          </w:p>
          <w:p w14:paraId="017B7D89">
            <w:pPr>
              <w:spacing w:line="360" w:lineRule="auto"/>
              <w:ind w:firstLine="482" w:firstLineChars="200"/>
              <w:rPr>
                <w:color w:val="auto"/>
                <w:sz w:val="24"/>
              </w:rPr>
            </w:pPr>
            <w:r>
              <w:rPr>
                <w:rFonts w:hint="eastAsia"/>
                <w:b/>
                <w:bCs/>
                <w:color w:val="auto"/>
                <w:sz w:val="24"/>
              </w:rPr>
              <w:t>包装入库：</w:t>
            </w:r>
            <w:r>
              <w:rPr>
                <w:rFonts w:hint="eastAsia"/>
                <w:color w:val="auto"/>
                <w:sz w:val="24"/>
              </w:rPr>
              <w:t>处理完成后的电机成品按照要求进行打包处理，暂存于仓库内。</w:t>
            </w:r>
          </w:p>
          <w:p w14:paraId="073D2E9C">
            <w:pPr>
              <w:widowControl/>
              <w:adjustRightInd w:val="0"/>
              <w:snapToGrid w:val="0"/>
              <w:spacing w:line="360" w:lineRule="auto"/>
              <w:ind w:firstLine="480" w:firstLineChars="200"/>
              <w:jc w:val="left"/>
              <w:rPr>
                <w:color w:val="auto"/>
                <w:kern w:val="0"/>
                <w:sz w:val="24"/>
              </w:rPr>
            </w:pPr>
            <w:r>
              <w:rPr>
                <w:rFonts w:hint="eastAsia"/>
                <w:color w:val="auto"/>
                <w:kern w:val="0"/>
                <w:sz w:val="24"/>
              </w:rPr>
              <w:t>（2）本项目变频器生产工艺流程</w:t>
            </w:r>
          </w:p>
          <w:p w14:paraId="3BB5093A">
            <w:pPr>
              <w:widowControl/>
              <w:adjustRightInd w:val="0"/>
              <w:snapToGrid w:val="0"/>
              <w:jc w:val="center"/>
              <w:rPr>
                <w:color w:val="auto"/>
              </w:rPr>
            </w:pPr>
            <w:r>
              <w:rPr>
                <w:color w:val="auto"/>
              </w:rPr>
              <w:object>
                <v:shape id="_x0000_i1027" o:spt="75" type="#_x0000_t75" style="height:314.7pt;width:422.45pt;" o:ole="t" filled="f" o:preferrelative="t" stroked="f" coordsize="21600,21600">
                  <v:path/>
                  <v:fill on="f" focussize="0,0"/>
                  <v:stroke on="f" joinstyle="miter"/>
                  <v:imagedata r:id="rId17" o:title=""/>
                  <o:lock v:ext="edit" aspectratio="f"/>
                  <w10:wrap type="none"/>
                  <w10:anchorlock/>
                </v:shape>
                <o:OLEObject Type="Embed" ProgID="Visio.Drawing.15" ShapeID="_x0000_i1027" DrawAspect="Content" ObjectID="_1468075727" r:id="rId16">
                  <o:LockedField>false</o:LockedField>
                </o:OLEObject>
              </w:object>
            </w:r>
          </w:p>
          <w:p w14:paraId="301E672C">
            <w:pPr>
              <w:widowControl/>
              <w:adjustRightInd w:val="0"/>
              <w:snapToGrid w:val="0"/>
              <w:ind w:firstLine="422" w:firstLineChars="200"/>
              <w:jc w:val="left"/>
              <w:rPr>
                <w:b/>
                <w:color w:val="auto"/>
                <w:szCs w:val="21"/>
              </w:rPr>
            </w:pPr>
            <w:r>
              <w:rPr>
                <w:rFonts w:hint="eastAsia"/>
                <w:b/>
                <w:color w:val="auto"/>
                <w:szCs w:val="21"/>
              </w:rPr>
              <w:t>注：本项目所有检测，均不涉及药剂的使用</w:t>
            </w:r>
          </w:p>
          <w:p w14:paraId="6DFD32B1">
            <w:pPr>
              <w:widowControl/>
              <w:adjustRightInd w:val="0"/>
              <w:snapToGrid w:val="0"/>
              <w:spacing w:line="360" w:lineRule="auto"/>
              <w:ind w:firstLine="482" w:firstLineChars="200"/>
              <w:jc w:val="center"/>
              <w:rPr>
                <w:b/>
                <w:color w:val="auto"/>
                <w:sz w:val="24"/>
              </w:rPr>
            </w:pPr>
            <w:r>
              <w:rPr>
                <w:b/>
                <w:color w:val="auto"/>
                <w:sz w:val="24"/>
              </w:rPr>
              <w:t>图2-</w:t>
            </w:r>
            <w:r>
              <w:rPr>
                <w:rFonts w:hint="eastAsia"/>
                <w:b/>
                <w:color w:val="auto"/>
                <w:sz w:val="24"/>
              </w:rPr>
              <w:t>3</w:t>
            </w:r>
            <w:r>
              <w:rPr>
                <w:b/>
                <w:color w:val="auto"/>
                <w:sz w:val="24"/>
              </w:rPr>
              <w:t xml:space="preserve"> </w:t>
            </w:r>
            <w:r>
              <w:rPr>
                <w:rFonts w:hint="eastAsia"/>
                <w:b/>
                <w:color w:val="auto"/>
                <w:sz w:val="24"/>
              </w:rPr>
              <w:t>变频器生产</w:t>
            </w:r>
            <w:r>
              <w:rPr>
                <w:b/>
                <w:color w:val="auto"/>
                <w:sz w:val="24"/>
              </w:rPr>
              <w:t>工艺流程及产污节点图</w:t>
            </w:r>
          </w:p>
          <w:p w14:paraId="397B646A">
            <w:pPr>
              <w:widowControl/>
              <w:adjustRightInd w:val="0"/>
              <w:snapToGrid w:val="0"/>
              <w:spacing w:line="360" w:lineRule="auto"/>
              <w:ind w:firstLine="480" w:firstLineChars="200"/>
              <w:jc w:val="left"/>
              <w:rPr>
                <w:color w:val="auto"/>
                <w:kern w:val="0"/>
                <w:sz w:val="24"/>
              </w:rPr>
            </w:pPr>
            <w:r>
              <w:rPr>
                <w:rFonts w:hint="eastAsia"/>
                <w:color w:val="auto"/>
                <w:kern w:val="0"/>
                <w:sz w:val="24"/>
              </w:rPr>
              <w:t>工艺流程说明：</w:t>
            </w:r>
          </w:p>
          <w:p w14:paraId="36E0007F">
            <w:pPr>
              <w:widowControl/>
              <w:adjustRightInd w:val="0"/>
              <w:snapToGrid w:val="0"/>
              <w:spacing w:line="360" w:lineRule="auto"/>
              <w:ind w:firstLine="482" w:firstLineChars="200"/>
              <w:jc w:val="left"/>
              <w:rPr>
                <w:b/>
                <w:bCs/>
                <w:color w:val="auto"/>
                <w:kern w:val="0"/>
                <w:sz w:val="24"/>
              </w:rPr>
            </w:pPr>
            <w:r>
              <w:rPr>
                <w:rFonts w:hint="eastAsia"/>
                <w:b/>
                <w:bCs/>
                <w:color w:val="auto"/>
                <w:kern w:val="0"/>
                <w:sz w:val="24"/>
              </w:rPr>
              <w:t>SMT、P/A插件贴片、焊接：公司采购PCB板和需要进行贴装的集成电路等元器件，进行贴片和焊接工序，生成PCBA半成品板，此工序委外处理；</w:t>
            </w:r>
          </w:p>
          <w:p w14:paraId="5F9337EB">
            <w:pPr>
              <w:widowControl/>
              <w:adjustRightInd w:val="0"/>
              <w:snapToGrid w:val="0"/>
              <w:spacing w:line="360" w:lineRule="auto"/>
              <w:ind w:firstLine="480" w:firstLineChars="200"/>
              <w:jc w:val="left"/>
              <w:rPr>
                <w:color w:val="auto"/>
                <w:kern w:val="0"/>
                <w:sz w:val="24"/>
              </w:rPr>
            </w:pPr>
            <w:r>
              <w:rPr>
                <w:rFonts w:hint="eastAsia"/>
                <w:color w:val="auto"/>
                <w:kern w:val="0"/>
                <w:sz w:val="24"/>
              </w:rPr>
              <w:t>来料质量检测：根据公司标准对各类原材料（包括PCB板、集成电路、贴片电容、电解电容、二极管、三极管、IGBT、风扇、机箱、散热器、高压变频器、标准五金件等材料）进行检测，合格后进行入库，此工序会产生质量检测不合格品S4；</w:t>
            </w:r>
          </w:p>
          <w:p w14:paraId="4D7FB0C4">
            <w:pPr>
              <w:widowControl/>
              <w:adjustRightInd w:val="0"/>
              <w:snapToGrid w:val="0"/>
              <w:spacing w:line="360" w:lineRule="auto"/>
              <w:ind w:firstLine="480" w:firstLineChars="200"/>
              <w:jc w:val="left"/>
              <w:rPr>
                <w:color w:val="auto"/>
                <w:kern w:val="0"/>
                <w:sz w:val="24"/>
              </w:rPr>
            </w:pPr>
            <w:r>
              <w:rPr>
                <w:rFonts w:hint="eastAsia"/>
                <w:color w:val="auto"/>
                <w:kern w:val="0"/>
                <w:sz w:val="24"/>
              </w:rPr>
              <w:t>软件烧录：控制软件写入PCBA半成品板上的存储芯片内；</w:t>
            </w:r>
          </w:p>
          <w:p w14:paraId="5CB744B3">
            <w:pPr>
              <w:widowControl/>
              <w:adjustRightInd w:val="0"/>
              <w:snapToGrid w:val="0"/>
              <w:spacing w:line="360" w:lineRule="auto"/>
              <w:ind w:firstLine="480" w:firstLineChars="200"/>
              <w:jc w:val="left"/>
              <w:rPr>
                <w:color w:val="auto"/>
                <w:kern w:val="0"/>
                <w:sz w:val="24"/>
              </w:rPr>
            </w:pPr>
            <w:r>
              <w:rPr>
                <w:rFonts w:hint="eastAsia"/>
                <w:color w:val="auto"/>
                <w:kern w:val="0"/>
                <w:sz w:val="24"/>
              </w:rPr>
              <w:t>PCBA半成品板测试：将PCBA半成品板在自动测试设备上进行全面测试</w:t>
            </w:r>
            <w:r>
              <w:rPr>
                <w:rFonts w:hint="eastAsia"/>
                <w:color w:val="auto"/>
                <w:kern w:val="0"/>
                <w:sz w:val="24"/>
                <w:lang w:eastAsia="zh-CN"/>
              </w:rPr>
              <w:t>，</w:t>
            </w:r>
            <w:r>
              <w:rPr>
                <w:rFonts w:hint="eastAsia"/>
                <w:color w:val="auto"/>
                <w:sz w:val="24"/>
              </w:rPr>
              <w:t>测试过程不使用药剂</w:t>
            </w:r>
            <w:r>
              <w:rPr>
                <w:rFonts w:hint="eastAsia"/>
                <w:color w:val="auto"/>
                <w:kern w:val="0"/>
                <w:sz w:val="24"/>
              </w:rPr>
              <w:t>，测试合格的作为PCBA成品板入库，此工序会产生测试不合格品S4；</w:t>
            </w:r>
          </w:p>
          <w:p w14:paraId="0B4E845C">
            <w:pPr>
              <w:widowControl/>
              <w:adjustRightInd w:val="0"/>
              <w:snapToGrid w:val="0"/>
              <w:spacing w:line="360" w:lineRule="auto"/>
              <w:ind w:firstLine="482" w:firstLineChars="200"/>
              <w:jc w:val="left"/>
              <w:rPr>
                <w:color w:val="auto"/>
                <w:kern w:val="0"/>
                <w:sz w:val="24"/>
              </w:rPr>
            </w:pPr>
            <w:r>
              <w:rPr>
                <w:rFonts w:hint="eastAsia"/>
                <w:b/>
                <w:bCs/>
                <w:color w:val="auto"/>
                <w:kern w:val="0"/>
                <w:sz w:val="24"/>
              </w:rPr>
              <w:t>三防处理（UV胶涂覆）：将PCBA半成品板上需要防护的器件进行UV胶涂覆，厚度在100-125</w:t>
            </w:r>
            <w:r>
              <w:rPr>
                <w:b/>
                <w:bCs/>
                <w:color w:val="auto"/>
                <w:kern w:val="0"/>
                <w:sz w:val="24"/>
              </w:rPr>
              <w:t>μm</w:t>
            </w:r>
            <w:r>
              <w:rPr>
                <w:rFonts w:hint="eastAsia"/>
                <w:b/>
                <w:bCs/>
                <w:color w:val="auto"/>
                <w:kern w:val="0"/>
                <w:sz w:val="24"/>
              </w:rPr>
              <w:t>，达到防尘防潮以及绝缘的作用，此工序委外处理；</w:t>
            </w:r>
          </w:p>
          <w:p w14:paraId="617E4EC0">
            <w:pPr>
              <w:widowControl/>
              <w:adjustRightInd w:val="0"/>
              <w:snapToGrid w:val="0"/>
              <w:spacing w:line="360" w:lineRule="auto"/>
              <w:ind w:firstLine="480" w:firstLineChars="200"/>
              <w:jc w:val="left"/>
              <w:rPr>
                <w:color w:val="auto"/>
                <w:kern w:val="0"/>
                <w:sz w:val="24"/>
              </w:rPr>
            </w:pPr>
            <w:r>
              <w:rPr>
                <w:rFonts w:hint="eastAsia"/>
                <w:color w:val="auto"/>
                <w:kern w:val="0"/>
                <w:sz w:val="24"/>
              </w:rPr>
              <w:t>整机组装：领取PCBA成品板、专用部件以及IGBT、电解电容、五金件等标准物料，在产品组装线上完成变频器成品的装配；</w:t>
            </w:r>
          </w:p>
          <w:p w14:paraId="2B3DF99D">
            <w:pPr>
              <w:widowControl/>
              <w:adjustRightInd w:val="0"/>
              <w:snapToGrid w:val="0"/>
              <w:spacing w:line="360" w:lineRule="auto"/>
              <w:ind w:firstLine="480" w:firstLineChars="200"/>
              <w:jc w:val="left"/>
              <w:rPr>
                <w:color w:val="auto"/>
                <w:kern w:val="0"/>
                <w:sz w:val="24"/>
              </w:rPr>
            </w:pPr>
            <w:r>
              <w:rPr>
                <w:rFonts w:hint="eastAsia"/>
                <w:color w:val="auto"/>
                <w:kern w:val="0"/>
                <w:sz w:val="24"/>
              </w:rPr>
              <w:t>安全性测试：根据安全规范，对组装好的产品进行漏电、耐压等安全性能测试，</w:t>
            </w:r>
            <w:r>
              <w:rPr>
                <w:rFonts w:hint="eastAsia"/>
                <w:color w:val="auto"/>
                <w:sz w:val="24"/>
              </w:rPr>
              <w:t>测试过程不使用药剂</w:t>
            </w:r>
            <w:r>
              <w:rPr>
                <w:rFonts w:hint="eastAsia"/>
                <w:color w:val="auto"/>
                <w:kern w:val="0"/>
                <w:sz w:val="24"/>
              </w:rPr>
              <w:t>，此工序会产生测试不合格品S4；</w:t>
            </w:r>
          </w:p>
          <w:p w14:paraId="5D6759E5">
            <w:pPr>
              <w:widowControl/>
              <w:adjustRightInd w:val="0"/>
              <w:snapToGrid w:val="0"/>
              <w:spacing w:line="360" w:lineRule="auto"/>
              <w:ind w:firstLine="480" w:firstLineChars="200"/>
              <w:jc w:val="left"/>
              <w:rPr>
                <w:color w:val="auto"/>
                <w:kern w:val="0"/>
                <w:sz w:val="24"/>
              </w:rPr>
            </w:pPr>
            <w:r>
              <w:rPr>
                <w:rFonts w:hint="eastAsia"/>
                <w:color w:val="auto"/>
                <w:kern w:val="0"/>
                <w:sz w:val="24"/>
              </w:rPr>
              <w:t>电性能测试：对整机的输入输出特性等电学性能进行测试，</w:t>
            </w:r>
            <w:r>
              <w:rPr>
                <w:rFonts w:hint="eastAsia"/>
                <w:color w:val="auto"/>
                <w:sz w:val="24"/>
              </w:rPr>
              <w:t>测试过程不使用药剂，</w:t>
            </w:r>
            <w:r>
              <w:rPr>
                <w:rFonts w:hint="eastAsia"/>
                <w:color w:val="auto"/>
                <w:kern w:val="0"/>
                <w:sz w:val="24"/>
              </w:rPr>
              <w:t>此工序会产生测试不合格品S4；</w:t>
            </w:r>
          </w:p>
          <w:p w14:paraId="248E428D">
            <w:pPr>
              <w:widowControl/>
              <w:adjustRightInd w:val="0"/>
              <w:snapToGrid w:val="0"/>
              <w:spacing w:line="360" w:lineRule="auto"/>
              <w:ind w:firstLine="480" w:firstLineChars="200"/>
              <w:jc w:val="left"/>
              <w:rPr>
                <w:color w:val="auto"/>
                <w:kern w:val="0"/>
                <w:sz w:val="24"/>
              </w:rPr>
            </w:pPr>
            <w:r>
              <w:rPr>
                <w:rFonts w:hint="eastAsia"/>
                <w:color w:val="auto"/>
                <w:kern w:val="0"/>
                <w:sz w:val="24"/>
              </w:rPr>
              <w:t>负载测试：用满功率的负载进行产品测试以及产品超功率的负载保护测试，</w:t>
            </w:r>
            <w:r>
              <w:rPr>
                <w:rFonts w:hint="eastAsia"/>
                <w:color w:val="auto"/>
                <w:sz w:val="24"/>
              </w:rPr>
              <w:t>测试过程不使用药剂，</w:t>
            </w:r>
            <w:r>
              <w:rPr>
                <w:rFonts w:hint="eastAsia"/>
                <w:color w:val="auto"/>
                <w:kern w:val="0"/>
                <w:sz w:val="24"/>
              </w:rPr>
              <w:t>此工序会产生测试不合格品S4；</w:t>
            </w:r>
          </w:p>
          <w:p w14:paraId="079ACC25">
            <w:pPr>
              <w:widowControl/>
              <w:adjustRightInd w:val="0"/>
              <w:snapToGrid w:val="0"/>
              <w:spacing w:line="360" w:lineRule="auto"/>
              <w:ind w:firstLine="480" w:firstLineChars="200"/>
              <w:jc w:val="left"/>
              <w:rPr>
                <w:color w:val="auto"/>
                <w:kern w:val="0"/>
                <w:sz w:val="24"/>
              </w:rPr>
            </w:pPr>
            <w:r>
              <w:rPr>
                <w:rFonts w:hint="eastAsia"/>
                <w:color w:val="auto"/>
                <w:kern w:val="0"/>
                <w:sz w:val="24"/>
              </w:rPr>
              <w:t>高温老化：在高温老化房进行老化测试，</w:t>
            </w:r>
            <w:r>
              <w:rPr>
                <w:rFonts w:hint="eastAsia"/>
                <w:color w:val="auto"/>
                <w:sz w:val="24"/>
              </w:rPr>
              <w:t>测试过程不使用药剂，</w:t>
            </w:r>
            <w:r>
              <w:rPr>
                <w:rFonts w:hint="eastAsia"/>
                <w:color w:val="auto"/>
                <w:kern w:val="0"/>
                <w:sz w:val="24"/>
              </w:rPr>
              <w:t>此工序会产生测试不合格品S4；</w:t>
            </w:r>
          </w:p>
          <w:p w14:paraId="211F4D1D">
            <w:pPr>
              <w:widowControl/>
              <w:adjustRightInd w:val="0"/>
              <w:snapToGrid w:val="0"/>
              <w:spacing w:line="360" w:lineRule="auto"/>
              <w:ind w:firstLine="480" w:firstLineChars="200"/>
              <w:jc w:val="left"/>
              <w:rPr>
                <w:color w:val="auto"/>
                <w:kern w:val="0"/>
                <w:sz w:val="24"/>
              </w:rPr>
            </w:pPr>
            <w:r>
              <w:rPr>
                <w:rFonts w:hint="eastAsia"/>
                <w:color w:val="auto"/>
                <w:kern w:val="0"/>
                <w:sz w:val="24"/>
              </w:rPr>
              <w:t>FQC检验：是产品包装前的最后一次检验，此工序会产生测试不合格品S4；</w:t>
            </w:r>
          </w:p>
          <w:p w14:paraId="3ECE9168">
            <w:pPr>
              <w:widowControl/>
              <w:adjustRightInd w:val="0"/>
              <w:snapToGrid w:val="0"/>
              <w:spacing w:line="360" w:lineRule="auto"/>
              <w:ind w:firstLine="480" w:firstLineChars="200"/>
              <w:jc w:val="left"/>
              <w:rPr>
                <w:color w:val="auto"/>
                <w:kern w:val="0"/>
                <w:sz w:val="24"/>
              </w:rPr>
            </w:pPr>
            <w:r>
              <w:rPr>
                <w:rFonts w:hint="eastAsia"/>
                <w:color w:val="auto"/>
                <w:kern w:val="0"/>
                <w:sz w:val="24"/>
              </w:rPr>
              <w:t>包装入库：将检测好的机器按要求进行打包，并将成品</w:t>
            </w:r>
            <w:r>
              <w:rPr>
                <w:rFonts w:hint="eastAsia"/>
                <w:color w:val="auto"/>
                <w:kern w:val="0"/>
                <w:sz w:val="24"/>
                <w:lang w:eastAsia="zh-CN"/>
              </w:rPr>
              <w:t>送入</w:t>
            </w:r>
            <w:r>
              <w:rPr>
                <w:rFonts w:hint="eastAsia"/>
                <w:color w:val="auto"/>
                <w:kern w:val="0"/>
                <w:sz w:val="24"/>
              </w:rPr>
              <w:t>仓库进行储存。</w:t>
            </w:r>
          </w:p>
          <w:p w14:paraId="13E79370">
            <w:pPr>
              <w:widowControl/>
              <w:adjustRightInd w:val="0"/>
              <w:snapToGrid w:val="0"/>
              <w:spacing w:line="360" w:lineRule="auto"/>
              <w:ind w:firstLine="480" w:firstLineChars="200"/>
              <w:jc w:val="left"/>
              <w:rPr>
                <w:rFonts w:hint="default" w:eastAsia="宋体"/>
                <w:color w:val="auto"/>
                <w:sz w:val="24"/>
                <w:lang w:val="en-US" w:eastAsia="zh-CN" w:bidi="ar"/>
              </w:rPr>
            </w:pPr>
            <w:r>
              <w:rPr>
                <w:rFonts w:hint="eastAsia"/>
                <w:color w:val="auto"/>
                <w:sz w:val="24"/>
                <w:lang w:eastAsia="zh-CN" w:bidi="ar"/>
              </w:rPr>
              <w:t>擦拭：本项目</w:t>
            </w:r>
            <w:r>
              <w:rPr>
                <w:rFonts w:hint="eastAsia"/>
                <w:color w:val="auto"/>
                <w:sz w:val="24"/>
              </w:rPr>
              <w:t>定子真空浸漆系统</w:t>
            </w:r>
            <w:r>
              <w:rPr>
                <w:rFonts w:hint="eastAsia"/>
                <w:color w:val="auto"/>
                <w:sz w:val="24"/>
                <w:lang w:eastAsia="zh-CN"/>
              </w:rPr>
              <w:t>、</w:t>
            </w:r>
            <w:r>
              <w:rPr>
                <w:rFonts w:hint="eastAsia"/>
                <w:color w:val="auto"/>
                <w:sz w:val="24"/>
              </w:rPr>
              <w:t>低压高雾化喷枪</w:t>
            </w:r>
            <w:r>
              <w:rPr>
                <w:rFonts w:hint="eastAsia"/>
                <w:color w:val="auto"/>
                <w:sz w:val="24"/>
                <w:lang w:eastAsia="zh-CN"/>
              </w:rPr>
              <w:t>需定期使用抹布蘸取少量清洗剂（</w:t>
            </w:r>
            <w:r>
              <w:rPr>
                <w:rFonts w:hint="eastAsia"/>
                <w:color w:val="auto"/>
                <w:sz w:val="24"/>
                <w:lang w:val="en-US" w:eastAsia="zh-CN"/>
              </w:rPr>
              <w:t>70%乙醇和水调配后</w:t>
            </w:r>
            <w:r>
              <w:rPr>
                <w:rFonts w:hint="eastAsia"/>
                <w:color w:val="auto"/>
                <w:sz w:val="24"/>
                <w:lang w:eastAsia="zh-CN"/>
              </w:rPr>
              <w:t>）进行擦拭、清洁，以去除</w:t>
            </w:r>
            <w:r>
              <w:rPr>
                <w:rFonts w:hint="eastAsia"/>
                <w:color w:val="auto"/>
                <w:sz w:val="24"/>
              </w:rPr>
              <w:t>定子真空浸漆系统</w:t>
            </w:r>
            <w:r>
              <w:rPr>
                <w:rFonts w:hint="eastAsia"/>
                <w:color w:val="auto"/>
                <w:sz w:val="24"/>
                <w:lang w:eastAsia="zh-CN"/>
              </w:rPr>
              <w:t>、</w:t>
            </w:r>
            <w:r>
              <w:rPr>
                <w:rFonts w:hint="eastAsia"/>
                <w:color w:val="auto"/>
                <w:sz w:val="24"/>
              </w:rPr>
              <w:t>低压高雾化喷枪</w:t>
            </w:r>
            <w:r>
              <w:rPr>
                <w:rFonts w:hint="eastAsia"/>
                <w:color w:val="auto"/>
                <w:sz w:val="24"/>
                <w:lang w:eastAsia="zh-CN"/>
              </w:rPr>
              <w:t>表面沾染的树脂、面漆，此过程会产生擦拭废气</w:t>
            </w:r>
            <w:r>
              <w:rPr>
                <w:rFonts w:hint="eastAsia"/>
                <w:color w:val="auto"/>
                <w:sz w:val="24"/>
                <w:lang w:val="en-US" w:eastAsia="zh-CN"/>
              </w:rPr>
              <w:t>G5、废抹布S5。</w:t>
            </w:r>
          </w:p>
          <w:p w14:paraId="24E8A04C">
            <w:pPr>
              <w:widowControl/>
              <w:adjustRightInd w:val="0"/>
              <w:snapToGrid w:val="0"/>
              <w:spacing w:line="360" w:lineRule="auto"/>
              <w:ind w:firstLine="480" w:firstLineChars="200"/>
              <w:jc w:val="left"/>
              <w:rPr>
                <w:color w:val="auto"/>
                <w:kern w:val="0"/>
                <w:sz w:val="24"/>
              </w:rPr>
            </w:pPr>
            <w:r>
              <w:rPr>
                <w:rFonts w:hint="eastAsia"/>
                <w:color w:val="auto"/>
                <w:sz w:val="24"/>
                <w:lang w:bidi="ar"/>
              </w:rPr>
              <w:t>生产过程中伴随着设备运行噪声的产生和排放。</w:t>
            </w:r>
          </w:p>
          <w:p w14:paraId="0426FA59">
            <w:pPr>
              <w:widowControl/>
              <w:adjustRightInd w:val="0"/>
              <w:snapToGrid w:val="0"/>
              <w:spacing w:line="360" w:lineRule="auto"/>
              <w:ind w:firstLine="480" w:firstLineChars="200"/>
              <w:jc w:val="left"/>
              <w:rPr>
                <w:color w:val="auto"/>
                <w:kern w:val="0"/>
                <w:sz w:val="24"/>
              </w:rPr>
            </w:pPr>
            <w:r>
              <w:rPr>
                <w:rFonts w:hint="eastAsia"/>
                <w:color w:val="auto"/>
                <w:kern w:val="0"/>
                <w:sz w:val="24"/>
              </w:rPr>
              <w:t>本项目运营期污染物产生环节见表2-8。</w:t>
            </w:r>
          </w:p>
          <w:p w14:paraId="03062F1F">
            <w:pPr>
              <w:widowControl/>
              <w:adjustRightInd w:val="0"/>
              <w:snapToGrid w:val="0"/>
              <w:ind w:firstLine="482" w:firstLineChars="200"/>
              <w:jc w:val="center"/>
              <w:rPr>
                <w:b/>
                <w:bCs/>
                <w:color w:val="auto"/>
                <w:sz w:val="24"/>
              </w:rPr>
            </w:pPr>
            <w:r>
              <w:rPr>
                <w:rFonts w:hint="eastAsia"/>
                <w:b/>
                <w:bCs/>
                <w:color w:val="auto"/>
                <w:sz w:val="24"/>
              </w:rPr>
              <w:t>表2-8建设项目营运期产污环节汇总表</w:t>
            </w:r>
          </w:p>
          <w:tbl>
            <w:tblPr>
              <w:tblStyle w:val="8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670"/>
              <w:gridCol w:w="550"/>
              <w:gridCol w:w="1124"/>
              <w:gridCol w:w="1472"/>
              <w:gridCol w:w="1173"/>
              <w:gridCol w:w="1118"/>
              <w:gridCol w:w="1173"/>
              <w:gridCol w:w="1172"/>
            </w:tblGrid>
            <w:tr w14:paraId="0D4BBDA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tcBorders>
                    <w:top w:val="single" w:color="auto" w:sz="12" w:space="0"/>
                    <w:left w:val="nil"/>
                    <w:bottom w:val="single" w:color="auto" w:sz="4" w:space="0"/>
                    <w:right w:val="single" w:color="auto" w:sz="4" w:space="0"/>
                  </w:tcBorders>
                  <w:shd w:val="clear" w:color="auto" w:fill="auto"/>
                  <w:tcMar>
                    <w:left w:w="28" w:type="dxa"/>
                    <w:right w:w="28" w:type="dxa"/>
                  </w:tcMar>
                  <w:vAlign w:val="center"/>
                </w:tcPr>
                <w:p w14:paraId="010E90FF">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污染因素</w:t>
                  </w:r>
                </w:p>
              </w:tc>
              <w:tc>
                <w:tcPr>
                  <w:tcW w:w="325" w:type="pct"/>
                  <w:tcBorders>
                    <w:top w:val="single" w:color="auto" w:sz="12" w:space="0"/>
                    <w:left w:val="single" w:color="auto" w:sz="4" w:space="0"/>
                    <w:bottom w:val="single" w:color="auto" w:sz="4" w:space="0"/>
                    <w:right w:val="single" w:color="auto" w:sz="4" w:space="0"/>
                  </w:tcBorders>
                  <w:shd w:val="clear" w:color="auto" w:fill="auto"/>
                  <w:tcMar>
                    <w:left w:w="28" w:type="dxa"/>
                    <w:right w:w="28" w:type="dxa"/>
                  </w:tcMar>
                  <w:vAlign w:val="center"/>
                </w:tcPr>
                <w:p w14:paraId="33967C7B">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编号</w:t>
                  </w:r>
                </w:p>
              </w:tc>
              <w:tc>
                <w:tcPr>
                  <w:tcW w:w="664" w:type="pct"/>
                  <w:tcBorders>
                    <w:top w:val="single" w:color="auto" w:sz="12" w:space="0"/>
                    <w:left w:val="single" w:color="auto" w:sz="4" w:space="0"/>
                    <w:bottom w:val="single" w:color="auto" w:sz="4" w:space="0"/>
                    <w:right w:val="single" w:color="auto" w:sz="4" w:space="0"/>
                  </w:tcBorders>
                  <w:shd w:val="clear" w:color="auto" w:fill="auto"/>
                  <w:tcMar>
                    <w:left w:w="28" w:type="dxa"/>
                    <w:right w:w="28" w:type="dxa"/>
                  </w:tcMar>
                  <w:vAlign w:val="center"/>
                </w:tcPr>
                <w:p w14:paraId="5951E279">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名称</w:t>
                  </w:r>
                </w:p>
              </w:tc>
              <w:tc>
                <w:tcPr>
                  <w:tcW w:w="870" w:type="pct"/>
                  <w:tcBorders>
                    <w:top w:val="single" w:color="auto" w:sz="12" w:space="0"/>
                    <w:left w:val="single" w:color="auto" w:sz="4" w:space="0"/>
                    <w:bottom w:val="single" w:color="auto" w:sz="4" w:space="0"/>
                    <w:right w:val="single" w:color="auto" w:sz="4" w:space="0"/>
                  </w:tcBorders>
                  <w:shd w:val="clear" w:color="auto" w:fill="auto"/>
                  <w:tcMar>
                    <w:left w:w="28" w:type="dxa"/>
                    <w:right w:w="28" w:type="dxa"/>
                  </w:tcMar>
                  <w:vAlign w:val="center"/>
                </w:tcPr>
                <w:p w14:paraId="482DDB86">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产污环节</w:t>
                  </w:r>
                </w:p>
              </w:tc>
              <w:tc>
                <w:tcPr>
                  <w:tcW w:w="693" w:type="pct"/>
                  <w:tcBorders>
                    <w:top w:val="single" w:color="auto" w:sz="12" w:space="0"/>
                    <w:left w:val="single" w:color="auto" w:sz="4" w:space="0"/>
                    <w:bottom w:val="single" w:color="auto" w:sz="4" w:space="0"/>
                    <w:right w:val="single" w:color="auto" w:sz="4" w:space="0"/>
                  </w:tcBorders>
                  <w:shd w:val="clear" w:color="auto" w:fill="auto"/>
                  <w:tcMar>
                    <w:left w:w="28" w:type="dxa"/>
                    <w:right w:w="28" w:type="dxa"/>
                  </w:tcMar>
                  <w:vAlign w:val="center"/>
                </w:tcPr>
                <w:p w14:paraId="5C606630">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排放特性</w:t>
                  </w:r>
                  <w:r>
                    <w:rPr>
                      <w:color w:val="auto"/>
                      <w:szCs w:val="21"/>
                    </w:rPr>
                    <w:t>/</w:t>
                  </w:r>
                  <w:r>
                    <w:rPr>
                      <w:rFonts w:hint="eastAsia"/>
                      <w:color w:val="auto"/>
                      <w:szCs w:val="21"/>
                    </w:rPr>
                    <w:t>性质</w:t>
                  </w:r>
                </w:p>
              </w:tc>
              <w:tc>
                <w:tcPr>
                  <w:tcW w:w="661" w:type="pct"/>
                  <w:tcBorders>
                    <w:top w:val="single" w:color="auto" w:sz="12" w:space="0"/>
                    <w:left w:val="single" w:color="auto" w:sz="4" w:space="0"/>
                    <w:bottom w:val="single" w:color="auto" w:sz="4" w:space="0"/>
                    <w:right w:val="single" w:color="auto" w:sz="4" w:space="0"/>
                  </w:tcBorders>
                  <w:shd w:val="clear" w:color="auto" w:fill="auto"/>
                  <w:tcMar>
                    <w:left w:w="28" w:type="dxa"/>
                    <w:right w:w="28" w:type="dxa"/>
                  </w:tcMar>
                  <w:vAlign w:val="center"/>
                </w:tcPr>
                <w:p w14:paraId="247C3842">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污染因子</w:t>
                  </w:r>
                </w:p>
              </w:tc>
              <w:tc>
                <w:tcPr>
                  <w:tcW w:w="1387" w:type="pct"/>
                  <w:gridSpan w:val="2"/>
                  <w:tcBorders>
                    <w:top w:val="single" w:color="auto" w:sz="12" w:space="0"/>
                    <w:left w:val="single" w:color="auto" w:sz="4" w:space="0"/>
                    <w:bottom w:val="single" w:color="auto" w:sz="4" w:space="0"/>
                    <w:right w:val="nil"/>
                  </w:tcBorders>
                  <w:shd w:val="clear" w:color="auto" w:fill="auto"/>
                  <w:vAlign w:val="center"/>
                </w:tcPr>
                <w:p w14:paraId="2E265109">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治理措施</w:t>
                  </w:r>
                </w:p>
              </w:tc>
            </w:tr>
            <w:tr w14:paraId="053C4F8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restart"/>
                  <w:tcBorders>
                    <w:top w:val="single" w:color="auto" w:sz="4" w:space="0"/>
                    <w:left w:val="nil"/>
                    <w:right w:val="single" w:color="auto" w:sz="4" w:space="0"/>
                  </w:tcBorders>
                  <w:shd w:val="clear" w:color="auto" w:fill="auto"/>
                  <w:tcMar>
                    <w:left w:w="28" w:type="dxa"/>
                    <w:right w:w="28" w:type="dxa"/>
                  </w:tcMar>
                  <w:vAlign w:val="center"/>
                </w:tcPr>
                <w:p w14:paraId="6464DBA0">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废气</w:t>
                  </w:r>
                </w:p>
              </w:tc>
              <w:tc>
                <w:tcPr>
                  <w:tcW w:w="32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70D9D3A">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G1</w:t>
                  </w:r>
                </w:p>
              </w:tc>
              <w:tc>
                <w:tcPr>
                  <w:tcW w:w="664"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430BC5A">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切割粉尘</w:t>
                  </w:r>
                </w:p>
              </w:tc>
              <w:tc>
                <w:tcPr>
                  <w:tcW w:w="870"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5520832">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配件下料</w:t>
                  </w:r>
                </w:p>
              </w:tc>
              <w:tc>
                <w:tcPr>
                  <w:tcW w:w="69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684A13F">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有组织/无组织</w:t>
                  </w:r>
                </w:p>
              </w:tc>
              <w:tc>
                <w:tcPr>
                  <w:tcW w:w="661"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92C4DFC">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颗粒物</w:t>
                  </w:r>
                </w:p>
              </w:tc>
              <w:tc>
                <w:tcPr>
                  <w:tcW w:w="1387" w:type="pct"/>
                  <w:gridSpan w:val="2"/>
                  <w:tcBorders>
                    <w:top w:val="single" w:color="auto" w:sz="4" w:space="0"/>
                    <w:left w:val="single" w:color="auto" w:sz="4" w:space="0"/>
                    <w:bottom w:val="single" w:color="auto" w:sz="4" w:space="0"/>
                    <w:right w:val="nil"/>
                  </w:tcBorders>
                  <w:shd w:val="clear" w:color="auto" w:fill="auto"/>
                  <w:vAlign w:val="center"/>
                </w:tcPr>
                <w:p w14:paraId="6BD50445">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集气罩+布袋除尘器+15m高1#排气筒</w:t>
                  </w:r>
                </w:p>
              </w:tc>
            </w:tr>
            <w:tr w14:paraId="62BAD9A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tcBorders>
                    <w:left w:val="nil"/>
                    <w:right w:val="single" w:color="auto" w:sz="4" w:space="0"/>
                  </w:tcBorders>
                  <w:shd w:val="clear" w:color="auto" w:fill="auto"/>
                  <w:tcMar>
                    <w:left w:w="28" w:type="dxa"/>
                    <w:right w:w="28" w:type="dxa"/>
                  </w:tcMar>
                  <w:vAlign w:val="center"/>
                </w:tcPr>
                <w:p w14:paraId="5521CE96">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p>
              </w:tc>
              <w:tc>
                <w:tcPr>
                  <w:tcW w:w="325" w:type="pct"/>
                  <w:tcBorders>
                    <w:top w:val="single" w:color="auto" w:sz="4" w:space="0"/>
                    <w:left w:val="single" w:color="auto" w:sz="4" w:space="0"/>
                    <w:right w:val="single" w:color="auto" w:sz="4" w:space="0"/>
                  </w:tcBorders>
                  <w:shd w:val="clear" w:color="auto" w:fill="auto"/>
                  <w:tcMar>
                    <w:left w:w="28" w:type="dxa"/>
                    <w:right w:w="28" w:type="dxa"/>
                  </w:tcMar>
                  <w:vAlign w:val="center"/>
                </w:tcPr>
                <w:p w14:paraId="56E4BB55">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G2</w:t>
                  </w:r>
                </w:p>
              </w:tc>
              <w:tc>
                <w:tcPr>
                  <w:tcW w:w="664"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7B2C2BE">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浸漆废气</w:t>
                  </w:r>
                </w:p>
              </w:tc>
              <w:tc>
                <w:tcPr>
                  <w:tcW w:w="870"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90C702F">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rPr>
                    <w:t>定子浸漆</w:t>
                  </w:r>
                </w:p>
              </w:tc>
              <w:tc>
                <w:tcPr>
                  <w:tcW w:w="69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C7BA38C">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有组织/无组织</w:t>
                  </w:r>
                </w:p>
              </w:tc>
              <w:tc>
                <w:tcPr>
                  <w:tcW w:w="661"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BBF6BE1">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NMHC</w:t>
                  </w:r>
                </w:p>
              </w:tc>
              <w:tc>
                <w:tcPr>
                  <w:tcW w:w="693" w:type="pct"/>
                  <w:tcBorders>
                    <w:top w:val="single" w:color="auto" w:sz="4" w:space="0"/>
                    <w:left w:val="single" w:color="auto" w:sz="4" w:space="0"/>
                    <w:bottom w:val="single" w:color="auto" w:sz="4" w:space="0"/>
                    <w:right w:val="nil"/>
                  </w:tcBorders>
                  <w:shd w:val="clear" w:color="auto" w:fill="auto"/>
                  <w:vAlign w:val="center"/>
                </w:tcPr>
                <w:p w14:paraId="5412FFC9">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密闭</w:t>
                  </w:r>
                  <w:r>
                    <w:rPr>
                      <w:rFonts w:hint="eastAsia"/>
                      <w:color w:val="auto"/>
                      <w:szCs w:val="21"/>
                      <w:lang w:eastAsia="zh-CN"/>
                    </w:rPr>
                    <w:t>设备</w:t>
                  </w:r>
                  <w:r>
                    <w:rPr>
                      <w:rFonts w:hint="eastAsia"/>
                      <w:color w:val="auto"/>
                      <w:szCs w:val="21"/>
                    </w:rPr>
                    <w:t>负压收集</w:t>
                  </w:r>
                </w:p>
              </w:tc>
              <w:tc>
                <w:tcPr>
                  <w:tcW w:w="693" w:type="pct"/>
                  <w:vMerge w:val="restart"/>
                  <w:tcBorders>
                    <w:top w:val="single" w:color="auto" w:sz="4" w:space="0"/>
                    <w:left w:val="single" w:color="auto" w:sz="4" w:space="0"/>
                    <w:right w:val="nil"/>
                  </w:tcBorders>
                  <w:shd w:val="clear" w:color="auto" w:fill="auto"/>
                  <w:vAlign w:val="center"/>
                </w:tcPr>
                <w:p w14:paraId="0DB9A09A">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rFonts w:hint="eastAsia"/>
                      <w:color w:val="auto"/>
                      <w:szCs w:val="21"/>
                    </w:rPr>
                  </w:pPr>
                  <w:r>
                    <w:rPr>
                      <w:rFonts w:hint="eastAsia"/>
                      <w:color w:val="auto"/>
                      <w:szCs w:val="21"/>
                    </w:rPr>
                    <w:t>干式过滤棉+二级活性炭装置+15m高2#排气筒</w:t>
                  </w:r>
                </w:p>
              </w:tc>
            </w:tr>
            <w:tr w14:paraId="0B6B7BE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tcBorders>
                    <w:left w:val="nil"/>
                    <w:right w:val="single" w:color="auto" w:sz="4" w:space="0"/>
                  </w:tcBorders>
                  <w:shd w:val="clear" w:color="auto" w:fill="auto"/>
                  <w:tcMar>
                    <w:left w:w="28" w:type="dxa"/>
                    <w:right w:w="28" w:type="dxa"/>
                  </w:tcMar>
                  <w:vAlign w:val="center"/>
                </w:tcPr>
                <w:p w14:paraId="6B0D090F">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p>
              </w:tc>
              <w:tc>
                <w:tcPr>
                  <w:tcW w:w="325" w:type="pct"/>
                  <w:tcBorders>
                    <w:left w:val="single" w:color="auto" w:sz="4" w:space="0"/>
                    <w:bottom w:val="single" w:color="auto" w:sz="4" w:space="0"/>
                    <w:right w:val="single" w:color="auto" w:sz="4" w:space="0"/>
                  </w:tcBorders>
                  <w:shd w:val="clear" w:color="auto" w:fill="auto"/>
                  <w:tcMar>
                    <w:left w:w="28" w:type="dxa"/>
                    <w:right w:w="28" w:type="dxa"/>
                  </w:tcMar>
                  <w:vAlign w:val="center"/>
                </w:tcPr>
                <w:p w14:paraId="1B7DA610">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rFonts w:hint="default" w:eastAsia="宋体"/>
                      <w:color w:val="auto"/>
                      <w:szCs w:val="21"/>
                      <w:lang w:val="en-US" w:eastAsia="zh-CN"/>
                    </w:rPr>
                  </w:pPr>
                  <w:r>
                    <w:rPr>
                      <w:rFonts w:hint="eastAsia"/>
                      <w:color w:val="auto"/>
                      <w:szCs w:val="21"/>
                      <w:lang w:val="en-US" w:eastAsia="zh-CN"/>
                    </w:rPr>
                    <w:t>G3、G5</w:t>
                  </w:r>
                </w:p>
              </w:tc>
              <w:tc>
                <w:tcPr>
                  <w:tcW w:w="664"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446A8CA">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rFonts w:hint="eastAsia"/>
                      <w:color w:val="auto"/>
                      <w:szCs w:val="21"/>
                    </w:rPr>
                  </w:pPr>
                  <w:r>
                    <w:rPr>
                      <w:rFonts w:hint="eastAsia"/>
                      <w:color w:val="auto"/>
                      <w:szCs w:val="21"/>
                    </w:rPr>
                    <w:t>烘干废气</w:t>
                  </w:r>
                </w:p>
              </w:tc>
              <w:tc>
                <w:tcPr>
                  <w:tcW w:w="870"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1D0F333">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rFonts w:hint="eastAsia" w:eastAsia="宋体"/>
                      <w:color w:val="auto"/>
                      <w:lang w:eastAsia="zh-CN"/>
                    </w:rPr>
                  </w:pPr>
                  <w:r>
                    <w:rPr>
                      <w:rFonts w:hint="eastAsia"/>
                      <w:color w:val="auto"/>
                      <w:lang w:eastAsia="zh-CN"/>
                    </w:rPr>
                    <w:t>烘干</w:t>
                  </w:r>
                </w:p>
              </w:tc>
              <w:tc>
                <w:tcPr>
                  <w:tcW w:w="69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C6E7A35">
                  <w:pPr>
                    <w:keepNext w:val="0"/>
                    <w:keepLines w:val="0"/>
                    <w:pageBreakBefore w:val="0"/>
                    <w:widowControl/>
                    <w:kinsoku/>
                    <w:wordWrap/>
                    <w:overflowPunct/>
                    <w:topLinePunct w:val="0"/>
                    <w:autoSpaceDE/>
                    <w:autoSpaceDN/>
                    <w:bidi w:val="0"/>
                    <w:adjustRightInd w:val="0"/>
                    <w:snapToGrid w:val="0"/>
                    <w:spacing w:beforeAutospacing="0" w:afterAutospacing="0"/>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有组织/无组织</w:t>
                  </w:r>
                </w:p>
              </w:tc>
              <w:tc>
                <w:tcPr>
                  <w:tcW w:w="661"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33DB1E1">
                  <w:pPr>
                    <w:keepNext w:val="0"/>
                    <w:keepLines w:val="0"/>
                    <w:pageBreakBefore w:val="0"/>
                    <w:widowControl/>
                    <w:kinsoku/>
                    <w:wordWrap/>
                    <w:overflowPunct/>
                    <w:topLinePunct w:val="0"/>
                    <w:autoSpaceDE/>
                    <w:autoSpaceDN/>
                    <w:bidi w:val="0"/>
                    <w:adjustRightInd w:val="0"/>
                    <w:snapToGrid w:val="0"/>
                    <w:spacing w:beforeAutospacing="0" w:afterAutospacing="0"/>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NMHC</w:t>
                  </w:r>
                </w:p>
              </w:tc>
              <w:tc>
                <w:tcPr>
                  <w:tcW w:w="693" w:type="pct"/>
                  <w:tcBorders>
                    <w:top w:val="single" w:color="auto" w:sz="4" w:space="0"/>
                    <w:left w:val="single" w:color="auto" w:sz="4" w:space="0"/>
                    <w:bottom w:val="single" w:color="auto" w:sz="4" w:space="0"/>
                    <w:right w:val="nil"/>
                  </w:tcBorders>
                  <w:shd w:val="clear" w:color="auto" w:fill="auto"/>
                  <w:vAlign w:val="center"/>
                </w:tcPr>
                <w:p w14:paraId="26304EE0">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rFonts w:hint="eastAsia" w:eastAsia="宋体"/>
                      <w:color w:val="auto"/>
                      <w:szCs w:val="21"/>
                      <w:lang w:eastAsia="zh-CN"/>
                    </w:rPr>
                  </w:pPr>
                  <w:r>
                    <w:rPr>
                      <w:rFonts w:hint="eastAsia"/>
                      <w:color w:val="auto"/>
                      <w:szCs w:val="21"/>
                      <w:lang w:eastAsia="zh-CN"/>
                    </w:rPr>
                    <w:t>密闭车间负压收集</w:t>
                  </w:r>
                </w:p>
              </w:tc>
              <w:tc>
                <w:tcPr>
                  <w:tcW w:w="693" w:type="pct"/>
                  <w:vMerge w:val="continue"/>
                  <w:tcBorders>
                    <w:left w:val="single" w:color="auto" w:sz="4" w:space="0"/>
                    <w:right w:val="nil"/>
                  </w:tcBorders>
                  <w:shd w:val="clear" w:color="auto" w:fill="auto"/>
                  <w:vAlign w:val="center"/>
                </w:tcPr>
                <w:p w14:paraId="27220AAF">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rFonts w:hint="eastAsia"/>
                      <w:color w:val="auto"/>
                      <w:szCs w:val="21"/>
                    </w:rPr>
                  </w:pPr>
                </w:p>
              </w:tc>
            </w:tr>
            <w:tr w14:paraId="3B8BD35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tcBorders>
                    <w:left w:val="nil"/>
                    <w:right w:val="single" w:color="auto" w:sz="4" w:space="0"/>
                  </w:tcBorders>
                  <w:shd w:val="clear" w:color="auto" w:fill="auto"/>
                  <w:tcMar>
                    <w:left w:w="28" w:type="dxa"/>
                    <w:right w:w="28" w:type="dxa"/>
                  </w:tcMar>
                  <w:vAlign w:val="center"/>
                </w:tcPr>
                <w:p w14:paraId="6441239D">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p>
              </w:tc>
              <w:tc>
                <w:tcPr>
                  <w:tcW w:w="325" w:type="pct"/>
                  <w:tcBorders>
                    <w:left w:val="single" w:color="auto" w:sz="4" w:space="0"/>
                    <w:bottom w:val="single" w:color="auto" w:sz="4" w:space="0"/>
                    <w:right w:val="single" w:color="auto" w:sz="4" w:space="0"/>
                  </w:tcBorders>
                  <w:shd w:val="clear" w:color="auto" w:fill="auto"/>
                  <w:tcMar>
                    <w:left w:w="28" w:type="dxa"/>
                    <w:right w:w="28" w:type="dxa"/>
                  </w:tcMar>
                  <w:vAlign w:val="center"/>
                </w:tcPr>
                <w:p w14:paraId="57E503D8">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rFonts w:hint="default"/>
                      <w:color w:val="auto"/>
                      <w:szCs w:val="21"/>
                      <w:lang w:val="en-US" w:eastAsia="zh-CN"/>
                    </w:rPr>
                  </w:pPr>
                  <w:r>
                    <w:rPr>
                      <w:rFonts w:hint="eastAsia"/>
                      <w:color w:val="auto"/>
                      <w:szCs w:val="21"/>
                      <w:lang w:val="en-US" w:eastAsia="zh-CN"/>
                    </w:rPr>
                    <w:t>G4</w:t>
                  </w:r>
                </w:p>
              </w:tc>
              <w:tc>
                <w:tcPr>
                  <w:tcW w:w="664"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95DF333">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rFonts w:hint="eastAsia" w:eastAsia="宋体"/>
                      <w:color w:val="auto"/>
                      <w:szCs w:val="21"/>
                      <w:lang w:eastAsia="zh-CN"/>
                    </w:rPr>
                  </w:pPr>
                  <w:r>
                    <w:rPr>
                      <w:rFonts w:hint="eastAsia"/>
                      <w:color w:val="auto"/>
                      <w:szCs w:val="21"/>
                      <w:lang w:eastAsia="zh-CN"/>
                    </w:rPr>
                    <w:t>喷漆废气</w:t>
                  </w:r>
                </w:p>
              </w:tc>
              <w:tc>
                <w:tcPr>
                  <w:tcW w:w="870"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AB4F540">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rFonts w:hint="eastAsia"/>
                      <w:color w:val="auto"/>
                      <w:lang w:eastAsia="zh-CN"/>
                    </w:rPr>
                  </w:pPr>
                  <w:r>
                    <w:rPr>
                      <w:rFonts w:hint="eastAsia"/>
                      <w:color w:val="auto"/>
                      <w:lang w:eastAsia="zh-CN"/>
                    </w:rPr>
                    <w:t>喷漆</w:t>
                  </w:r>
                </w:p>
              </w:tc>
              <w:tc>
                <w:tcPr>
                  <w:tcW w:w="69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E059473">
                  <w:pPr>
                    <w:keepNext w:val="0"/>
                    <w:keepLines w:val="0"/>
                    <w:pageBreakBefore w:val="0"/>
                    <w:widowControl/>
                    <w:kinsoku/>
                    <w:wordWrap/>
                    <w:overflowPunct/>
                    <w:topLinePunct w:val="0"/>
                    <w:autoSpaceDE/>
                    <w:autoSpaceDN/>
                    <w:bidi w:val="0"/>
                    <w:adjustRightInd w:val="0"/>
                    <w:snapToGrid w:val="0"/>
                    <w:spacing w:beforeAutospacing="0" w:afterAutospacing="0"/>
                    <w:ind w:firstLine="0" w:firstLineChars="0"/>
                    <w:jc w:val="center"/>
                    <w:rPr>
                      <w:rFonts w:hint="default" w:eastAsia="宋体"/>
                      <w:color w:val="auto"/>
                      <w:szCs w:val="21"/>
                      <w:lang w:val="en-US" w:eastAsia="zh-CN"/>
                    </w:rPr>
                  </w:pPr>
                  <w:r>
                    <w:rPr>
                      <w:rFonts w:hint="eastAsia"/>
                      <w:color w:val="auto"/>
                      <w:szCs w:val="21"/>
                      <w:lang w:eastAsia="zh-CN"/>
                    </w:rPr>
                    <w:t>有组织</w:t>
                  </w:r>
                  <w:r>
                    <w:rPr>
                      <w:rFonts w:hint="eastAsia"/>
                      <w:color w:val="auto"/>
                      <w:szCs w:val="21"/>
                      <w:lang w:val="en-US" w:eastAsia="zh-CN"/>
                    </w:rPr>
                    <w:t>/无组织</w:t>
                  </w:r>
                </w:p>
              </w:tc>
              <w:tc>
                <w:tcPr>
                  <w:tcW w:w="661"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2F7F386">
                  <w:pPr>
                    <w:keepNext w:val="0"/>
                    <w:keepLines w:val="0"/>
                    <w:pageBreakBefore w:val="0"/>
                    <w:widowControl/>
                    <w:kinsoku/>
                    <w:wordWrap/>
                    <w:overflowPunct/>
                    <w:topLinePunct w:val="0"/>
                    <w:autoSpaceDE/>
                    <w:autoSpaceDN/>
                    <w:bidi w:val="0"/>
                    <w:adjustRightInd w:val="0"/>
                    <w:snapToGrid w:val="0"/>
                    <w:spacing w:beforeAutospacing="0" w:afterAutospacing="0"/>
                    <w:ind w:firstLine="0" w:firstLineChars="0"/>
                    <w:jc w:val="center"/>
                    <w:rPr>
                      <w:rFonts w:hint="eastAsia"/>
                      <w:color w:val="auto"/>
                      <w:szCs w:val="21"/>
                    </w:rPr>
                  </w:pPr>
                  <w:r>
                    <w:rPr>
                      <w:rFonts w:hint="eastAsia"/>
                      <w:color w:val="auto"/>
                      <w:szCs w:val="21"/>
                    </w:rPr>
                    <w:t>NMHC、颗粒物</w:t>
                  </w:r>
                </w:p>
              </w:tc>
              <w:tc>
                <w:tcPr>
                  <w:tcW w:w="693" w:type="pct"/>
                  <w:tcBorders>
                    <w:top w:val="single" w:color="auto" w:sz="4" w:space="0"/>
                    <w:left w:val="single" w:color="auto" w:sz="4" w:space="0"/>
                    <w:bottom w:val="single" w:color="auto" w:sz="4" w:space="0"/>
                    <w:right w:val="nil"/>
                  </w:tcBorders>
                  <w:shd w:val="clear" w:color="auto" w:fill="auto"/>
                  <w:vAlign w:val="center"/>
                </w:tcPr>
                <w:p w14:paraId="0BF9B001">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rFonts w:hint="eastAsia"/>
                      <w:color w:val="auto"/>
                      <w:szCs w:val="21"/>
                      <w:lang w:eastAsia="zh-CN"/>
                    </w:rPr>
                  </w:pPr>
                  <w:r>
                    <w:rPr>
                      <w:rFonts w:hint="eastAsia"/>
                      <w:color w:val="auto"/>
                      <w:szCs w:val="21"/>
                      <w:lang w:eastAsia="zh-CN"/>
                    </w:rPr>
                    <w:t>密闭车间负压收集</w:t>
                  </w:r>
                </w:p>
              </w:tc>
              <w:tc>
                <w:tcPr>
                  <w:tcW w:w="693" w:type="pct"/>
                  <w:vMerge w:val="continue"/>
                  <w:tcBorders>
                    <w:left w:val="single" w:color="auto" w:sz="4" w:space="0"/>
                    <w:right w:val="nil"/>
                  </w:tcBorders>
                  <w:shd w:val="clear" w:color="auto" w:fill="auto"/>
                  <w:vAlign w:val="center"/>
                </w:tcPr>
                <w:p w14:paraId="33189792">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rFonts w:hint="eastAsia"/>
                      <w:color w:val="auto"/>
                      <w:szCs w:val="21"/>
                    </w:rPr>
                  </w:pPr>
                </w:p>
              </w:tc>
            </w:tr>
            <w:tr w14:paraId="2C01B60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tcBorders>
                    <w:left w:val="nil"/>
                    <w:right w:val="single" w:color="auto" w:sz="4" w:space="0"/>
                  </w:tcBorders>
                  <w:shd w:val="clear" w:color="auto" w:fill="auto"/>
                  <w:tcMar>
                    <w:left w:w="28" w:type="dxa"/>
                    <w:right w:w="28" w:type="dxa"/>
                  </w:tcMar>
                  <w:vAlign w:val="center"/>
                </w:tcPr>
                <w:p w14:paraId="70151D84">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p>
              </w:tc>
              <w:tc>
                <w:tcPr>
                  <w:tcW w:w="325" w:type="pct"/>
                  <w:tcBorders>
                    <w:left w:val="single" w:color="auto" w:sz="4" w:space="0"/>
                    <w:bottom w:val="single" w:color="auto" w:sz="4" w:space="0"/>
                    <w:right w:val="single" w:color="auto" w:sz="4" w:space="0"/>
                  </w:tcBorders>
                  <w:shd w:val="clear" w:color="auto" w:fill="auto"/>
                  <w:tcMar>
                    <w:left w:w="28" w:type="dxa"/>
                    <w:right w:w="28" w:type="dxa"/>
                  </w:tcMar>
                  <w:vAlign w:val="center"/>
                </w:tcPr>
                <w:p w14:paraId="3A1756EB">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rFonts w:hint="default"/>
                      <w:color w:val="auto"/>
                      <w:szCs w:val="21"/>
                      <w:lang w:val="en-US" w:eastAsia="zh-CN"/>
                    </w:rPr>
                  </w:pPr>
                  <w:r>
                    <w:rPr>
                      <w:rFonts w:hint="eastAsia"/>
                      <w:color w:val="auto"/>
                      <w:szCs w:val="21"/>
                      <w:lang w:val="en-US" w:eastAsia="zh-CN"/>
                    </w:rPr>
                    <w:t>G5</w:t>
                  </w:r>
                </w:p>
              </w:tc>
              <w:tc>
                <w:tcPr>
                  <w:tcW w:w="664"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58B2459">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rFonts w:hint="eastAsia"/>
                      <w:color w:val="auto"/>
                      <w:szCs w:val="21"/>
                      <w:lang w:eastAsia="zh-CN"/>
                    </w:rPr>
                  </w:pPr>
                  <w:r>
                    <w:rPr>
                      <w:rFonts w:hint="eastAsia"/>
                      <w:color w:val="auto"/>
                      <w:szCs w:val="21"/>
                      <w:lang w:eastAsia="zh-CN"/>
                    </w:rPr>
                    <w:t>擦拭废气</w:t>
                  </w:r>
                </w:p>
              </w:tc>
              <w:tc>
                <w:tcPr>
                  <w:tcW w:w="870"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D9E477D">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rFonts w:hint="eastAsia"/>
                      <w:color w:val="auto"/>
                      <w:lang w:eastAsia="zh-CN"/>
                    </w:rPr>
                  </w:pPr>
                  <w:r>
                    <w:rPr>
                      <w:rFonts w:hint="eastAsia"/>
                      <w:color w:val="auto"/>
                      <w:lang w:eastAsia="zh-CN"/>
                    </w:rPr>
                    <w:t>擦拭</w:t>
                  </w:r>
                </w:p>
              </w:tc>
              <w:tc>
                <w:tcPr>
                  <w:tcW w:w="69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2419FB8">
                  <w:pPr>
                    <w:keepNext w:val="0"/>
                    <w:keepLines w:val="0"/>
                    <w:pageBreakBefore w:val="0"/>
                    <w:widowControl/>
                    <w:kinsoku/>
                    <w:wordWrap/>
                    <w:overflowPunct/>
                    <w:topLinePunct w:val="0"/>
                    <w:autoSpaceDE/>
                    <w:autoSpaceDN/>
                    <w:bidi w:val="0"/>
                    <w:adjustRightInd w:val="0"/>
                    <w:snapToGrid w:val="0"/>
                    <w:spacing w:beforeAutospacing="0" w:afterAutospacing="0"/>
                    <w:ind w:firstLine="0" w:firstLineChars="0"/>
                    <w:jc w:val="center"/>
                    <w:rPr>
                      <w:rFonts w:hint="default"/>
                      <w:color w:val="auto"/>
                      <w:szCs w:val="21"/>
                      <w:lang w:val="en-US" w:eastAsia="zh-CN"/>
                    </w:rPr>
                  </w:pPr>
                  <w:r>
                    <w:rPr>
                      <w:rFonts w:hint="eastAsia"/>
                      <w:color w:val="auto"/>
                      <w:szCs w:val="21"/>
                      <w:lang w:eastAsia="zh-CN"/>
                    </w:rPr>
                    <w:t>有组织</w:t>
                  </w:r>
                  <w:r>
                    <w:rPr>
                      <w:rFonts w:hint="eastAsia"/>
                      <w:color w:val="auto"/>
                      <w:szCs w:val="21"/>
                      <w:lang w:val="en-US" w:eastAsia="zh-CN"/>
                    </w:rPr>
                    <w:t>/无组织</w:t>
                  </w:r>
                </w:p>
              </w:tc>
              <w:tc>
                <w:tcPr>
                  <w:tcW w:w="661"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4DB431F">
                  <w:pPr>
                    <w:keepNext w:val="0"/>
                    <w:keepLines w:val="0"/>
                    <w:pageBreakBefore w:val="0"/>
                    <w:widowControl/>
                    <w:kinsoku/>
                    <w:wordWrap/>
                    <w:overflowPunct/>
                    <w:topLinePunct w:val="0"/>
                    <w:autoSpaceDE/>
                    <w:autoSpaceDN/>
                    <w:bidi w:val="0"/>
                    <w:adjustRightInd w:val="0"/>
                    <w:snapToGrid w:val="0"/>
                    <w:spacing w:beforeAutospacing="0" w:afterAutospacing="0"/>
                    <w:ind w:firstLine="0" w:firstLineChars="0"/>
                    <w:jc w:val="center"/>
                    <w:rPr>
                      <w:rFonts w:hint="default" w:eastAsia="宋体"/>
                      <w:color w:val="auto"/>
                      <w:szCs w:val="21"/>
                      <w:lang w:val="en-US" w:eastAsia="zh-CN"/>
                    </w:rPr>
                  </w:pPr>
                  <w:r>
                    <w:rPr>
                      <w:rFonts w:hint="eastAsia"/>
                      <w:color w:val="auto"/>
                      <w:szCs w:val="21"/>
                      <w:lang w:val="en-US" w:eastAsia="zh-CN"/>
                    </w:rPr>
                    <w:t>NMHC</w:t>
                  </w:r>
                </w:p>
              </w:tc>
              <w:tc>
                <w:tcPr>
                  <w:tcW w:w="693" w:type="pct"/>
                  <w:tcBorders>
                    <w:top w:val="single" w:color="auto" w:sz="4" w:space="0"/>
                    <w:left w:val="single" w:color="auto" w:sz="4" w:space="0"/>
                    <w:bottom w:val="single" w:color="auto" w:sz="4" w:space="0"/>
                    <w:right w:val="nil"/>
                  </w:tcBorders>
                  <w:shd w:val="clear" w:color="auto" w:fill="auto"/>
                  <w:vAlign w:val="center"/>
                </w:tcPr>
                <w:p w14:paraId="47E1180E">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rFonts w:hint="eastAsia"/>
                      <w:color w:val="auto"/>
                      <w:szCs w:val="21"/>
                      <w:lang w:eastAsia="zh-CN"/>
                    </w:rPr>
                  </w:pPr>
                  <w:r>
                    <w:rPr>
                      <w:rFonts w:hint="eastAsia"/>
                      <w:color w:val="auto"/>
                      <w:szCs w:val="21"/>
                      <w:lang w:eastAsia="zh-CN"/>
                    </w:rPr>
                    <w:t>密闭车间负压收集</w:t>
                  </w:r>
                </w:p>
              </w:tc>
              <w:tc>
                <w:tcPr>
                  <w:tcW w:w="693" w:type="pct"/>
                  <w:vMerge w:val="continue"/>
                  <w:tcBorders>
                    <w:left w:val="single" w:color="auto" w:sz="4" w:space="0"/>
                    <w:right w:val="nil"/>
                  </w:tcBorders>
                  <w:shd w:val="clear" w:color="auto" w:fill="auto"/>
                  <w:vAlign w:val="center"/>
                </w:tcPr>
                <w:p w14:paraId="72092B32">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rFonts w:hint="eastAsia"/>
                      <w:color w:val="auto"/>
                      <w:szCs w:val="21"/>
                    </w:rPr>
                  </w:pPr>
                </w:p>
              </w:tc>
            </w:tr>
            <w:tr w14:paraId="0666541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1757B30F">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废水</w:t>
                  </w:r>
                </w:p>
              </w:tc>
              <w:tc>
                <w:tcPr>
                  <w:tcW w:w="32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AD2C0C4">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W1</w:t>
                  </w:r>
                </w:p>
              </w:tc>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14:paraId="7B5AA1B8">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生活污水、食堂废水</w:t>
                  </w:r>
                </w:p>
              </w:tc>
              <w:tc>
                <w:tcPr>
                  <w:tcW w:w="870" w:type="pct"/>
                  <w:tcBorders>
                    <w:top w:val="single" w:color="auto" w:sz="4" w:space="0"/>
                    <w:left w:val="single" w:color="auto" w:sz="4" w:space="0"/>
                    <w:bottom w:val="single" w:color="auto" w:sz="4" w:space="0"/>
                    <w:right w:val="single" w:color="auto" w:sz="4" w:space="0"/>
                  </w:tcBorders>
                  <w:shd w:val="clear" w:color="auto" w:fill="auto"/>
                  <w:vAlign w:val="center"/>
                </w:tcPr>
                <w:p w14:paraId="2C7455D9">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职工生活</w:t>
                  </w:r>
                </w:p>
              </w:tc>
              <w:tc>
                <w:tcPr>
                  <w:tcW w:w="693" w:type="pct"/>
                  <w:tcBorders>
                    <w:top w:val="single" w:color="auto" w:sz="4" w:space="0"/>
                    <w:left w:val="single" w:color="auto" w:sz="4" w:space="0"/>
                    <w:bottom w:val="single" w:color="auto" w:sz="4" w:space="0"/>
                    <w:right w:val="single" w:color="auto" w:sz="4" w:space="0"/>
                  </w:tcBorders>
                  <w:shd w:val="clear" w:color="auto" w:fill="auto"/>
                  <w:vAlign w:val="center"/>
                </w:tcPr>
                <w:p w14:paraId="569A184F">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间接排放</w:t>
                  </w:r>
                </w:p>
              </w:tc>
              <w:tc>
                <w:tcPr>
                  <w:tcW w:w="661" w:type="pct"/>
                  <w:tcBorders>
                    <w:top w:val="single" w:color="auto" w:sz="4" w:space="0"/>
                    <w:left w:val="single" w:color="auto" w:sz="4" w:space="0"/>
                    <w:bottom w:val="single" w:color="auto" w:sz="4" w:space="0"/>
                    <w:right w:val="single" w:color="auto" w:sz="4" w:space="0"/>
                  </w:tcBorders>
                  <w:shd w:val="clear" w:color="auto" w:fill="auto"/>
                  <w:vAlign w:val="center"/>
                </w:tcPr>
                <w:p w14:paraId="2BBA6D89">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COD、SS、NH</w:t>
                  </w:r>
                  <w:r>
                    <w:rPr>
                      <w:rFonts w:hint="eastAsia"/>
                      <w:color w:val="auto"/>
                      <w:szCs w:val="21"/>
                      <w:vertAlign w:val="subscript"/>
                    </w:rPr>
                    <w:t>3</w:t>
                  </w:r>
                  <w:r>
                    <w:rPr>
                      <w:rFonts w:hint="eastAsia"/>
                      <w:color w:val="auto"/>
                      <w:szCs w:val="21"/>
                    </w:rPr>
                    <w:t>-N、TN、TP、动植物油</w:t>
                  </w:r>
                </w:p>
              </w:tc>
              <w:tc>
                <w:tcPr>
                  <w:tcW w:w="1387" w:type="pct"/>
                  <w:gridSpan w:val="2"/>
                  <w:tcBorders>
                    <w:top w:val="single" w:color="auto" w:sz="4" w:space="0"/>
                    <w:left w:val="single" w:color="auto" w:sz="4" w:space="0"/>
                    <w:bottom w:val="single" w:color="auto" w:sz="4" w:space="0"/>
                    <w:right w:val="nil"/>
                  </w:tcBorders>
                  <w:shd w:val="clear" w:color="auto" w:fill="auto"/>
                  <w:vAlign w:val="center"/>
                </w:tcPr>
                <w:p w14:paraId="3EAC9767">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隔油池、化粪池处理后接管至涟水经济开发区西区污水处理厂</w:t>
                  </w:r>
                </w:p>
              </w:tc>
            </w:tr>
            <w:tr w14:paraId="3DC5C4F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restart"/>
                  <w:tcBorders>
                    <w:top w:val="single" w:color="auto" w:sz="4" w:space="0"/>
                    <w:left w:val="nil"/>
                    <w:right w:val="single" w:color="auto" w:sz="4" w:space="0"/>
                  </w:tcBorders>
                  <w:shd w:val="clear" w:color="auto" w:fill="auto"/>
                  <w:tcMar>
                    <w:left w:w="28" w:type="dxa"/>
                    <w:right w:w="28" w:type="dxa"/>
                  </w:tcMar>
                  <w:vAlign w:val="center"/>
                </w:tcPr>
                <w:p w14:paraId="3A146529">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cs="宋体"/>
                      <w:color w:val="auto"/>
                      <w:szCs w:val="21"/>
                      <w:lang w:bidi="ar"/>
                    </w:rPr>
                  </w:pPr>
                  <w:r>
                    <w:rPr>
                      <w:rFonts w:hint="eastAsia" w:cs="宋体"/>
                      <w:color w:val="auto"/>
                      <w:szCs w:val="21"/>
                      <w:lang w:bidi="ar"/>
                    </w:rPr>
                    <w:t>固废</w:t>
                  </w:r>
                </w:p>
              </w:tc>
              <w:tc>
                <w:tcPr>
                  <w:tcW w:w="32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8E533A2">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S1</w:t>
                  </w:r>
                </w:p>
              </w:tc>
              <w:tc>
                <w:tcPr>
                  <w:tcW w:w="664"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F41B2B2">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边角料</w:t>
                  </w:r>
                </w:p>
              </w:tc>
              <w:tc>
                <w:tcPr>
                  <w:tcW w:w="870"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F70F39D">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冲片加工、转轴加工、机壳加工、端盖加工</w:t>
                  </w:r>
                </w:p>
              </w:tc>
              <w:tc>
                <w:tcPr>
                  <w:tcW w:w="69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F938118">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s="宋体"/>
                      <w:color w:val="auto"/>
                      <w:szCs w:val="21"/>
                      <w:lang w:bidi="ar"/>
                    </w:rPr>
                    <w:t>一般固废</w:t>
                  </w:r>
                </w:p>
              </w:tc>
              <w:tc>
                <w:tcPr>
                  <w:tcW w:w="661"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96CC07A">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金属</w:t>
                  </w:r>
                </w:p>
              </w:tc>
              <w:tc>
                <w:tcPr>
                  <w:tcW w:w="1387" w:type="pct"/>
                  <w:gridSpan w:val="2"/>
                  <w:tcBorders>
                    <w:top w:val="single" w:color="auto" w:sz="4" w:space="0"/>
                    <w:left w:val="single" w:color="auto" w:sz="4" w:space="0"/>
                    <w:right w:val="nil"/>
                  </w:tcBorders>
                  <w:shd w:val="clear" w:color="auto" w:fill="auto"/>
                  <w:vAlign w:val="center"/>
                </w:tcPr>
                <w:p w14:paraId="48F65030">
                  <w:pPr>
                    <w:keepNext w:val="0"/>
                    <w:keepLines w:val="0"/>
                    <w:pageBreakBefore w:val="0"/>
                    <w:tabs>
                      <w:tab w:val="left" w:pos="277"/>
                      <w:tab w:val="left" w:pos="600"/>
                      <w:tab w:val="left" w:pos="780"/>
                      <w:tab w:val="left" w:pos="2517"/>
                    </w:tabs>
                    <w:kinsoku/>
                    <w:wordWrap/>
                    <w:overflowPunct/>
                    <w:topLinePunct w:val="0"/>
                    <w:autoSpaceDE/>
                    <w:autoSpaceDN/>
                    <w:bidi w:val="0"/>
                    <w:adjustRightInd w:val="0"/>
                    <w:snapToGrid w:val="0"/>
                    <w:spacing w:beforeAutospacing="0" w:afterAutospacing="0"/>
                    <w:ind w:firstLine="0"/>
                    <w:jc w:val="center"/>
                    <w:textAlignment w:val="baseline"/>
                    <w:rPr>
                      <w:rFonts w:cs="宋体"/>
                      <w:color w:val="auto"/>
                      <w:kern w:val="0"/>
                      <w:szCs w:val="21"/>
                      <w:lang w:bidi="ar"/>
                    </w:rPr>
                  </w:pPr>
                  <w:r>
                    <w:rPr>
                      <w:rFonts w:hint="eastAsia" w:cs="宋体"/>
                      <w:color w:val="auto"/>
                      <w:kern w:val="0"/>
                      <w:szCs w:val="21"/>
                      <w:lang w:bidi="ar"/>
                    </w:rPr>
                    <w:t>定期外售综合利用</w:t>
                  </w:r>
                </w:p>
              </w:tc>
            </w:tr>
            <w:tr w14:paraId="6516D9D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tcBorders>
                    <w:left w:val="nil"/>
                    <w:right w:val="single" w:color="auto" w:sz="4" w:space="0"/>
                  </w:tcBorders>
                  <w:shd w:val="clear" w:color="auto" w:fill="auto"/>
                  <w:tcMar>
                    <w:left w:w="28" w:type="dxa"/>
                    <w:right w:w="28" w:type="dxa"/>
                  </w:tcMar>
                  <w:vAlign w:val="center"/>
                </w:tcPr>
                <w:p w14:paraId="3DA1FA23">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cs="宋体"/>
                      <w:color w:val="auto"/>
                      <w:szCs w:val="21"/>
                      <w:lang w:bidi="ar"/>
                    </w:rPr>
                  </w:pPr>
                </w:p>
              </w:tc>
              <w:tc>
                <w:tcPr>
                  <w:tcW w:w="32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DA1C625">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S2</w:t>
                  </w:r>
                </w:p>
              </w:tc>
              <w:tc>
                <w:tcPr>
                  <w:tcW w:w="664"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4A45A3B">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废切削液</w:t>
                  </w:r>
                </w:p>
              </w:tc>
              <w:tc>
                <w:tcPr>
                  <w:tcW w:w="870"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212FF99">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冲片加工、转轴加工、机壳加工、端盖加工</w:t>
                  </w:r>
                </w:p>
              </w:tc>
              <w:tc>
                <w:tcPr>
                  <w:tcW w:w="69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4E933A9">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cs="宋体"/>
                      <w:color w:val="auto"/>
                      <w:szCs w:val="21"/>
                      <w:lang w:bidi="ar"/>
                    </w:rPr>
                  </w:pPr>
                  <w:r>
                    <w:rPr>
                      <w:rFonts w:hint="eastAsia" w:cs="宋体"/>
                      <w:color w:val="auto"/>
                      <w:szCs w:val="21"/>
                      <w:lang w:bidi="ar"/>
                    </w:rPr>
                    <w:t>危废废物</w:t>
                  </w:r>
                </w:p>
              </w:tc>
              <w:tc>
                <w:tcPr>
                  <w:tcW w:w="661"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99FC548">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矿物油、金属</w:t>
                  </w:r>
                </w:p>
              </w:tc>
              <w:tc>
                <w:tcPr>
                  <w:tcW w:w="1387" w:type="pct"/>
                  <w:gridSpan w:val="2"/>
                  <w:tcBorders>
                    <w:top w:val="single" w:color="auto" w:sz="4" w:space="0"/>
                    <w:left w:val="single" w:color="auto" w:sz="4" w:space="0"/>
                    <w:right w:val="nil"/>
                  </w:tcBorders>
                  <w:shd w:val="clear" w:color="auto" w:fill="auto"/>
                  <w:vAlign w:val="center"/>
                </w:tcPr>
                <w:p w14:paraId="7A96C9CB">
                  <w:pPr>
                    <w:keepNext w:val="0"/>
                    <w:keepLines w:val="0"/>
                    <w:pageBreakBefore w:val="0"/>
                    <w:tabs>
                      <w:tab w:val="left" w:pos="277"/>
                      <w:tab w:val="left" w:pos="600"/>
                      <w:tab w:val="left" w:pos="780"/>
                      <w:tab w:val="left" w:pos="2517"/>
                    </w:tabs>
                    <w:kinsoku/>
                    <w:wordWrap/>
                    <w:overflowPunct/>
                    <w:topLinePunct w:val="0"/>
                    <w:autoSpaceDE/>
                    <w:autoSpaceDN/>
                    <w:bidi w:val="0"/>
                    <w:adjustRightInd w:val="0"/>
                    <w:snapToGrid w:val="0"/>
                    <w:spacing w:beforeAutospacing="0" w:afterAutospacing="0"/>
                    <w:ind w:firstLine="0"/>
                    <w:jc w:val="center"/>
                    <w:textAlignment w:val="baseline"/>
                    <w:rPr>
                      <w:rFonts w:cs="宋体"/>
                      <w:color w:val="auto"/>
                      <w:kern w:val="0"/>
                      <w:szCs w:val="21"/>
                      <w:lang w:bidi="ar"/>
                    </w:rPr>
                  </w:pPr>
                  <w:r>
                    <w:rPr>
                      <w:rFonts w:hint="eastAsia" w:cs="宋体"/>
                      <w:color w:val="auto"/>
                      <w:kern w:val="0"/>
                      <w:szCs w:val="21"/>
                      <w:lang w:bidi="ar"/>
                    </w:rPr>
                    <w:t>定期交由有资质单位安全处置</w:t>
                  </w:r>
                </w:p>
              </w:tc>
            </w:tr>
            <w:tr w14:paraId="779C673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tcBorders>
                    <w:left w:val="nil"/>
                    <w:right w:val="single" w:color="auto" w:sz="4" w:space="0"/>
                  </w:tcBorders>
                  <w:shd w:val="clear" w:color="auto" w:fill="auto"/>
                  <w:tcMar>
                    <w:left w:w="28" w:type="dxa"/>
                    <w:right w:w="28" w:type="dxa"/>
                  </w:tcMar>
                  <w:vAlign w:val="center"/>
                </w:tcPr>
                <w:p w14:paraId="23AF4C23">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cs="宋体"/>
                      <w:color w:val="auto"/>
                      <w:szCs w:val="21"/>
                      <w:lang w:bidi="ar"/>
                    </w:rPr>
                  </w:pPr>
                </w:p>
              </w:tc>
              <w:tc>
                <w:tcPr>
                  <w:tcW w:w="32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0AD8FFA">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S3</w:t>
                  </w:r>
                </w:p>
              </w:tc>
              <w:tc>
                <w:tcPr>
                  <w:tcW w:w="664"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BC010F3">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废漆包线</w:t>
                  </w:r>
                </w:p>
              </w:tc>
              <w:tc>
                <w:tcPr>
                  <w:tcW w:w="870"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BBBAE4C">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下线整形</w:t>
                  </w:r>
                </w:p>
              </w:tc>
              <w:tc>
                <w:tcPr>
                  <w:tcW w:w="69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548591C">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cs="宋体"/>
                      <w:color w:val="auto"/>
                      <w:szCs w:val="21"/>
                      <w:lang w:bidi="ar"/>
                    </w:rPr>
                  </w:pPr>
                  <w:r>
                    <w:rPr>
                      <w:rFonts w:hint="eastAsia" w:cs="宋体"/>
                      <w:color w:val="auto"/>
                      <w:szCs w:val="21"/>
                      <w:lang w:bidi="ar"/>
                    </w:rPr>
                    <w:t>一般固废</w:t>
                  </w:r>
                </w:p>
              </w:tc>
              <w:tc>
                <w:tcPr>
                  <w:tcW w:w="661"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69AD1FE">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金属</w:t>
                  </w:r>
                </w:p>
              </w:tc>
              <w:tc>
                <w:tcPr>
                  <w:tcW w:w="1387" w:type="pct"/>
                  <w:gridSpan w:val="2"/>
                  <w:vMerge w:val="restart"/>
                  <w:tcBorders>
                    <w:top w:val="single" w:color="auto" w:sz="4" w:space="0"/>
                    <w:left w:val="single" w:color="auto" w:sz="4" w:space="0"/>
                    <w:right w:val="nil"/>
                  </w:tcBorders>
                  <w:shd w:val="clear" w:color="auto" w:fill="auto"/>
                  <w:vAlign w:val="center"/>
                </w:tcPr>
                <w:p w14:paraId="4D083CBF">
                  <w:pPr>
                    <w:keepNext w:val="0"/>
                    <w:keepLines w:val="0"/>
                    <w:pageBreakBefore w:val="0"/>
                    <w:tabs>
                      <w:tab w:val="left" w:pos="277"/>
                      <w:tab w:val="left" w:pos="600"/>
                      <w:tab w:val="left" w:pos="780"/>
                      <w:tab w:val="left" w:pos="2517"/>
                    </w:tabs>
                    <w:kinsoku/>
                    <w:wordWrap/>
                    <w:overflowPunct/>
                    <w:topLinePunct w:val="0"/>
                    <w:autoSpaceDE/>
                    <w:autoSpaceDN/>
                    <w:bidi w:val="0"/>
                    <w:adjustRightInd w:val="0"/>
                    <w:snapToGrid w:val="0"/>
                    <w:spacing w:beforeAutospacing="0" w:afterAutospacing="0"/>
                    <w:ind w:firstLine="0"/>
                    <w:jc w:val="center"/>
                    <w:textAlignment w:val="baseline"/>
                    <w:rPr>
                      <w:rFonts w:cs="宋体"/>
                      <w:color w:val="auto"/>
                      <w:kern w:val="0"/>
                      <w:szCs w:val="21"/>
                      <w:lang w:bidi="ar"/>
                    </w:rPr>
                  </w:pPr>
                  <w:r>
                    <w:rPr>
                      <w:rFonts w:hint="eastAsia" w:cs="宋体"/>
                      <w:color w:val="auto"/>
                      <w:kern w:val="0"/>
                      <w:szCs w:val="21"/>
                      <w:lang w:bidi="ar"/>
                    </w:rPr>
                    <w:t>定期外售综合利用</w:t>
                  </w:r>
                </w:p>
              </w:tc>
            </w:tr>
            <w:tr w14:paraId="61528CF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tcBorders>
                    <w:left w:val="nil"/>
                    <w:right w:val="single" w:color="auto" w:sz="4" w:space="0"/>
                  </w:tcBorders>
                  <w:shd w:val="clear" w:color="auto" w:fill="auto"/>
                  <w:tcMar>
                    <w:left w:w="28" w:type="dxa"/>
                    <w:right w:w="28" w:type="dxa"/>
                  </w:tcMar>
                  <w:vAlign w:val="center"/>
                </w:tcPr>
                <w:p w14:paraId="10DD17C3">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cs="宋体"/>
                      <w:color w:val="auto"/>
                      <w:szCs w:val="21"/>
                      <w:lang w:bidi="ar"/>
                    </w:rPr>
                  </w:pPr>
                </w:p>
              </w:tc>
              <w:tc>
                <w:tcPr>
                  <w:tcW w:w="32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DE27864">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S4</w:t>
                  </w:r>
                </w:p>
              </w:tc>
              <w:tc>
                <w:tcPr>
                  <w:tcW w:w="664"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D25657F">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不合格品</w:t>
                  </w:r>
                </w:p>
              </w:tc>
              <w:tc>
                <w:tcPr>
                  <w:tcW w:w="870"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4C47CB0">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转子动平衡测试、定子综合测试、整机测试、</w:t>
                  </w:r>
                  <w:r>
                    <w:rPr>
                      <w:rFonts w:hint="eastAsia"/>
                      <w:color w:val="auto"/>
                      <w:kern w:val="0"/>
                      <w:szCs w:val="21"/>
                    </w:rPr>
                    <w:t>PCBA半成品板测试、安全性测试、电性能测试、高温老化测试、负载测试、FQC检验</w:t>
                  </w:r>
                </w:p>
              </w:tc>
              <w:tc>
                <w:tcPr>
                  <w:tcW w:w="69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9268218">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cs="宋体"/>
                      <w:color w:val="auto"/>
                      <w:szCs w:val="21"/>
                      <w:lang w:bidi="ar"/>
                    </w:rPr>
                  </w:pPr>
                  <w:r>
                    <w:rPr>
                      <w:rFonts w:hint="eastAsia" w:cs="宋体"/>
                      <w:color w:val="auto"/>
                      <w:szCs w:val="21"/>
                      <w:lang w:bidi="ar"/>
                    </w:rPr>
                    <w:t>一般固废</w:t>
                  </w:r>
                </w:p>
              </w:tc>
              <w:tc>
                <w:tcPr>
                  <w:tcW w:w="661"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C5F6EC6">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金属</w:t>
                  </w:r>
                </w:p>
              </w:tc>
              <w:tc>
                <w:tcPr>
                  <w:tcW w:w="1387" w:type="pct"/>
                  <w:gridSpan w:val="2"/>
                  <w:vMerge w:val="continue"/>
                  <w:tcBorders>
                    <w:left w:val="single" w:color="auto" w:sz="4" w:space="0"/>
                    <w:right w:val="nil"/>
                  </w:tcBorders>
                  <w:shd w:val="clear" w:color="auto" w:fill="auto"/>
                  <w:vAlign w:val="center"/>
                </w:tcPr>
                <w:p w14:paraId="44CE2B21">
                  <w:pPr>
                    <w:keepNext w:val="0"/>
                    <w:keepLines w:val="0"/>
                    <w:pageBreakBefore w:val="0"/>
                    <w:tabs>
                      <w:tab w:val="left" w:pos="277"/>
                      <w:tab w:val="left" w:pos="600"/>
                      <w:tab w:val="left" w:pos="780"/>
                      <w:tab w:val="left" w:pos="2517"/>
                    </w:tabs>
                    <w:kinsoku/>
                    <w:wordWrap/>
                    <w:overflowPunct/>
                    <w:topLinePunct w:val="0"/>
                    <w:autoSpaceDE/>
                    <w:autoSpaceDN/>
                    <w:bidi w:val="0"/>
                    <w:adjustRightInd w:val="0"/>
                    <w:snapToGrid w:val="0"/>
                    <w:spacing w:beforeAutospacing="0" w:afterAutospacing="0"/>
                    <w:ind w:firstLine="0"/>
                    <w:jc w:val="center"/>
                    <w:textAlignment w:val="baseline"/>
                    <w:rPr>
                      <w:rFonts w:cs="宋体"/>
                      <w:color w:val="auto"/>
                      <w:kern w:val="0"/>
                      <w:szCs w:val="21"/>
                      <w:lang w:bidi="ar"/>
                    </w:rPr>
                  </w:pPr>
                </w:p>
              </w:tc>
            </w:tr>
            <w:tr w14:paraId="4437226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tcBorders>
                    <w:left w:val="nil"/>
                    <w:right w:val="single" w:color="auto" w:sz="4" w:space="0"/>
                  </w:tcBorders>
                  <w:shd w:val="clear" w:color="auto" w:fill="auto"/>
                  <w:tcMar>
                    <w:left w:w="28" w:type="dxa"/>
                    <w:right w:w="28" w:type="dxa"/>
                  </w:tcMar>
                  <w:vAlign w:val="center"/>
                </w:tcPr>
                <w:p w14:paraId="7648D043">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cs="宋体"/>
                      <w:color w:val="auto"/>
                      <w:szCs w:val="21"/>
                      <w:lang w:bidi="ar"/>
                    </w:rPr>
                  </w:pPr>
                </w:p>
              </w:tc>
              <w:tc>
                <w:tcPr>
                  <w:tcW w:w="32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5CD18EF">
                  <w:pPr>
                    <w:keepNext w:val="0"/>
                    <w:keepLines w:val="0"/>
                    <w:pageBreakBefore w:val="0"/>
                    <w:widowControl/>
                    <w:kinsoku/>
                    <w:wordWrap/>
                    <w:overflowPunct/>
                    <w:topLinePunct w:val="0"/>
                    <w:autoSpaceDE/>
                    <w:autoSpaceDN/>
                    <w:bidi w:val="0"/>
                    <w:adjustRightInd w:val="0"/>
                    <w:snapToGrid w:val="0"/>
                    <w:spacing w:beforeAutospacing="0" w:afterAutospacing="0"/>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S5</w:t>
                  </w:r>
                </w:p>
              </w:tc>
              <w:tc>
                <w:tcPr>
                  <w:tcW w:w="664"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F2D598A">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rFonts w:hint="eastAsia" w:eastAsia="宋体"/>
                      <w:color w:val="auto"/>
                      <w:szCs w:val="21"/>
                      <w:lang w:eastAsia="zh-CN"/>
                    </w:rPr>
                  </w:pPr>
                  <w:r>
                    <w:rPr>
                      <w:rFonts w:hint="eastAsia"/>
                      <w:color w:val="auto"/>
                      <w:szCs w:val="21"/>
                      <w:lang w:eastAsia="zh-CN"/>
                    </w:rPr>
                    <w:t>废抹布</w:t>
                  </w:r>
                </w:p>
              </w:tc>
              <w:tc>
                <w:tcPr>
                  <w:tcW w:w="870"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60825E1">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int="eastAsia" w:eastAsia="宋体"/>
                      <w:color w:val="auto"/>
                      <w:szCs w:val="21"/>
                      <w:lang w:eastAsia="zh-CN"/>
                    </w:rPr>
                  </w:pPr>
                  <w:r>
                    <w:rPr>
                      <w:rFonts w:hint="eastAsia"/>
                      <w:color w:val="auto"/>
                      <w:szCs w:val="21"/>
                      <w:lang w:eastAsia="zh-CN"/>
                    </w:rPr>
                    <w:t>擦拭</w:t>
                  </w:r>
                </w:p>
              </w:tc>
              <w:tc>
                <w:tcPr>
                  <w:tcW w:w="69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5FF8BDA">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int="eastAsia" w:eastAsia="宋体" w:cs="宋体"/>
                      <w:color w:val="auto"/>
                      <w:szCs w:val="21"/>
                      <w:lang w:eastAsia="zh-CN" w:bidi="ar"/>
                    </w:rPr>
                  </w:pPr>
                  <w:r>
                    <w:rPr>
                      <w:rFonts w:hint="eastAsia" w:cs="宋体"/>
                      <w:color w:val="auto"/>
                      <w:szCs w:val="21"/>
                      <w:lang w:eastAsia="zh-CN" w:bidi="ar"/>
                    </w:rPr>
                    <w:t>危险废物</w:t>
                  </w:r>
                </w:p>
              </w:tc>
              <w:tc>
                <w:tcPr>
                  <w:tcW w:w="661"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E44DE4A">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int="eastAsia" w:eastAsia="宋体"/>
                      <w:color w:val="auto"/>
                      <w:szCs w:val="21"/>
                      <w:lang w:eastAsia="zh-CN"/>
                    </w:rPr>
                  </w:pPr>
                  <w:r>
                    <w:rPr>
                      <w:rFonts w:hint="eastAsia"/>
                      <w:color w:val="auto"/>
                      <w:szCs w:val="21"/>
                      <w:lang w:eastAsia="zh-CN"/>
                    </w:rPr>
                    <w:t>有机物</w:t>
                  </w:r>
                </w:p>
              </w:tc>
              <w:tc>
                <w:tcPr>
                  <w:tcW w:w="1387" w:type="pct"/>
                  <w:gridSpan w:val="2"/>
                  <w:tcBorders>
                    <w:left w:val="single" w:color="auto" w:sz="4" w:space="0"/>
                    <w:right w:val="nil"/>
                  </w:tcBorders>
                  <w:shd w:val="clear" w:color="auto" w:fill="auto"/>
                  <w:vAlign w:val="center"/>
                </w:tcPr>
                <w:p w14:paraId="45E13AD2">
                  <w:pPr>
                    <w:keepNext w:val="0"/>
                    <w:keepLines w:val="0"/>
                    <w:pageBreakBefore w:val="0"/>
                    <w:tabs>
                      <w:tab w:val="left" w:pos="277"/>
                      <w:tab w:val="left" w:pos="600"/>
                      <w:tab w:val="left" w:pos="780"/>
                      <w:tab w:val="left" w:pos="2517"/>
                    </w:tabs>
                    <w:kinsoku/>
                    <w:wordWrap/>
                    <w:overflowPunct/>
                    <w:topLinePunct w:val="0"/>
                    <w:autoSpaceDE/>
                    <w:autoSpaceDN/>
                    <w:bidi w:val="0"/>
                    <w:adjustRightInd w:val="0"/>
                    <w:snapToGrid w:val="0"/>
                    <w:spacing w:beforeAutospacing="0" w:afterAutospacing="0"/>
                    <w:ind w:firstLine="0"/>
                    <w:jc w:val="center"/>
                    <w:textAlignment w:val="baseline"/>
                    <w:rPr>
                      <w:rFonts w:cs="宋体"/>
                      <w:color w:val="auto"/>
                      <w:kern w:val="0"/>
                      <w:szCs w:val="21"/>
                      <w:lang w:bidi="ar"/>
                    </w:rPr>
                  </w:pPr>
                  <w:r>
                    <w:rPr>
                      <w:rFonts w:hint="eastAsia" w:cs="宋体"/>
                      <w:color w:val="auto"/>
                      <w:kern w:val="0"/>
                      <w:szCs w:val="21"/>
                      <w:lang w:bidi="ar"/>
                    </w:rPr>
                    <w:t>定期交由有资质单位安全处置</w:t>
                  </w:r>
                </w:p>
              </w:tc>
            </w:tr>
            <w:tr w14:paraId="3DDF779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tcBorders>
                    <w:left w:val="nil"/>
                    <w:right w:val="single" w:color="auto" w:sz="4" w:space="0"/>
                  </w:tcBorders>
                  <w:shd w:val="clear" w:color="auto" w:fill="auto"/>
                  <w:tcMar>
                    <w:left w:w="28" w:type="dxa"/>
                    <w:right w:w="28" w:type="dxa"/>
                  </w:tcMar>
                  <w:vAlign w:val="center"/>
                </w:tcPr>
                <w:p w14:paraId="668790A7">
                  <w:pPr>
                    <w:keepNext w:val="0"/>
                    <w:keepLines w:val="0"/>
                    <w:pageBreakBefore w:val="0"/>
                    <w:kinsoku/>
                    <w:wordWrap/>
                    <w:overflowPunct/>
                    <w:topLinePunct w:val="0"/>
                    <w:autoSpaceDE/>
                    <w:autoSpaceDN/>
                    <w:bidi w:val="0"/>
                    <w:adjustRightInd w:val="0"/>
                    <w:snapToGrid w:val="0"/>
                    <w:spacing w:beforeAutospacing="0" w:afterAutospacing="0"/>
                    <w:ind w:firstLine="0"/>
                    <w:rPr>
                      <w:color w:val="auto"/>
                      <w:sz w:val="20"/>
                      <w:szCs w:val="20"/>
                    </w:rPr>
                  </w:pPr>
                </w:p>
              </w:tc>
              <w:tc>
                <w:tcPr>
                  <w:tcW w:w="32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2555355">
                  <w:pPr>
                    <w:keepNext w:val="0"/>
                    <w:keepLines w:val="0"/>
                    <w:pageBreakBefore w:val="0"/>
                    <w:widowControl/>
                    <w:kinsoku/>
                    <w:wordWrap/>
                    <w:overflowPunct/>
                    <w:topLinePunct w:val="0"/>
                    <w:autoSpaceDE/>
                    <w:autoSpaceDN/>
                    <w:bidi w:val="0"/>
                    <w:adjustRightInd w:val="0"/>
                    <w:snapToGrid w:val="0"/>
                    <w:spacing w:beforeAutospacing="0" w:afterAutospacing="0"/>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Cs w:val="21"/>
                    </w:rPr>
                    <w:t>S6</w:t>
                  </w:r>
                </w:p>
              </w:tc>
              <w:tc>
                <w:tcPr>
                  <w:tcW w:w="664"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D1F6C2F">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质量检测不合格品</w:t>
                  </w:r>
                </w:p>
              </w:tc>
              <w:tc>
                <w:tcPr>
                  <w:tcW w:w="870"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4BE14EF">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kern w:val="0"/>
                      <w:szCs w:val="21"/>
                    </w:rPr>
                    <w:t>来料质量检测</w:t>
                  </w:r>
                </w:p>
              </w:tc>
              <w:tc>
                <w:tcPr>
                  <w:tcW w:w="69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A50F07F">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s="宋体"/>
                      <w:color w:val="auto"/>
                      <w:szCs w:val="21"/>
                      <w:lang w:bidi="ar"/>
                    </w:rPr>
                    <w:t>一般固废</w:t>
                  </w:r>
                </w:p>
              </w:tc>
              <w:tc>
                <w:tcPr>
                  <w:tcW w:w="661"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58A54E2">
                  <w:pPr>
                    <w:keepNext w:val="0"/>
                    <w:keepLines w:val="0"/>
                    <w:pageBreakBefore w:val="0"/>
                    <w:tabs>
                      <w:tab w:val="left" w:pos="277"/>
                      <w:tab w:val="left" w:pos="600"/>
                      <w:tab w:val="left" w:pos="780"/>
                      <w:tab w:val="left" w:pos="2517"/>
                    </w:tabs>
                    <w:kinsoku/>
                    <w:wordWrap/>
                    <w:overflowPunct/>
                    <w:topLinePunct w:val="0"/>
                    <w:autoSpaceDE/>
                    <w:autoSpaceDN/>
                    <w:bidi w:val="0"/>
                    <w:adjustRightInd w:val="0"/>
                    <w:snapToGrid w:val="0"/>
                    <w:spacing w:beforeAutospacing="0" w:afterAutospacing="0"/>
                    <w:ind w:firstLine="0"/>
                    <w:jc w:val="center"/>
                    <w:textAlignment w:val="baseline"/>
                    <w:rPr>
                      <w:color w:val="auto"/>
                      <w:kern w:val="0"/>
                      <w:szCs w:val="21"/>
                    </w:rPr>
                  </w:pPr>
                  <w:r>
                    <w:rPr>
                      <w:rFonts w:hint="eastAsia"/>
                      <w:color w:val="auto"/>
                      <w:kern w:val="0"/>
                      <w:szCs w:val="21"/>
                    </w:rPr>
                    <w:t>金属</w:t>
                  </w:r>
                </w:p>
              </w:tc>
              <w:tc>
                <w:tcPr>
                  <w:tcW w:w="1387" w:type="pct"/>
                  <w:gridSpan w:val="2"/>
                  <w:vMerge w:val="restart"/>
                  <w:tcBorders>
                    <w:left w:val="single" w:color="auto" w:sz="4" w:space="0"/>
                    <w:right w:val="nil"/>
                  </w:tcBorders>
                  <w:shd w:val="clear" w:color="auto" w:fill="auto"/>
                  <w:vAlign w:val="center"/>
                </w:tcPr>
                <w:p w14:paraId="39E6C030">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 w:val="20"/>
                      <w:szCs w:val="20"/>
                    </w:rPr>
                  </w:pPr>
                  <w:r>
                    <w:rPr>
                      <w:rFonts w:hint="eastAsia" w:cs="宋体"/>
                      <w:color w:val="auto"/>
                      <w:kern w:val="0"/>
                      <w:szCs w:val="21"/>
                      <w:lang w:bidi="ar"/>
                    </w:rPr>
                    <w:t>定期外售综合利用</w:t>
                  </w:r>
                </w:p>
              </w:tc>
            </w:tr>
            <w:tr w14:paraId="56CE103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tcBorders>
                    <w:left w:val="nil"/>
                    <w:right w:val="single" w:color="auto" w:sz="4" w:space="0"/>
                  </w:tcBorders>
                  <w:shd w:val="clear" w:color="auto" w:fill="auto"/>
                  <w:tcMar>
                    <w:left w:w="28" w:type="dxa"/>
                    <w:right w:w="28" w:type="dxa"/>
                  </w:tcMar>
                  <w:vAlign w:val="center"/>
                </w:tcPr>
                <w:p w14:paraId="4F0CA258">
                  <w:pPr>
                    <w:keepNext w:val="0"/>
                    <w:keepLines w:val="0"/>
                    <w:pageBreakBefore w:val="0"/>
                    <w:kinsoku/>
                    <w:wordWrap/>
                    <w:overflowPunct/>
                    <w:topLinePunct w:val="0"/>
                    <w:autoSpaceDE/>
                    <w:autoSpaceDN/>
                    <w:bidi w:val="0"/>
                    <w:adjustRightInd w:val="0"/>
                    <w:snapToGrid w:val="0"/>
                    <w:spacing w:beforeAutospacing="0" w:afterAutospacing="0"/>
                    <w:ind w:firstLine="0"/>
                    <w:rPr>
                      <w:color w:val="auto"/>
                      <w:sz w:val="20"/>
                      <w:szCs w:val="20"/>
                    </w:rPr>
                  </w:pPr>
                </w:p>
              </w:tc>
              <w:tc>
                <w:tcPr>
                  <w:tcW w:w="32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E6C520E">
                  <w:pPr>
                    <w:keepNext w:val="0"/>
                    <w:keepLines w:val="0"/>
                    <w:pageBreakBefore w:val="0"/>
                    <w:widowControl/>
                    <w:kinsoku/>
                    <w:wordWrap/>
                    <w:overflowPunct/>
                    <w:topLinePunct w:val="0"/>
                    <w:autoSpaceDE/>
                    <w:autoSpaceDN/>
                    <w:bidi w:val="0"/>
                    <w:adjustRightInd w:val="0"/>
                    <w:snapToGrid w:val="0"/>
                    <w:spacing w:beforeAutospacing="0" w:afterAutospacing="0"/>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Cs w:val="21"/>
                    </w:rPr>
                    <w:t>S7</w:t>
                  </w:r>
                </w:p>
              </w:tc>
              <w:tc>
                <w:tcPr>
                  <w:tcW w:w="664"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7DF77FE">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废包装材料</w:t>
                  </w:r>
                </w:p>
              </w:tc>
              <w:tc>
                <w:tcPr>
                  <w:tcW w:w="870"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C062658">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物料储存</w:t>
                  </w:r>
                </w:p>
              </w:tc>
              <w:tc>
                <w:tcPr>
                  <w:tcW w:w="69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FB6F5BB">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s="宋体"/>
                      <w:color w:val="auto"/>
                      <w:szCs w:val="21"/>
                      <w:lang w:bidi="ar"/>
                    </w:rPr>
                    <w:t>一般固废</w:t>
                  </w:r>
                </w:p>
              </w:tc>
              <w:tc>
                <w:tcPr>
                  <w:tcW w:w="661"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869FD2B">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塑料</w:t>
                  </w:r>
                </w:p>
              </w:tc>
              <w:tc>
                <w:tcPr>
                  <w:tcW w:w="1387" w:type="pct"/>
                  <w:gridSpan w:val="2"/>
                  <w:vMerge w:val="continue"/>
                  <w:tcBorders>
                    <w:left w:val="single" w:color="auto" w:sz="4" w:space="0"/>
                    <w:right w:val="nil"/>
                  </w:tcBorders>
                  <w:shd w:val="clear" w:color="auto" w:fill="auto"/>
                  <w:vAlign w:val="center"/>
                </w:tcPr>
                <w:p w14:paraId="049332C6">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 w:val="20"/>
                      <w:szCs w:val="20"/>
                    </w:rPr>
                  </w:pPr>
                </w:p>
              </w:tc>
            </w:tr>
            <w:tr w14:paraId="3C02375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tcBorders>
                    <w:left w:val="nil"/>
                    <w:right w:val="single" w:color="auto" w:sz="4" w:space="0"/>
                  </w:tcBorders>
                  <w:shd w:val="clear" w:color="auto" w:fill="auto"/>
                  <w:tcMar>
                    <w:left w:w="28" w:type="dxa"/>
                    <w:right w:w="28" w:type="dxa"/>
                  </w:tcMar>
                  <w:vAlign w:val="center"/>
                </w:tcPr>
                <w:p w14:paraId="1EB7E7E6">
                  <w:pPr>
                    <w:keepNext w:val="0"/>
                    <w:keepLines w:val="0"/>
                    <w:pageBreakBefore w:val="0"/>
                    <w:kinsoku/>
                    <w:wordWrap/>
                    <w:overflowPunct/>
                    <w:topLinePunct w:val="0"/>
                    <w:autoSpaceDE/>
                    <w:autoSpaceDN/>
                    <w:bidi w:val="0"/>
                    <w:adjustRightInd w:val="0"/>
                    <w:snapToGrid w:val="0"/>
                    <w:spacing w:beforeAutospacing="0" w:afterAutospacing="0"/>
                    <w:ind w:firstLine="0"/>
                    <w:rPr>
                      <w:color w:val="auto"/>
                      <w:sz w:val="20"/>
                      <w:szCs w:val="20"/>
                    </w:rPr>
                  </w:pPr>
                </w:p>
              </w:tc>
              <w:tc>
                <w:tcPr>
                  <w:tcW w:w="32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4420921">
                  <w:pPr>
                    <w:keepNext w:val="0"/>
                    <w:keepLines w:val="0"/>
                    <w:pageBreakBefore w:val="0"/>
                    <w:widowControl/>
                    <w:kinsoku/>
                    <w:wordWrap/>
                    <w:overflowPunct/>
                    <w:topLinePunct w:val="0"/>
                    <w:autoSpaceDE/>
                    <w:autoSpaceDN/>
                    <w:bidi w:val="0"/>
                    <w:adjustRightInd w:val="0"/>
                    <w:snapToGrid w:val="0"/>
                    <w:spacing w:beforeAutospacing="0" w:afterAutospacing="0"/>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Cs w:val="21"/>
                    </w:rPr>
                    <w:t>S8</w:t>
                  </w:r>
                </w:p>
              </w:tc>
              <w:tc>
                <w:tcPr>
                  <w:tcW w:w="664"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A1C4BD1">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布袋除尘灰</w:t>
                  </w:r>
                </w:p>
              </w:tc>
              <w:tc>
                <w:tcPr>
                  <w:tcW w:w="870"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9F30230">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废气处理</w:t>
                  </w:r>
                </w:p>
              </w:tc>
              <w:tc>
                <w:tcPr>
                  <w:tcW w:w="69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5CADFA4">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cs="宋体"/>
                      <w:color w:val="auto"/>
                      <w:szCs w:val="21"/>
                      <w:lang w:bidi="ar"/>
                    </w:rPr>
                  </w:pPr>
                  <w:r>
                    <w:rPr>
                      <w:rFonts w:hint="eastAsia" w:cs="宋体"/>
                      <w:color w:val="auto"/>
                      <w:szCs w:val="21"/>
                      <w:lang w:bidi="ar"/>
                    </w:rPr>
                    <w:t>一般固废</w:t>
                  </w:r>
                </w:p>
              </w:tc>
              <w:tc>
                <w:tcPr>
                  <w:tcW w:w="661"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38C7ACD">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金属</w:t>
                  </w:r>
                </w:p>
              </w:tc>
              <w:tc>
                <w:tcPr>
                  <w:tcW w:w="1387" w:type="pct"/>
                  <w:gridSpan w:val="2"/>
                  <w:vMerge w:val="continue"/>
                  <w:tcBorders>
                    <w:left w:val="single" w:color="auto" w:sz="4" w:space="0"/>
                    <w:right w:val="nil"/>
                  </w:tcBorders>
                  <w:shd w:val="clear" w:color="auto" w:fill="auto"/>
                  <w:vAlign w:val="center"/>
                </w:tcPr>
                <w:p w14:paraId="4D1A1683">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 w:val="20"/>
                      <w:szCs w:val="20"/>
                    </w:rPr>
                  </w:pPr>
                </w:p>
              </w:tc>
            </w:tr>
            <w:tr w14:paraId="6139056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tcBorders>
                    <w:left w:val="nil"/>
                    <w:right w:val="single" w:color="auto" w:sz="4" w:space="0"/>
                  </w:tcBorders>
                  <w:shd w:val="clear" w:color="auto" w:fill="auto"/>
                  <w:tcMar>
                    <w:left w:w="28" w:type="dxa"/>
                    <w:right w:w="28" w:type="dxa"/>
                  </w:tcMar>
                  <w:vAlign w:val="center"/>
                </w:tcPr>
                <w:p w14:paraId="57192F7C">
                  <w:pPr>
                    <w:keepNext w:val="0"/>
                    <w:keepLines w:val="0"/>
                    <w:pageBreakBefore w:val="0"/>
                    <w:kinsoku/>
                    <w:wordWrap/>
                    <w:overflowPunct/>
                    <w:topLinePunct w:val="0"/>
                    <w:autoSpaceDE/>
                    <w:autoSpaceDN/>
                    <w:bidi w:val="0"/>
                    <w:adjustRightInd w:val="0"/>
                    <w:snapToGrid w:val="0"/>
                    <w:spacing w:beforeAutospacing="0" w:afterAutospacing="0"/>
                    <w:ind w:firstLine="0"/>
                    <w:rPr>
                      <w:color w:val="auto"/>
                      <w:sz w:val="20"/>
                      <w:szCs w:val="20"/>
                    </w:rPr>
                  </w:pPr>
                </w:p>
              </w:tc>
              <w:tc>
                <w:tcPr>
                  <w:tcW w:w="32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60B3F99">
                  <w:pPr>
                    <w:keepNext w:val="0"/>
                    <w:keepLines w:val="0"/>
                    <w:pageBreakBefore w:val="0"/>
                    <w:widowControl/>
                    <w:kinsoku/>
                    <w:wordWrap/>
                    <w:overflowPunct/>
                    <w:topLinePunct w:val="0"/>
                    <w:autoSpaceDE/>
                    <w:autoSpaceDN/>
                    <w:bidi w:val="0"/>
                    <w:adjustRightInd w:val="0"/>
                    <w:snapToGrid w:val="0"/>
                    <w:spacing w:beforeAutospacing="0" w:afterAutospacing="0"/>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Cs w:val="21"/>
                    </w:rPr>
                    <w:t>S9</w:t>
                  </w:r>
                </w:p>
              </w:tc>
              <w:tc>
                <w:tcPr>
                  <w:tcW w:w="664"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BF86C5B">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废布袋</w:t>
                  </w:r>
                </w:p>
              </w:tc>
              <w:tc>
                <w:tcPr>
                  <w:tcW w:w="870"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9FE6363">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废气处理</w:t>
                  </w:r>
                </w:p>
              </w:tc>
              <w:tc>
                <w:tcPr>
                  <w:tcW w:w="69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E12658C">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cs="宋体"/>
                      <w:color w:val="auto"/>
                      <w:szCs w:val="21"/>
                      <w:lang w:bidi="ar"/>
                    </w:rPr>
                  </w:pPr>
                  <w:r>
                    <w:rPr>
                      <w:rFonts w:hint="eastAsia" w:cs="宋体"/>
                      <w:color w:val="auto"/>
                      <w:szCs w:val="21"/>
                      <w:lang w:bidi="ar"/>
                    </w:rPr>
                    <w:t>一般固废</w:t>
                  </w:r>
                </w:p>
              </w:tc>
              <w:tc>
                <w:tcPr>
                  <w:tcW w:w="661"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20C3305">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编织物</w:t>
                  </w:r>
                </w:p>
              </w:tc>
              <w:tc>
                <w:tcPr>
                  <w:tcW w:w="1387" w:type="pct"/>
                  <w:gridSpan w:val="2"/>
                  <w:vMerge w:val="continue"/>
                  <w:tcBorders>
                    <w:left w:val="single" w:color="auto" w:sz="4" w:space="0"/>
                    <w:bottom w:val="single" w:color="auto" w:sz="4" w:space="0"/>
                    <w:right w:val="nil"/>
                  </w:tcBorders>
                  <w:shd w:val="clear" w:color="auto" w:fill="auto"/>
                  <w:vAlign w:val="center"/>
                </w:tcPr>
                <w:p w14:paraId="515DFED5">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 w:val="20"/>
                      <w:szCs w:val="20"/>
                    </w:rPr>
                  </w:pPr>
                </w:p>
              </w:tc>
            </w:tr>
            <w:tr w14:paraId="124DED0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tcBorders>
                    <w:left w:val="nil"/>
                    <w:right w:val="single" w:color="auto" w:sz="4" w:space="0"/>
                  </w:tcBorders>
                  <w:shd w:val="clear" w:color="auto" w:fill="auto"/>
                  <w:tcMar>
                    <w:left w:w="28" w:type="dxa"/>
                    <w:right w:w="28" w:type="dxa"/>
                  </w:tcMar>
                  <w:vAlign w:val="center"/>
                </w:tcPr>
                <w:p w14:paraId="521968D6">
                  <w:pPr>
                    <w:keepNext w:val="0"/>
                    <w:keepLines w:val="0"/>
                    <w:pageBreakBefore w:val="0"/>
                    <w:kinsoku/>
                    <w:wordWrap/>
                    <w:overflowPunct/>
                    <w:topLinePunct w:val="0"/>
                    <w:autoSpaceDE/>
                    <w:autoSpaceDN/>
                    <w:bidi w:val="0"/>
                    <w:adjustRightInd w:val="0"/>
                    <w:snapToGrid w:val="0"/>
                    <w:spacing w:beforeAutospacing="0" w:afterAutospacing="0"/>
                    <w:ind w:firstLine="0"/>
                    <w:rPr>
                      <w:color w:val="auto"/>
                      <w:sz w:val="20"/>
                      <w:szCs w:val="20"/>
                    </w:rPr>
                  </w:pPr>
                </w:p>
              </w:tc>
              <w:tc>
                <w:tcPr>
                  <w:tcW w:w="32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824EADB">
                  <w:pPr>
                    <w:keepNext w:val="0"/>
                    <w:keepLines w:val="0"/>
                    <w:pageBreakBefore w:val="0"/>
                    <w:widowControl/>
                    <w:kinsoku/>
                    <w:wordWrap/>
                    <w:overflowPunct/>
                    <w:topLinePunct w:val="0"/>
                    <w:autoSpaceDE/>
                    <w:autoSpaceDN/>
                    <w:bidi w:val="0"/>
                    <w:adjustRightInd w:val="0"/>
                    <w:snapToGrid w:val="0"/>
                    <w:spacing w:beforeAutospacing="0" w:afterAutospacing="0"/>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Cs w:val="21"/>
                    </w:rPr>
                    <w:t>S10</w:t>
                  </w:r>
                </w:p>
              </w:tc>
              <w:tc>
                <w:tcPr>
                  <w:tcW w:w="664"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BC50613">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废包装桶</w:t>
                  </w:r>
                </w:p>
              </w:tc>
              <w:tc>
                <w:tcPr>
                  <w:tcW w:w="870"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77E9C2C">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辅料储存</w:t>
                  </w:r>
                </w:p>
              </w:tc>
              <w:tc>
                <w:tcPr>
                  <w:tcW w:w="69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516A212">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s="宋体"/>
                      <w:color w:val="auto"/>
                      <w:szCs w:val="21"/>
                      <w:lang w:bidi="ar"/>
                    </w:rPr>
                    <w:t>危险废物</w:t>
                  </w:r>
                </w:p>
              </w:tc>
              <w:tc>
                <w:tcPr>
                  <w:tcW w:w="661"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C795356">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矿物油</w:t>
                  </w:r>
                </w:p>
              </w:tc>
              <w:tc>
                <w:tcPr>
                  <w:tcW w:w="1387" w:type="pct"/>
                  <w:gridSpan w:val="2"/>
                  <w:vMerge w:val="restart"/>
                  <w:tcBorders>
                    <w:top w:val="single" w:color="auto" w:sz="4" w:space="0"/>
                    <w:left w:val="single" w:color="auto" w:sz="4" w:space="0"/>
                    <w:right w:val="nil"/>
                  </w:tcBorders>
                  <w:shd w:val="clear" w:color="auto" w:fill="auto"/>
                  <w:vAlign w:val="center"/>
                </w:tcPr>
                <w:p w14:paraId="05F80D65">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 w:val="20"/>
                      <w:szCs w:val="20"/>
                    </w:rPr>
                  </w:pPr>
                  <w:r>
                    <w:rPr>
                      <w:rFonts w:hint="eastAsia" w:cs="宋体"/>
                      <w:color w:val="auto"/>
                      <w:kern w:val="0"/>
                      <w:szCs w:val="21"/>
                      <w:lang w:bidi="ar"/>
                    </w:rPr>
                    <w:t>定期交由有资质单位安全处置</w:t>
                  </w:r>
                </w:p>
              </w:tc>
            </w:tr>
            <w:tr w14:paraId="3E1F6EA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tcBorders>
                    <w:left w:val="nil"/>
                    <w:right w:val="single" w:color="auto" w:sz="4" w:space="0"/>
                  </w:tcBorders>
                  <w:shd w:val="clear" w:color="auto" w:fill="auto"/>
                  <w:tcMar>
                    <w:left w:w="28" w:type="dxa"/>
                    <w:right w:w="28" w:type="dxa"/>
                  </w:tcMar>
                  <w:vAlign w:val="center"/>
                </w:tcPr>
                <w:p w14:paraId="039C87EC">
                  <w:pPr>
                    <w:keepNext w:val="0"/>
                    <w:keepLines w:val="0"/>
                    <w:pageBreakBefore w:val="0"/>
                    <w:kinsoku/>
                    <w:wordWrap/>
                    <w:overflowPunct/>
                    <w:topLinePunct w:val="0"/>
                    <w:autoSpaceDE/>
                    <w:autoSpaceDN/>
                    <w:bidi w:val="0"/>
                    <w:adjustRightInd w:val="0"/>
                    <w:snapToGrid w:val="0"/>
                    <w:spacing w:beforeAutospacing="0" w:afterAutospacing="0"/>
                    <w:ind w:firstLine="0"/>
                    <w:rPr>
                      <w:color w:val="auto"/>
                      <w:sz w:val="20"/>
                      <w:szCs w:val="20"/>
                    </w:rPr>
                  </w:pPr>
                </w:p>
              </w:tc>
              <w:tc>
                <w:tcPr>
                  <w:tcW w:w="32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BBD83E9">
                  <w:pPr>
                    <w:keepNext w:val="0"/>
                    <w:keepLines w:val="0"/>
                    <w:pageBreakBefore w:val="0"/>
                    <w:widowControl/>
                    <w:kinsoku/>
                    <w:wordWrap/>
                    <w:overflowPunct/>
                    <w:topLinePunct w:val="0"/>
                    <w:autoSpaceDE/>
                    <w:autoSpaceDN/>
                    <w:bidi w:val="0"/>
                    <w:adjustRightInd w:val="0"/>
                    <w:snapToGrid w:val="0"/>
                    <w:spacing w:beforeAutospacing="0" w:afterAutospacing="0"/>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Cs w:val="21"/>
                    </w:rPr>
                    <w:t>S11</w:t>
                  </w:r>
                </w:p>
              </w:tc>
              <w:tc>
                <w:tcPr>
                  <w:tcW w:w="664"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9BD909E">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废活性炭</w:t>
                  </w:r>
                </w:p>
              </w:tc>
              <w:tc>
                <w:tcPr>
                  <w:tcW w:w="870"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46BE4DB">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废气处理</w:t>
                  </w:r>
                </w:p>
              </w:tc>
              <w:tc>
                <w:tcPr>
                  <w:tcW w:w="69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BD1026D">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s="宋体"/>
                      <w:color w:val="auto"/>
                      <w:szCs w:val="21"/>
                      <w:lang w:bidi="ar"/>
                    </w:rPr>
                    <w:t>危险废物</w:t>
                  </w:r>
                </w:p>
              </w:tc>
              <w:tc>
                <w:tcPr>
                  <w:tcW w:w="661"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E843137">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有机物</w:t>
                  </w:r>
                </w:p>
              </w:tc>
              <w:tc>
                <w:tcPr>
                  <w:tcW w:w="1387" w:type="pct"/>
                  <w:gridSpan w:val="2"/>
                  <w:vMerge w:val="continue"/>
                  <w:tcBorders>
                    <w:left w:val="single" w:color="auto" w:sz="4" w:space="0"/>
                    <w:right w:val="nil"/>
                  </w:tcBorders>
                  <w:shd w:val="clear" w:color="auto" w:fill="auto"/>
                  <w:vAlign w:val="center"/>
                </w:tcPr>
                <w:p w14:paraId="69CF837D">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 w:val="20"/>
                      <w:szCs w:val="20"/>
                    </w:rPr>
                  </w:pPr>
                </w:p>
              </w:tc>
            </w:tr>
            <w:tr w14:paraId="764ADD1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tcBorders>
                    <w:left w:val="nil"/>
                    <w:right w:val="single" w:color="auto" w:sz="4" w:space="0"/>
                  </w:tcBorders>
                  <w:shd w:val="clear" w:color="auto" w:fill="auto"/>
                  <w:tcMar>
                    <w:left w:w="28" w:type="dxa"/>
                    <w:right w:w="28" w:type="dxa"/>
                  </w:tcMar>
                  <w:vAlign w:val="center"/>
                </w:tcPr>
                <w:p w14:paraId="719F8C81">
                  <w:pPr>
                    <w:keepNext w:val="0"/>
                    <w:keepLines w:val="0"/>
                    <w:pageBreakBefore w:val="0"/>
                    <w:kinsoku/>
                    <w:wordWrap/>
                    <w:overflowPunct/>
                    <w:topLinePunct w:val="0"/>
                    <w:autoSpaceDE/>
                    <w:autoSpaceDN/>
                    <w:bidi w:val="0"/>
                    <w:adjustRightInd w:val="0"/>
                    <w:snapToGrid w:val="0"/>
                    <w:spacing w:beforeAutospacing="0" w:afterAutospacing="0"/>
                    <w:ind w:firstLine="0"/>
                    <w:rPr>
                      <w:color w:val="auto"/>
                      <w:sz w:val="20"/>
                      <w:szCs w:val="20"/>
                    </w:rPr>
                  </w:pPr>
                </w:p>
              </w:tc>
              <w:tc>
                <w:tcPr>
                  <w:tcW w:w="32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9FB3AEC">
                  <w:pPr>
                    <w:keepNext w:val="0"/>
                    <w:keepLines w:val="0"/>
                    <w:pageBreakBefore w:val="0"/>
                    <w:widowControl/>
                    <w:kinsoku/>
                    <w:wordWrap/>
                    <w:overflowPunct/>
                    <w:topLinePunct w:val="0"/>
                    <w:autoSpaceDE/>
                    <w:autoSpaceDN/>
                    <w:bidi w:val="0"/>
                    <w:adjustRightInd w:val="0"/>
                    <w:snapToGrid w:val="0"/>
                    <w:spacing w:beforeAutospacing="0" w:afterAutospacing="0"/>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Cs w:val="21"/>
                    </w:rPr>
                    <w:t>S12</w:t>
                  </w:r>
                </w:p>
              </w:tc>
              <w:tc>
                <w:tcPr>
                  <w:tcW w:w="664"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2A67139">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废润滑油</w:t>
                  </w:r>
                </w:p>
              </w:tc>
              <w:tc>
                <w:tcPr>
                  <w:tcW w:w="870"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C6FF6F6">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s="宋体"/>
                      <w:color w:val="auto"/>
                      <w:szCs w:val="21"/>
                      <w:lang w:bidi="ar"/>
                    </w:rPr>
                    <w:t>设备维护</w:t>
                  </w:r>
                </w:p>
              </w:tc>
              <w:tc>
                <w:tcPr>
                  <w:tcW w:w="69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D844891">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s="宋体"/>
                      <w:color w:val="auto"/>
                      <w:szCs w:val="21"/>
                      <w:lang w:bidi="ar"/>
                    </w:rPr>
                    <w:t>危险废物</w:t>
                  </w:r>
                </w:p>
              </w:tc>
              <w:tc>
                <w:tcPr>
                  <w:tcW w:w="661"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3B73BA3">
                  <w:pPr>
                    <w:keepNext w:val="0"/>
                    <w:keepLines w:val="0"/>
                    <w:pageBreakBefore w:val="0"/>
                    <w:tabs>
                      <w:tab w:val="left" w:pos="277"/>
                      <w:tab w:val="left" w:pos="600"/>
                      <w:tab w:val="left" w:pos="780"/>
                      <w:tab w:val="left" w:pos="2517"/>
                    </w:tabs>
                    <w:kinsoku/>
                    <w:wordWrap/>
                    <w:overflowPunct/>
                    <w:topLinePunct w:val="0"/>
                    <w:autoSpaceDE/>
                    <w:autoSpaceDN/>
                    <w:bidi w:val="0"/>
                    <w:adjustRightInd w:val="0"/>
                    <w:snapToGrid w:val="0"/>
                    <w:spacing w:beforeAutospacing="0" w:afterAutospacing="0"/>
                    <w:ind w:firstLine="0"/>
                    <w:jc w:val="center"/>
                    <w:textAlignment w:val="baseline"/>
                    <w:rPr>
                      <w:color w:val="auto"/>
                      <w:kern w:val="0"/>
                      <w:szCs w:val="21"/>
                    </w:rPr>
                  </w:pPr>
                  <w:r>
                    <w:rPr>
                      <w:rFonts w:hint="eastAsia" w:cs="宋体"/>
                      <w:color w:val="auto"/>
                      <w:kern w:val="0"/>
                      <w:szCs w:val="21"/>
                      <w:lang w:bidi="ar"/>
                    </w:rPr>
                    <w:t>矿物油</w:t>
                  </w:r>
                </w:p>
              </w:tc>
              <w:tc>
                <w:tcPr>
                  <w:tcW w:w="1387" w:type="pct"/>
                  <w:gridSpan w:val="2"/>
                  <w:vMerge w:val="continue"/>
                  <w:tcBorders>
                    <w:left w:val="single" w:color="auto" w:sz="4" w:space="0"/>
                    <w:right w:val="nil"/>
                  </w:tcBorders>
                  <w:shd w:val="clear" w:color="auto" w:fill="auto"/>
                  <w:vAlign w:val="center"/>
                </w:tcPr>
                <w:p w14:paraId="729A389E">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 w:val="20"/>
                      <w:szCs w:val="20"/>
                    </w:rPr>
                  </w:pPr>
                </w:p>
              </w:tc>
            </w:tr>
            <w:tr w14:paraId="5F4ECE3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tcBorders>
                    <w:left w:val="nil"/>
                    <w:right w:val="single" w:color="auto" w:sz="4" w:space="0"/>
                  </w:tcBorders>
                  <w:shd w:val="clear" w:color="auto" w:fill="auto"/>
                  <w:tcMar>
                    <w:left w:w="28" w:type="dxa"/>
                    <w:right w:w="28" w:type="dxa"/>
                  </w:tcMar>
                  <w:vAlign w:val="center"/>
                </w:tcPr>
                <w:p w14:paraId="745B94A8">
                  <w:pPr>
                    <w:keepNext w:val="0"/>
                    <w:keepLines w:val="0"/>
                    <w:pageBreakBefore w:val="0"/>
                    <w:kinsoku/>
                    <w:wordWrap/>
                    <w:overflowPunct/>
                    <w:topLinePunct w:val="0"/>
                    <w:autoSpaceDE/>
                    <w:autoSpaceDN/>
                    <w:bidi w:val="0"/>
                    <w:adjustRightInd w:val="0"/>
                    <w:snapToGrid w:val="0"/>
                    <w:spacing w:beforeAutospacing="0" w:afterAutospacing="0"/>
                    <w:ind w:firstLine="0"/>
                    <w:rPr>
                      <w:color w:val="auto"/>
                      <w:sz w:val="20"/>
                      <w:szCs w:val="20"/>
                    </w:rPr>
                  </w:pPr>
                </w:p>
              </w:tc>
              <w:tc>
                <w:tcPr>
                  <w:tcW w:w="32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81E80A5">
                  <w:pPr>
                    <w:keepNext w:val="0"/>
                    <w:keepLines w:val="0"/>
                    <w:pageBreakBefore w:val="0"/>
                    <w:widowControl/>
                    <w:kinsoku/>
                    <w:wordWrap/>
                    <w:overflowPunct/>
                    <w:topLinePunct w:val="0"/>
                    <w:autoSpaceDE/>
                    <w:autoSpaceDN/>
                    <w:bidi w:val="0"/>
                    <w:adjustRightInd w:val="0"/>
                    <w:snapToGrid w:val="0"/>
                    <w:spacing w:beforeAutospacing="0" w:afterAutospacing="0"/>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Cs w:val="21"/>
                    </w:rPr>
                    <w:t>S13</w:t>
                  </w:r>
                </w:p>
              </w:tc>
              <w:tc>
                <w:tcPr>
                  <w:tcW w:w="664"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57B676A">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废过滤棉</w:t>
                  </w:r>
                </w:p>
              </w:tc>
              <w:tc>
                <w:tcPr>
                  <w:tcW w:w="870"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1612C08">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废气处理</w:t>
                  </w:r>
                </w:p>
              </w:tc>
              <w:tc>
                <w:tcPr>
                  <w:tcW w:w="69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278A3FA">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cs="宋体"/>
                      <w:color w:val="auto"/>
                      <w:szCs w:val="21"/>
                      <w:lang w:bidi="ar"/>
                    </w:rPr>
                  </w:pPr>
                  <w:r>
                    <w:rPr>
                      <w:rFonts w:hint="eastAsia" w:cs="宋体"/>
                      <w:color w:val="auto"/>
                      <w:szCs w:val="21"/>
                      <w:lang w:bidi="ar"/>
                    </w:rPr>
                    <w:t>危险废物</w:t>
                  </w:r>
                </w:p>
              </w:tc>
              <w:tc>
                <w:tcPr>
                  <w:tcW w:w="661"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5181AC0">
                  <w:pPr>
                    <w:keepNext w:val="0"/>
                    <w:keepLines w:val="0"/>
                    <w:pageBreakBefore w:val="0"/>
                    <w:tabs>
                      <w:tab w:val="left" w:pos="277"/>
                      <w:tab w:val="left" w:pos="600"/>
                      <w:tab w:val="left" w:pos="780"/>
                      <w:tab w:val="left" w:pos="2517"/>
                    </w:tabs>
                    <w:kinsoku/>
                    <w:wordWrap/>
                    <w:overflowPunct/>
                    <w:topLinePunct w:val="0"/>
                    <w:autoSpaceDE/>
                    <w:autoSpaceDN/>
                    <w:bidi w:val="0"/>
                    <w:adjustRightInd w:val="0"/>
                    <w:snapToGrid w:val="0"/>
                    <w:spacing w:beforeAutospacing="0" w:afterAutospacing="0"/>
                    <w:ind w:firstLine="0"/>
                    <w:jc w:val="center"/>
                    <w:textAlignment w:val="baseline"/>
                    <w:rPr>
                      <w:rFonts w:cs="宋体"/>
                      <w:color w:val="auto"/>
                      <w:kern w:val="0"/>
                      <w:szCs w:val="21"/>
                      <w:lang w:bidi="ar"/>
                    </w:rPr>
                  </w:pPr>
                  <w:r>
                    <w:rPr>
                      <w:rFonts w:hint="eastAsia" w:cs="宋体"/>
                      <w:color w:val="auto"/>
                      <w:kern w:val="0"/>
                      <w:szCs w:val="21"/>
                      <w:lang w:bidi="ar"/>
                    </w:rPr>
                    <w:t>树脂</w:t>
                  </w:r>
                </w:p>
              </w:tc>
              <w:tc>
                <w:tcPr>
                  <w:tcW w:w="1387" w:type="pct"/>
                  <w:gridSpan w:val="2"/>
                  <w:vMerge w:val="continue"/>
                  <w:tcBorders>
                    <w:left w:val="single" w:color="auto" w:sz="4" w:space="0"/>
                    <w:bottom w:val="single" w:color="auto" w:sz="4" w:space="0"/>
                    <w:right w:val="nil"/>
                  </w:tcBorders>
                  <w:shd w:val="clear" w:color="auto" w:fill="auto"/>
                  <w:vAlign w:val="center"/>
                </w:tcPr>
                <w:p w14:paraId="0E76A90C">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 w:val="20"/>
                      <w:szCs w:val="20"/>
                    </w:rPr>
                  </w:pPr>
                </w:p>
              </w:tc>
            </w:tr>
            <w:tr w14:paraId="7E3249A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tcBorders>
                    <w:left w:val="nil"/>
                    <w:right w:val="single" w:color="auto" w:sz="4" w:space="0"/>
                  </w:tcBorders>
                  <w:shd w:val="clear" w:color="auto" w:fill="auto"/>
                  <w:tcMar>
                    <w:left w:w="28" w:type="dxa"/>
                    <w:right w:w="28" w:type="dxa"/>
                  </w:tcMar>
                  <w:vAlign w:val="center"/>
                </w:tcPr>
                <w:p w14:paraId="0B5028BF">
                  <w:pPr>
                    <w:keepNext w:val="0"/>
                    <w:keepLines w:val="0"/>
                    <w:pageBreakBefore w:val="0"/>
                    <w:kinsoku/>
                    <w:wordWrap/>
                    <w:overflowPunct/>
                    <w:topLinePunct w:val="0"/>
                    <w:autoSpaceDE/>
                    <w:autoSpaceDN/>
                    <w:bidi w:val="0"/>
                    <w:adjustRightInd w:val="0"/>
                    <w:snapToGrid w:val="0"/>
                    <w:spacing w:beforeAutospacing="0" w:afterAutospacing="0"/>
                    <w:ind w:firstLine="0"/>
                    <w:rPr>
                      <w:color w:val="auto"/>
                      <w:sz w:val="20"/>
                      <w:szCs w:val="20"/>
                    </w:rPr>
                  </w:pPr>
                </w:p>
              </w:tc>
              <w:tc>
                <w:tcPr>
                  <w:tcW w:w="32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1CCCE83">
                  <w:pPr>
                    <w:keepNext w:val="0"/>
                    <w:keepLines w:val="0"/>
                    <w:pageBreakBefore w:val="0"/>
                    <w:widowControl/>
                    <w:kinsoku/>
                    <w:wordWrap/>
                    <w:overflowPunct/>
                    <w:topLinePunct w:val="0"/>
                    <w:autoSpaceDE/>
                    <w:autoSpaceDN/>
                    <w:bidi w:val="0"/>
                    <w:adjustRightInd w:val="0"/>
                    <w:snapToGrid w:val="0"/>
                    <w:spacing w:beforeAutospacing="0" w:afterAutospacing="0"/>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S14</w:t>
                  </w:r>
                </w:p>
              </w:tc>
              <w:tc>
                <w:tcPr>
                  <w:tcW w:w="664"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201CCFC">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生活垃圾</w:t>
                  </w:r>
                </w:p>
              </w:tc>
              <w:tc>
                <w:tcPr>
                  <w:tcW w:w="870"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5296157">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cs="宋体"/>
                      <w:color w:val="auto"/>
                      <w:szCs w:val="21"/>
                      <w:lang w:bidi="ar"/>
                    </w:rPr>
                  </w:pPr>
                  <w:r>
                    <w:rPr>
                      <w:rFonts w:hint="eastAsia" w:cs="宋体"/>
                      <w:color w:val="auto"/>
                      <w:szCs w:val="21"/>
                      <w:lang w:bidi="ar"/>
                    </w:rPr>
                    <w:t>职工生活</w:t>
                  </w:r>
                </w:p>
              </w:tc>
              <w:tc>
                <w:tcPr>
                  <w:tcW w:w="69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58931DD">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cs="宋体"/>
                      <w:color w:val="auto"/>
                      <w:szCs w:val="21"/>
                      <w:lang w:bidi="ar"/>
                    </w:rPr>
                  </w:pPr>
                  <w:r>
                    <w:rPr>
                      <w:rFonts w:hint="eastAsia" w:cs="宋体"/>
                      <w:color w:val="auto"/>
                      <w:szCs w:val="21"/>
                      <w:lang w:bidi="ar"/>
                    </w:rPr>
                    <w:t>生活垃圾</w:t>
                  </w:r>
                </w:p>
              </w:tc>
              <w:tc>
                <w:tcPr>
                  <w:tcW w:w="661"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7B6EE9F">
                  <w:pPr>
                    <w:keepNext w:val="0"/>
                    <w:keepLines w:val="0"/>
                    <w:pageBreakBefore w:val="0"/>
                    <w:tabs>
                      <w:tab w:val="left" w:pos="277"/>
                      <w:tab w:val="left" w:pos="600"/>
                      <w:tab w:val="left" w:pos="780"/>
                      <w:tab w:val="left" w:pos="2517"/>
                    </w:tabs>
                    <w:kinsoku/>
                    <w:wordWrap/>
                    <w:overflowPunct/>
                    <w:topLinePunct w:val="0"/>
                    <w:autoSpaceDE/>
                    <w:autoSpaceDN/>
                    <w:bidi w:val="0"/>
                    <w:adjustRightInd w:val="0"/>
                    <w:snapToGrid w:val="0"/>
                    <w:spacing w:beforeAutospacing="0" w:afterAutospacing="0"/>
                    <w:ind w:firstLine="0"/>
                    <w:jc w:val="center"/>
                    <w:textAlignment w:val="baseline"/>
                    <w:rPr>
                      <w:rFonts w:cs="宋体"/>
                      <w:color w:val="auto"/>
                      <w:kern w:val="0"/>
                      <w:szCs w:val="21"/>
                      <w:lang w:bidi="ar"/>
                    </w:rPr>
                  </w:pPr>
                  <w:r>
                    <w:rPr>
                      <w:rFonts w:hint="eastAsia" w:cs="宋体"/>
                      <w:color w:val="auto"/>
                      <w:kern w:val="0"/>
                      <w:szCs w:val="21"/>
                      <w:lang w:bidi="ar"/>
                    </w:rPr>
                    <w:t>瓜皮果屑</w:t>
                  </w:r>
                </w:p>
              </w:tc>
              <w:tc>
                <w:tcPr>
                  <w:tcW w:w="1387" w:type="pct"/>
                  <w:gridSpan w:val="2"/>
                  <w:vMerge w:val="restart"/>
                  <w:tcBorders>
                    <w:top w:val="single" w:color="auto" w:sz="4" w:space="0"/>
                    <w:left w:val="single" w:color="auto" w:sz="4" w:space="0"/>
                    <w:right w:val="nil"/>
                  </w:tcBorders>
                  <w:shd w:val="clear" w:color="auto" w:fill="auto"/>
                  <w:vAlign w:val="center"/>
                </w:tcPr>
                <w:p w14:paraId="63481702">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 w:val="20"/>
                      <w:szCs w:val="20"/>
                    </w:rPr>
                  </w:pPr>
                  <w:r>
                    <w:rPr>
                      <w:rFonts w:hint="eastAsia" w:cs="宋体"/>
                      <w:color w:val="auto"/>
                      <w:kern w:val="0"/>
                      <w:szCs w:val="21"/>
                      <w:lang w:bidi="ar"/>
                    </w:rPr>
                    <w:t>委托环卫部门清运</w:t>
                  </w:r>
                </w:p>
              </w:tc>
            </w:tr>
            <w:tr w14:paraId="7F17423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tcBorders>
                    <w:left w:val="nil"/>
                    <w:right w:val="single" w:color="auto" w:sz="4" w:space="0"/>
                  </w:tcBorders>
                  <w:shd w:val="clear" w:color="auto" w:fill="auto"/>
                  <w:tcMar>
                    <w:left w:w="28" w:type="dxa"/>
                    <w:right w:w="28" w:type="dxa"/>
                  </w:tcMar>
                  <w:vAlign w:val="center"/>
                </w:tcPr>
                <w:p w14:paraId="54BB77F6">
                  <w:pPr>
                    <w:keepNext w:val="0"/>
                    <w:keepLines w:val="0"/>
                    <w:pageBreakBefore w:val="0"/>
                    <w:kinsoku/>
                    <w:wordWrap/>
                    <w:overflowPunct/>
                    <w:topLinePunct w:val="0"/>
                    <w:autoSpaceDE/>
                    <w:autoSpaceDN/>
                    <w:bidi w:val="0"/>
                    <w:adjustRightInd w:val="0"/>
                    <w:snapToGrid w:val="0"/>
                    <w:spacing w:beforeAutospacing="0" w:afterAutospacing="0"/>
                    <w:ind w:firstLine="0"/>
                    <w:rPr>
                      <w:color w:val="auto"/>
                      <w:sz w:val="20"/>
                      <w:szCs w:val="20"/>
                    </w:rPr>
                  </w:pPr>
                </w:p>
              </w:tc>
              <w:tc>
                <w:tcPr>
                  <w:tcW w:w="32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2D3C560">
                  <w:pPr>
                    <w:keepNext w:val="0"/>
                    <w:keepLines w:val="0"/>
                    <w:pageBreakBefore w:val="0"/>
                    <w:widowControl/>
                    <w:kinsoku/>
                    <w:wordWrap/>
                    <w:overflowPunct/>
                    <w:topLinePunct w:val="0"/>
                    <w:autoSpaceDE/>
                    <w:autoSpaceDN/>
                    <w:bidi w:val="0"/>
                    <w:adjustRightInd w:val="0"/>
                    <w:snapToGrid w:val="0"/>
                    <w:spacing w:beforeAutospacing="0" w:afterAutospacing="0"/>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S1</w:t>
                  </w:r>
                  <w:r>
                    <w:rPr>
                      <w:rFonts w:hint="eastAsia"/>
                      <w:color w:val="auto"/>
                      <w:szCs w:val="21"/>
                      <w:lang w:val="en-US" w:eastAsia="zh-CN"/>
                    </w:rPr>
                    <w:t>5</w:t>
                  </w:r>
                </w:p>
              </w:tc>
              <w:tc>
                <w:tcPr>
                  <w:tcW w:w="664"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D83CB19">
                  <w:pPr>
                    <w:keepNext w:val="0"/>
                    <w:keepLines w:val="0"/>
                    <w:pageBreakBefore w:val="0"/>
                    <w:widowControl/>
                    <w:kinsoku/>
                    <w:wordWrap/>
                    <w:overflowPunct/>
                    <w:topLinePunct w:val="0"/>
                    <w:autoSpaceDE/>
                    <w:autoSpaceDN/>
                    <w:bidi w:val="0"/>
                    <w:adjustRightInd w:val="0"/>
                    <w:snapToGrid w:val="0"/>
                    <w:spacing w:beforeAutospacing="0" w:afterAutospacing="0"/>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化粪池污泥</w:t>
                  </w:r>
                </w:p>
              </w:tc>
              <w:tc>
                <w:tcPr>
                  <w:tcW w:w="870"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869C998">
                  <w:pPr>
                    <w:keepNext w:val="0"/>
                    <w:keepLines w:val="0"/>
                    <w:pageBreakBefore w:val="0"/>
                    <w:kinsoku/>
                    <w:wordWrap/>
                    <w:overflowPunct/>
                    <w:topLinePunct w:val="0"/>
                    <w:autoSpaceDE/>
                    <w:autoSpaceDN/>
                    <w:bidi w:val="0"/>
                    <w:adjustRightInd w:val="0"/>
                    <w:snapToGrid w:val="0"/>
                    <w:spacing w:beforeAutospacing="0" w:afterAutospacing="0"/>
                    <w:ind w:firstLine="0" w:firstLineChars="0"/>
                    <w:jc w:val="center"/>
                    <w:rPr>
                      <w:rFonts w:hint="eastAsia" w:ascii="Times New Roman" w:hAnsi="Times New Roman" w:eastAsia="宋体" w:cs="宋体"/>
                      <w:color w:val="auto"/>
                      <w:kern w:val="2"/>
                      <w:sz w:val="21"/>
                      <w:szCs w:val="21"/>
                      <w:lang w:val="en-US" w:eastAsia="zh-CN" w:bidi="ar"/>
                    </w:rPr>
                  </w:pPr>
                  <w:r>
                    <w:rPr>
                      <w:rFonts w:hint="eastAsia" w:cs="宋体"/>
                      <w:color w:val="auto"/>
                      <w:szCs w:val="21"/>
                      <w:lang w:bidi="ar"/>
                    </w:rPr>
                    <w:t>职工生活</w:t>
                  </w:r>
                </w:p>
              </w:tc>
              <w:tc>
                <w:tcPr>
                  <w:tcW w:w="69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AF84BAD">
                  <w:pPr>
                    <w:keepNext w:val="0"/>
                    <w:keepLines w:val="0"/>
                    <w:pageBreakBefore w:val="0"/>
                    <w:kinsoku/>
                    <w:wordWrap/>
                    <w:overflowPunct/>
                    <w:topLinePunct w:val="0"/>
                    <w:autoSpaceDE/>
                    <w:autoSpaceDN/>
                    <w:bidi w:val="0"/>
                    <w:adjustRightInd w:val="0"/>
                    <w:snapToGrid w:val="0"/>
                    <w:spacing w:beforeAutospacing="0" w:afterAutospacing="0"/>
                    <w:ind w:firstLine="0" w:firstLineChars="0"/>
                    <w:jc w:val="center"/>
                    <w:rPr>
                      <w:rFonts w:hint="eastAsia" w:ascii="Times New Roman" w:hAnsi="Times New Roman" w:eastAsia="宋体" w:cs="宋体"/>
                      <w:color w:val="auto"/>
                      <w:kern w:val="2"/>
                      <w:sz w:val="21"/>
                      <w:szCs w:val="21"/>
                      <w:lang w:val="en-US" w:eastAsia="zh-CN" w:bidi="ar"/>
                    </w:rPr>
                  </w:pPr>
                  <w:r>
                    <w:rPr>
                      <w:rFonts w:hint="eastAsia" w:cs="宋体"/>
                      <w:color w:val="auto"/>
                      <w:szCs w:val="21"/>
                      <w:lang w:bidi="ar"/>
                    </w:rPr>
                    <w:t>化粪池污泥</w:t>
                  </w:r>
                </w:p>
              </w:tc>
              <w:tc>
                <w:tcPr>
                  <w:tcW w:w="661"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C691DBC">
                  <w:pPr>
                    <w:keepNext w:val="0"/>
                    <w:keepLines w:val="0"/>
                    <w:pageBreakBefore w:val="0"/>
                    <w:tabs>
                      <w:tab w:val="left" w:pos="277"/>
                      <w:tab w:val="left" w:pos="600"/>
                      <w:tab w:val="left" w:pos="780"/>
                      <w:tab w:val="left" w:pos="2517"/>
                    </w:tabs>
                    <w:kinsoku/>
                    <w:wordWrap/>
                    <w:overflowPunct/>
                    <w:topLinePunct w:val="0"/>
                    <w:autoSpaceDE/>
                    <w:autoSpaceDN/>
                    <w:bidi w:val="0"/>
                    <w:adjustRightInd w:val="0"/>
                    <w:snapToGrid w:val="0"/>
                    <w:spacing w:beforeAutospacing="0" w:afterAutospacing="0"/>
                    <w:ind w:firstLine="0" w:firstLineChars="0"/>
                    <w:jc w:val="center"/>
                    <w:textAlignment w:val="baseline"/>
                    <w:rPr>
                      <w:rFonts w:hint="eastAsia" w:ascii="Times New Roman" w:hAnsi="Times New Roman" w:eastAsia="宋体" w:cs="宋体"/>
                      <w:color w:val="auto"/>
                      <w:kern w:val="0"/>
                      <w:sz w:val="21"/>
                      <w:szCs w:val="21"/>
                      <w:lang w:val="en-US" w:eastAsia="zh-CN" w:bidi="ar"/>
                    </w:rPr>
                  </w:pPr>
                  <w:r>
                    <w:rPr>
                      <w:rFonts w:hint="eastAsia" w:cs="宋体"/>
                      <w:color w:val="auto"/>
                      <w:kern w:val="0"/>
                      <w:szCs w:val="21"/>
                      <w:lang w:bidi="ar"/>
                    </w:rPr>
                    <w:t>污泥</w:t>
                  </w:r>
                </w:p>
              </w:tc>
              <w:tc>
                <w:tcPr>
                  <w:tcW w:w="1387" w:type="pct"/>
                  <w:gridSpan w:val="2"/>
                  <w:vMerge w:val="continue"/>
                  <w:tcBorders>
                    <w:left w:val="single" w:color="auto" w:sz="4" w:space="0"/>
                    <w:right w:val="nil"/>
                  </w:tcBorders>
                  <w:shd w:val="clear" w:color="auto" w:fill="auto"/>
                  <w:vAlign w:val="center"/>
                </w:tcPr>
                <w:p w14:paraId="4EC8AF6A">
                  <w:pPr>
                    <w:keepNext w:val="0"/>
                    <w:keepLines w:val="0"/>
                    <w:pageBreakBefore w:val="0"/>
                    <w:kinsoku/>
                    <w:wordWrap/>
                    <w:overflowPunct/>
                    <w:topLinePunct w:val="0"/>
                    <w:autoSpaceDE/>
                    <w:autoSpaceDN/>
                    <w:bidi w:val="0"/>
                    <w:adjustRightInd w:val="0"/>
                    <w:snapToGrid w:val="0"/>
                    <w:spacing w:beforeAutospacing="0" w:afterAutospacing="0"/>
                    <w:ind w:firstLine="0"/>
                    <w:rPr>
                      <w:rFonts w:hint="eastAsia" w:cs="宋体"/>
                      <w:color w:val="auto"/>
                      <w:kern w:val="0"/>
                      <w:szCs w:val="21"/>
                      <w:lang w:bidi="ar"/>
                    </w:rPr>
                  </w:pPr>
                </w:p>
              </w:tc>
            </w:tr>
            <w:tr w14:paraId="7CD7D21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tcBorders>
                    <w:left w:val="nil"/>
                    <w:right w:val="single" w:color="auto" w:sz="4" w:space="0"/>
                  </w:tcBorders>
                  <w:shd w:val="clear" w:color="auto" w:fill="auto"/>
                  <w:tcMar>
                    <w:left w:w="28" w:type="dxa"/>
                    <w:right w:w="28" w:type="dxa"/>
                  </w:tcMar>
                  <w:vAlign w:val="center"/>
                </w:tcPr>
                <w:p w14:paraId="76BB5BE2">
                  <w:pPr>
                    <w:keepNext w:val="0"/>
                    <w:keepLines w:val="0"/>
                    <w:pageBreakBefore w:val="0"/>
                    <w:kinsoku/>
                    <w:wordWrap/>
                    <w:overflowPunct/>
                    <w:topLinePunct w:val="0"/>
                    <w:autoSpaceDE/>
                    <w:autoSpaceDN/>
                    <w:bidi w:val="0"/>
                    <w:adjustRightInd w:val="0"/>
                    <w:snapToGrid w:val="0"/>
                    <w:spacing w:beforeAutospacing="0" w:afterAutospacing="0"/>
                    <w:ind w:firstLine="0"/>
                    <w:rPr>
                      <w:color w:val="auto"/>
                      <w:sz w:val="20"/>
                      <w:szCs w:val="20"/>
                    </w:rPr>
                  </w:pPr>
                </w:p>
              </w:tc>
              <w:tc>
                <w:tcPr>
                  <w:tcW w:w="32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83D47E3">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rFonts w:hint="eastAsia" w:eastAsia="宋体"/>
                      <w:color w:val="auto"/>
                      <w:szCs w:val="21"/>
                      <w:lang w:val="en-US" w:eastAsia="zh-CN"/>
                    </w:rPr>
                  </w:pPr>
                  <w:r>
                    <w:rPr>
                      <w:rFonts w:hint="eastAsia"/>
                      <w:color w:val="auto"/>
                      <w:szCs w:val="21"/>
                    </w:rPr>
                    <w:t>S1</w:t>
                  </w:r>
                  <w:r>
                    <w:rPr>
                      <w:rFonts w:hint="eastAsia"/>
                      <w:color w:val="auto"/>
                      <w:szCs w:val="21"/>
                      <w:lang w:val="en-US" w:eastAsia="zh-CN"/>
                    </w:rPr>
                    <w:t>6</w:t>
                  </w:r>
                </w:p>
              </w:tc>
              <w:tc>
                <w:tcPr>
                  <w:tcW w:w="664"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43C71B3">
                  <w:pPr>
                    <w:keepNext w:val="0"/>
                    <w:keepLines w:val="0"/>
                    <w:pageBreakBefore w:val="0"/>
                    <w:widowControl/>
                    <w:kinsoku/>
                    <w:wordWrap/>
                    <w:overflowPunct/>
                    <w:topLinePunct w:val="0"/>
                    <w:autoSpaceDE/>
                    <w:autoSpaceDN/>
                    <w:bidi w:val="0"/>
                    <w:adjustRightInd w:val="0"/>
                    <w:snapToGrid w:val="0"/>
                    <w:spacing w:beforeAutospacing="0" w:afterAutospacing="0"/>
                    <w:ind w:firstLine="0"/>
                    <w:jc w:val="center"/>
                    <w:rPr>
                      <w:rFonts w:hint="eastAsia" w:eastAsia="宋体"/>
                      <w:color w:val="auto"/>
                      <w:szCs w:val="21"/>
                      <w:lang w:eastAsia="zh-CN"/>
                    </w:rPr>
                  </w:pPr>
                  <w:r>
                    <w:rPr>
                      <w:rFonts w:hint="eastAsia"/>
                      <w:color w:val="auto"/>
                      <w:szCs w:val="21"/>
                      <w:lang w:eastAsia="zh-CN"/>
                    </w:rPr>
                    <w:t>厨余垃圾</w:t>
                  </w:r>
                </w:p>
              </w:tc>
              <w:tc>
                <w:tcPr>
                  <w:tcW w:w="870"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A774C7F">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cs="宋体"/>
                      <w:color w:val="auto"/>
                      <w:szCs w:val="21"/>
                      <w:lang w:bidi="ar"/>
                    </w:rPr>
                  </w:pPr>
                  <w:r>
                    <w:rPr>
                      <w:rFonts w:hint="eastAsia" w:cs="宋体"/>
                      <w:color w:val="auto"/>
                      <w:szCs w:val="21"/>
                      <w:lang w:bidi="ar"/>
                    </w:rPr>
                    <w:t>职工生活</w:t>
                  </w:r>
                </w:p>
              </w:tc>
              <w:tc>
                <w:tcPr>
                  <w:tcW w:w="69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3BB6081">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int="eastAsia" w:eastAsia="宋体" w:cs="宋体"/>
                      <w:color w:val="auto"/>
                      <w:szCs w:val="21"/>
                      <w:lang w:eastAsia="zh-CN" w:bidi="ar"/>
                    </w:rPr>
                  </w:pPr>
                  <w:r>
                    <w:rPr>
                      <w:rFonts w:hint="eastAsia" w:cs="宋体"/>
                      <w:color w:val="auto"/>
                      <w:szCs w:val="21"/>
                      <w:lang w:eastAsia="zh-CN" w:bidi="ar"/>
                    </w:rPr>
                    <w:t>残羹剩饭</w:t>
                  </w:r>
                </w:p>
              </w:tc>
              <w:tc>
                <w:tcPr>
                  <w:tcW w:w="661"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DF819F5">
                  <w:pPr>
                    <w:keepNext w:val="0"/>
                    <w:keepLines w:val="0"/>
                    <w:pageBreakBefore w:val="0"/>
                    <w:tabs>
                      <w:tab w:val="left" w:pos="277"/>
                      <w:tab w:val="left" w:pos="600"/>
                      <w:tab w:val="left" w:pos="780"/>
                      <w:tab w:val="left" w:pos="2517"/>
                    </w:tabs>
                    <w:kinsoku/>
                    <w:wordWrap/>
                    <w:overflowPunct/>
                    <w:topLinePunct w:val="0"/>
                    <w:autoSpaceDE/>
                    <w:autoSpaceDN/>
                    <w:bidi w:val="0"/>
                    <w:adjustRightInd w:val="0"/>
                    <w:snapToGrid w:val="0"/>
                    <w:spacing w:beforeAutospacing="0" w:afterAutospacing="0"/>
                    <w:ind w:firstLine="0"/>
                    <w:jc w:val="center"/>
                    <w:textAlignment w:val="baseline"/>
                    <w:rPr>
                      <w:rFonts w:cs="宋体"/>
                      <w:color w:val="auto"/>
                      <w:kern w:val="0"/>
                      <w:szCs w:val="21"/>
                      <w:lang w:bidi="ar"/>
                    </w:rPr>
                  </w:pPr>
                  <w:r>
                    <w:rPr>
                      <w:rFonts w:hint="eastAsia" w:cs="宋体"/>
                      <w:color w:val="auto"/>
                      <w:szCs w:val="21"/>
                      <w:lang w:eastAsia="zh-CN" w:bidi="ar"/>
                    </w:rPr>
                    <w:t>残羹剩饭</w:t>
                  </w:r>
                </w:p>
              </w:tc>
              <w:tc>
                <w:tcPr>
                  <w:tcW w:w="1387" w:type="pct"/>
                  <w:gridSpan w:val="2"/>
                  <w:vMerge w:val="continue"/>
                  <w:tcBorders>
                    <w:left w:val="single" w:color="auto" w:sz="4" w:space="0"/>
                    <w:bottom w:val="single" w:color="auto" w:sz="4" w:space="0"/>
                    <w:right w:val="nil"/>
                  </w:tcBorders>
                  <w:shd w:val="clear" w:color="auto" w:fill="auto"/>
                  <w:vAlign w:val="center"/>
                </w:tcPr>
                <w:p w14:paraId="6393685D">
                  <w:pPr>
                    <w:keepNext w:val="0"/>
                    <w:keepLines w:val="0"/>
                    <w:pageBreakBefore w:val="0"/>
                    <w:kinsoku/>
                    <w:wordWrap/>
                    <w:overflowPunct/>
                    <w:topLinePunct w:val="0"/>
                    <w:autoSpaceDE/>
                    <w:autoSpaceDN/>
                    <w:bidi w:val="0"/>
                    <w:adjustRightInd w:val="0"/>
                    <w:snapToGrid w:val="0"/>
                    <w:spacing w:beforeAutospacing="0" w:afterAutospacing="0"/>
                    <w:ind w:firstLine="0"/>
                    <w:rPr>
                      <w:color w:val="auto"/>
                      <w:sz w:val="20"/>
                      <w:szCs w:val="20"/>
                    </w:rPr>
                  </w:pPr>
                </w:p>
              </w:tc>
            </w:tr>
            <w:tr w14:paraId="1AE99B9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gridSpan w:val="2"/>
                  <w:tcBorders>
                    <w:top w:val="single" w:color="auto" w:sz="4" w:space="0"/>
                    <w:left w:val="nil"/>
                    <w:bottom w:val="single" w:color="auto" w:sz="12" w:space="0"/>
                    <w:right w:val="single" w:color="auto" w:sz="4" w:space="0"/>
                  </w:tcBorders>
                  <w:shd w:val="clear" w:color="auto" w:fill="auto"/>
                  <w:tcMar>
                    <w:left w:w="28" w:type="dxa"/>
                    <w:right w:w="28" w:type="dxa"/>
                  </w:tcMar>
                  <w:vAlign w:val="center"/>
                </w:tcPr>
                <w:p w14:paraId="59ED028F">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s="宋体"/>
                      <w:color w:val="auto"/>
                      <w:szCs w:val="21"/>
                      <w:lang w:bidi="ar"/>
                    </w:rPr>
                    <w:t>噪声</w:t>
                  </w:r>
                </w:p>
              </w:tc>
              <w:tc>
                <w:tcPr>
                  <w:tcW w:w="4278" w:type="pct"/>
                  <w:gridSpan w:val="6"/>
                  <w:tcBorders>
                    <w:top w:val="single" w:color="auto" w:sz="4" w:space="0"/>
                    <w:left w:val="single" w:color="auto" w:sz="4" w:space="0"/>
                    <w:bottom w:val="single" w:color="auto" w:sz="12" w:space="0"/>
                    <w:right w:val="nil"/>
                  </w:tcBorders>
                  <w:shd w:val="clear" w:color="auto" w:fill="auto"/>
                  <w:tcMar>
                    <w:left w:w="28" w:type="dxa"/>
                    <w:right w:w="28" w:type="dxa"/>
                  </w:tcMar>
                  <w:vAlign w:val="center"/>
                </w:tcPr>
                <w:p w14:paraId="7D8720DC">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s="宋体"/>
                      <w:color w:val="auto"/>
                      <w:szCs w:val="21"/>
                      <w:lang w:bidi="ar"/>
                    </w:rPr>
                    <w:t>主要噪声源为生产设备（高速冲床、激光切割机、加工中心等）</w:t>
                  </w:r>
                </w:p>
              </w:tc>
            </w:tr>
          </w:tbl>
          <w:p w14:paraId="5B819400">
            <w:pPr>
              <w:widowControl/>
              <w:adjustRightInd w:val="0"/>
              <w:snapToGrid w:val="0"/>
              <w:ind w:firstLine="482" w:firstLineChars="200"/>
              <w:jc w:val="center"/>
              <w:rPr>
                <w:b/>
                <w:bCs/>
                <w:color w:val="auto"/>
                <w:sz w:val="24"/>
              </w:rPr>
            </w:pPr>
          </w:p>
          <w:p w14:paraId="2AD0365D">
            <w:pPr>
              <w:widowControl/>
              <w:adjustRightInd w:val="0"/>
              <w:snapToGrid w:val="0"/>
              <w:ind w:firstLine="482" w:firstLineChars="200"/>
              <w:jc w:val="center"/>
              <w:rPr>
                <w:b/>
                <w:bCs/>
                <w:color w:val="auto"/>
                <w:sz w:val="24"/>
              </w:rPr>
            </w:pPr>
          </w:p>
          <w:p w14:paraId="4627A704">
            <w:pPr>
              <w:widowControl/>
              <w:adjustRightInd w:val="0"/>
              <w:snapToGrid w:val="0"/>
              <w:spacing w:line="360" w:lineRule="auto"/>
              <w:ind w:firstLine="480" w:firstLineChars="200"/>
              <w:jc w:val="left"/>
              <w:rPr>
                <w:color w:val="auto"/>
                <w:sz w:val="24"/>
              </w:rPr>
            </w:pPr>
          </w:p>
        </w:tc>
      </w:tr>
    </w:tbl>
    <w:p w14:paraId="5C40D39B">
      <w:pPr>
        <w:pStyle w:val="81"/>
        <w:adjustRightInd w:val="0"/>
        <w:snapToGrid w:val="0"/>
        <w:spacing w:before="0" w:beforeAutospacing="0" w:after="0" w:afterAutospacing="0"/>
        <w:jc w:val="both"/>
        <w:rPr>
          <w:rFonts w:ascii="Times New Roman" w:hAnsi="Times New Roman"/>
          <w:color w:val="auto"/>
          <w:szCs w:val="24"/>
          <w:lang w:val="en-US"/>
        </w:rPr>
        <w:sectPr>
          <w:type w:val="continuous"/>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0948D38">
      <w:pPr>
        <w:pStyle w:val="81"/>
        <w:adjustRightInd w:val="0"/>
        <w:snapToGrid w:val="0"/>
        <w:spacing w:before="0" w:beforeAutospacing="0" w:after="0" w:afterAutospacing="0"/>
        <w:jc w:val="center"/>
        <w:rPr>
          <w:rFonts w:ascii="Times New Roman" w:hAnsi="Times New Roman"/>
          <w:bCs/>
          <w:color w:val="auto"/>
          <w:kern w:val="2"/>
          <w:szCs w:val="24"/>
          <w:lang w:val="en-US"/>
        </w:rPr>
        <w:sectPr>
          <w:type w:val="continuous"/>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8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7"/>
        <w:gridCol w:w="8593"/>
      </w:tblGrid>
      <w:tr w14:paraId="37F468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90" w:hRule="atLeast"/>
          <w:jc w:val="center"/>
        </w:trPr>
        <w:tc>
          <w:tcPr>
            <w:tcW w:w="591" w:type="dxa"/>
            <w:vAlign w:val="center"/>
          </w:tcPr>
          <w:p w14:paraId="1228AA17">
            <w:pPr>
              <w:pStyle w:val="81"/>
              <w:adjustRightInd w:val="0"/>
              <w:snapToGrid w:val="0"/>
              <w:spacing w:before="0" w:beforeAutospacing="0" w:after="0" w:afterAutospacing="0"/>
              <w:jc w:val="center"/>
              <w:rPr>
                <w:rFonts w:ascii="Times New Roman" w:hAnsi="Times New Roman"/>
                <w:color w:val="auto"/>
                <w:szCs w:val="24"/>
                <w:lang w:val="en-US"/>
              </w:rPr>
            </w:pPr>
            <w:r>
              <w:rPr>
                <w:rFonts w:ascii="Times New Roman" w:hAnsi="Times New Roman"/>
                <w:bCs/>
                <w:color w:val="auto"/>
                <w:kern w:val="2"/>
                <w:szCs w:val="24"/>
                <w:lang w:val="en-US"/>
              </w:rPr>
              <w:t>与项目有关的原有环境污染问题</w:t>
            </w:r>
          </w:p>
        </w:tc>
        <w:tc>
          <w:tcPr>
            <w:tcW w:w="13061" w:type="dxa"/>
          </w:tcPr>
          <w:p w14:paraId="5E384DEB">
            <w:pPr>
              <w:pStyle w:val="139"/>
              <w:spacing w:line="360" w:lineRule="auto"/>
              <w:ind w:firstLine="480" w:firstLineChars="200"/>
              <w:jc w:val="left"/>
              <w:rPr>
                <w:rFonts w:ascii="Times New Roman" w:hAnsi="Times New Roman"/>
                <w:color w:val="auto"/>
                <w:sz w:val="24"/>
                <w:lang w:val="en-US"/>
              </w:rPr>
            </w:pPr>
            <w:r>
              <w:rPr>
                <w:rFonts w:hint="eastAsia" w:ascii="Times New Roman" w:hAnsi="Times New Roman"/>
                <w:snapToGrid/>
                <w:color w:val="auto"/>
                <w:sz w:val="24"/>
                <w:lang w:val="en-US"/>
              </w:rPr>
              <w:t>经调查，本</w:t>
            </w:r>
            <w:r>
              <w:rPr>
                <w:rFonts w:ascii="Times New Roman" w:hAnsi="Times New Roman"/>
                <w:snapToGrid/>
                <w:color w:val="auto"/>
                <w:sz w:val="24"/>
                <w:lang w:val="en-US"/>
              </w:rPr>
              <w:t>项目为新建项目，</w:t>
            </w:r>
            <w:r>
              <w:rPr>
                <w:rFonts w:hint="eastAsia" w:ascii="Times New Roman" w:hAnsi="Times New Roman"/>
                <w:snapToGrid/>
                <w:color w:val="auto"/>
                <w:sz w:val="24"/>
                <w:lang w:val="en-US"/>
              </w:rPr>
              <w:t>项目建设所在地现状为空地，无历史遗留问题。故不存在与本项目有关的原有污染情况及主要环境问题</w:t>
            </w:r>
            <w:r>
              <w:rPr>
                <w:rFonts w:ascii="Times New Roman" w:hAnsi="Times New Roman"/>
                <w:snapToGrid/>
                <w:color w:val="auto"/>
                <w:sz w:val="24"/>
                <w:lang w:val="en-US"/>
              </w:rPr>
              <w:t>。</w:t>
            </w:r>
          </w:p>
        </w:tc>
      </w:tr>
    </w:tbl>
    <w:p w14:paraId="57291AF2">
      <w:pPr>
        <w:pStyle w:val="81"/>
        <w:spacing w:after="0" w:afterAutospacing="0"/>
        <w:ind w:firstLine="600"/>
        <w:jc w:val="center"/>
        <w:outlineLvl w:val="0"/>
        <w:rPr>
          <w:rFonts w:ascii="Times New Roman" w:hAnsi="Times New Roman"/>
          <w:snapToGrid w:val="0"/>
          <w:color w:val="auto"/>
          <w:sz w:val="30"/>
          <w:szCs w:val="30"/>
        </w:rPr>
      </w:pPr>
      <w:bookmarkStart w:id="12" w:name="_Toc4135"/>
      <w:r>
        <w:rPr>
          <w:rFonts w:ascii="Times New Roman" w:hAnsi="Times New Roman"/>
          <w:snapToGrid w:val="0"/>
          <w:color w:val="auto"/>
          <w:sz w:val="30"/>
          <w:szCs w:val="30"/>
        </w:rPr>
        <w:t>三、区域环境质量现状、环境保护目标及评价标准</w:t>
      </w:r>
      <w:bookmarkEnd w:id="12"/>
    </w:p>
    <w:tbl>
      <w:tblPr>
        <w:tblStyle w:val="8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7"/>
        <w:gridCol w:w="8633"/>
      </w:tblGrid>
      <w:tr w14:paraId="36BF60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16" w:type="dxa"/>
            <w:vAlign w:val="center"/>
          </w:tcPr>
          <w:p w14:paraId="555EDDB2">
            <w:pPr>
              <w:adjustRightInd w:val="0"/>
              <w:snapToGrid w:val="0"/>
              <w:jc w:val="center"/>
              <w:rPr>
                <w:color w:val="auto"/>
                <w:kern w:val="0"/>
                <w:sz w:val="24"/>
              </w:rPr>
            </w:pPr>
            <w:r>
              <w:rPr>
                <w:color w:val="auto"/>
                <w:kern w:val="0"/>
                <w:sz w:val="24"/>
              </w:rPr>
              <w:t>区域</w:t>
            </w:r>
          </w:p>
          <w:p w14:paraId="0EA52332">
            <w:pPr>
              <w:adjustRightInd w:val="0"/>
              <w:snapToGrid w:val="0"/>
              <w:jc w:val="center"/>
              <w:rPr>
                <w:color w:val="auto"/>
                <w:kern w:val="0"/>
                <w:sz w:val="24"/>
              </w:rPr>
            </w:pPr>
            <w:r>
              <w:rPr>
                <w:color w:val="auto"/>
                <w:kern w:val="0"/>
                <w:sz w:val="24"/>
              </w:rPr>
              <w:t>环境</w:t>
            </w:r>
          </w:p>
          <w:p w14:paraId="410F46CA">
            <w:pPr>
              <w:adjustRightInd w:val="0"/>
              <w:snapToGrid w:val="0"/>
              <w:jc w:val="center"/>
              <w:rPr>
                <w:color w:val="auto"/>
                <w:kern w:val="0"/>
                <w:sz w:val="24"/>
              </w:rPr>
            </w:pPr>
            <w:r>
              <w:rPr>
                <w:color w:val="auto"/>
                <w:kern w:val="0"/>
                <w:sz w:val="24"/>
              </w:rPr>
              <w:t>质量</w:t>
            </w:r>
          </w:p>
          <w:p w14:paraId="6366ABD3">
            <w:pPr>
              <w:adjustRightInd w:val="0"/>
              <w:snapToGrid w:val="0"/>
              <w:jc w:val="center"/>
              <w:rPr>
                <w:color w:val="auto"/>
                <w:kern w:val="0"/>
                <w:sz w:val="24"/>
              </w:rPr>
            </w:pPr>
            <w:r>
              <w:rPr>
                <w:color w:val="auto"/>
                <w:kern w:val="0"/>
                <w:sz w:val="24"/>
              </w:rPr>
              <w:t>现状</w:t>
            </w:r>
          </w:p>
        </w:tc>
        <w:tc>
          <w:tcPr>
            <w:tcW w:w="8408" w:type="dxa"/>
            <w:vAlign w:val="center"/>
          </w:tcPr>
          <w:p w14:paraId="34CFA96E">
            <w:pPr>
              <w:adjustRightInd w:val="0"/>
              <w:snapToGrid w:val="0"/>
              <w:spacing w:before="120" w:beforeLines="50" w:line="360" w:lineRule="auto"/>
              <w:ind w:firstLine="482" w:firstLineChars="200"/>
              <w:rPr>
                <w:b/>
                <w:color w:val="auto"/>
                <w:sz w:val="24"/>
              </w:rPr>
            </w:pPr>
            <w:r>
              <w:rPr>
                <w:b/>
                <w:color w:val="auto"/>
                <w:sz w:val="24"/>
              </w:rPr>
              <w:t>1.大气环境质量现状</w:t>
            </w:r>
          </w:p>
          <w:p w14:paraId="40257F9A">
            <w:pPr>
              <w:adjustRightInd w:val="0"/>
              <w:snapToGrid w:val="0"/>
              <w:spacing w:line="360" w:lineRule="auto"/>
              <w:ind w:firstLine="480" w:firstLineChars="200"/>
              <w:rPr>
                <w:bCs/>
                <w:color w:val="auto"/>
                <w:kern w:val="0"/>
                <w:sz w:val="24"/>
              </w:rPr>
            </w:pPr>
            <w:r>
              <w:rPr>
                <w:rFonts w:hint="eastAsia"/>
                <w:bCs/>
                <w:color w:val="auto"/>
                <w:kern w:val="0"/>
                <w:sz w:val="24"/>
              </w:rPr>
              <w:t>根据《2023年淮安市生态环境状况公报》，2023年，全市细颗粒物（PM</w:t>
            </w:r>
            <w:r>
              <w:rPr>
                <w:rFonts w:hint="eastAsia"/>
                <w:bCs/>
                <w:color w:val="auto"/>
                <w:kern w:val="0"/>
                <w:sz w:val="24"/>
                <w:vertAlign w:val="subscript"/>
              </w:rPr>
              <w:t>2.</w:t>
            </w:r>
            <w:r>
              <w:rPr>
                <w:rFonts w:hint="eastAsia"/>
                <w:bCs/>
                <w:color w:val="auto"/>
                <w:kern w:val="0"/>
                <w:sz w:val="24"/>
                <w:vertAlign w:val="subscript"/>
                <w:lang w:eastAsia="zh-CN"/>
              </w:rPr>
              <w:t>5）</w:t>
            </w:r>
            <w:r>
              <w:rPr>
                <w:rFonts w:hint="eastAsia"/>
                <w:bCs/>
                <w:color w:val="auto"/>
                <w:kern w:val="0"/>
                <w:sz w:val="24"/>
              </w:rPr>
              <w:t>可吸入颗粒物（PM</w:t>
            </w:r>
            <w:r>
              <w:rPr>
                <w:rFonts w:hint="eastAsia"/>
                <w:bCs/>
                <w:color w:val="auto"/>
                <w:kern w:val="0"/>
                <w:sz w:val="24"/>
                <w:vertAlign w:val="subscript"/>
              </w:rPr>
              <w:t>10</w:t>
            </w:r>
            <w:r>
              <w:rPr>
                <w:rFonts w:hint="eastAsia"/>
                <w:bCs/>
                <w:color w:val="auto"/>
                <w:kern w:val="0"/>
                <w:sz w:val="24"/>
              </w:rPr>
              <w:t>）、二氧化硫（SO</w:t>
            </w:r>
            <w:r>
              <w:rPr>
                <w:rFonts w:hint="eastAsia"/>
                <w:bCs/>
                <w:color w:val="auto"/>
                <w:kern w:val="0"/>
                <w:sz w:val="24"/>
                <w:vertAlign w:val="subscript"/>
              </w:rPr>
              <w:t>2</w:t>
            </w:r>
            <w:r>
              <w:rPr>
                <w:rFonts w:hint="eastAsia"/>
                <w:bCs/>
                <w:color w:val="auto"/>
                <w:kern w:val="0"/>
                <w:sz w:val="24"/>
              </w:rPr>
              <w:t>）、二氧化氮（NO</w:t>
            </w:r>
            <w:r>
              <w:rPr>
                <w:rFonts w:hint="eastAsia"/>
                <w:bCs/>
                <w:color w:val="auto"/>
                <w:kern w:val="0"/>
                <w:sz w:val="24"/>
                <w:vertAlign w:val="subscript"/>
              </w:rPr>
              <w:t>2</w:t>
            </w:r>
            <w:r>
              <w:rPr>
                <w:rFonts w:hint="eastAsia"/>
                <w:bCs/>
                <w:color w:val="auto"/>
                <w:kern w:val="0"/>
                <w:sz w:val="24"/>
              </w:rPr>
              <w:t>）、一氧化碳（CO）和臭氧（O</w:t>
            </w:r>
            <w:r>
              <w:rPr>
                <w:rFonts w:hint="eastAsia"/>
                <w:bCs/>
                <w:color w:val="auto"/>
                <w:kern w:val="0"/>
                <w:sz w:val="24"/>
                <w:vertAlign w:val="subscript"/>
              </w:rPr>
              <w:t>3</w:t>
            </w:r>
            <w:r>
              <w:rPr>
                <w:rFonts w:hint="eastAsia"/>
                <w:bCs/>
                <w:color w:val="auto"/>
                <w:kern w:val="0"/>
                <w:sz w:val="24"/>
              </w:rPr>
              <w:t>）年均浓度分别为36微克/立方米、58微克/立方米、8微克/立方米、25微克/立方米、1.0毫克/立方米、158微克/立方米。与2022年相比，O</w:t>
            </w:r>
            <w:r>
              <w:rPr>
                <w:rFonts w:hint="eastAsia"/>
                <w:bCs/>
                <w:color w:val="auto"/>
                <w:kern w:val="0"/>
                <w:sz w:val="24"/>
                <w:vertAlign w:val="subscript"/>
              </w:rPr>
              <w:t>3</w:t>
            </w:r>
            <w:r>
              <w:rPr>
                <w:rFonts w:hint="eastAsia"/>
                <w:bCs/>
                <w:color w:val="auto"/>
                <w:kern w:val="0"/>
                <w:sz w:val="24"/>
              </w:rPr>
              <w:t>污染有所改善，O</w:t>
            </w:r>
            <w:r>
              <w:rPr>
                <w:rFonts w:hint="eastAsia"/>
                <w:bCs/>
                <w:color w:val="auto"/>
                <w:kern w:val="0"/>
                <w:sz w:val="24"/>
                <w:vertAlign w:val="subscript"/>
              </w:rPr>
              <w:t>3</w:t>
            </w:r>
            <w:r>
              <w:rPr>
                <w:rFonts w:hint="eastAsia"/>
                <w:bCs/>
                <w:color w:val="auto"/>
                <w:kern w:val="0"/>
                <w:sz w:val="24"/>
              </w:rPr>
              <w:t>为首要污染物的超标天减少3天，PM</w:t>
            </w:r>
            <w:r>
              <w:rPr>
                <w:rFonts w:hint="eastAsia"/>
                <w:bCs/>
                <w:color w:val="auto"/>
                <w:kern w:val="0"/>
                <w:sz w:val="24"/>
                <w:vertAlign w:val="subscript"/>
              </w:rPr>
              <w:t>2.5</w:t>
            </w:r>
            <w:r>
              <w:rPr>
                <w:rFonts w:hint="eastAsia"/>
                <w:bCs/>
                <w:color w:val="auto"/>
                <w:kern w:val="0"/>
                <w:sz w:val="24"/>
              </w:rPr>
              <w:t>浓度有所反弹，PM</w:t>
            </w:r>
            <w:r>
              <w:rPr>
                <w:rFonts w:hint="eastAsia"/>
                <w:bCs/>
                <w:color w:val="auto"/>
                <w:kern w:val="0"/>
                <w:sz w:val="24"/>
                <w:vertAlign w:val="subscript"/>
              </w:rPr>
              <w:t>2.5</w:t>
            </w:r>
            <w:r>
              <w:rPr>
                <w:rFonts w:hint="eastAsia"/>
                <w:bCs/>
                <w:color w:val="auto"/>
                <w:kern w:val="0"/>
                <w:sz w:val="24"/>
              </w:rPr>
              <w:t>为首要污染物的超标天增加7天。PM</w:t>
            </w:r>
            <w:r>
              <w:rPr>
                <w:rFonts w:hint="eastAsia"/>
                <w:bCs/>
                <w:color w:val="auto"/>
                <w:kern w:val="0"/>
                <w:sz w:val="24"/>
                <w:vertAlign w:val="subscript"/>
              </w:rPr>
              <w:t>10</w:t>
            </w:r>
            <w:r>
              <w:rPr>
                <w:rFonts w:hint="eastAsia"/>
                <w:bCs/>
                <w:color w:val="auto"/>
                <w:kern w:val="0"/>
                <w:sz w:val="24"/>
              </w:rPr>
              <w:t>、SO</w:t>
            </w:r>
            <w:r>
              <w:rPr>
                <w:rFonts w:hint="eastAsia"/>
                <w:bCs/>
                <w:color w:val="auto"/>
                <w:kern w:val="0"/>
                <w:sz w:val="24"/>
                <w:vertAlign w:val="subscript"/>
              </w:rPr>
              <w:t>2</w:t>
            </w:r>
            <w:r>
              <w:rPr>
                <w:rFonts w:hint="eastAsia"/>
                <w:bCs/>
                <w:color w:val="auto"/>
                <w:kern w:val="0"/>
                <w:sz w:val="24"/>
              </w:rPr>
              <w:t>、O</w:t>
            </w:r>
            <w:r>
              <w:rPr>
                <w:rFonts w:hint="eastAsia"/>
                <w:bCs/>
                <w:color w:val="auto"/>
                <w:kern w:val="0"/>
                <w:sz w:val="24"/>
                <w:vertAlign w:val="subscript"/>
              </w:rPr>
              <w:t>3</w:t>
            </w:r>
            <w:r>
              <w:rPr>
                <w:rFonts w:hint="eastAsia"/>
                <w:bCs/>
                <w:color w:val="auto"/>
                <w:kern w:val="0"/>
                <w:sz w:val="24"/>
              </w:rPr>
              <w:t>降幅分别为3.3%、11.1%、0.6%。可吸入颗粒物（PM</w:t>
            </w:r>
            <w:r>
              <w:rPr>
                <w:rFonts w:hint="eastAsia"/>
                <w:bCs/>
                <w:color w:val="auto"/>
                <w:kern w:val="0"/>
                <w:sz w:val="24"/>
                <w:vertAlign w:val="subscript"/>
              </w:rPr>
              <w:t>10</w:t>
            </w:r>
            <w:r>
              <w:rPr>
                <w:rFonts w:hint="eastAsia"/>
                <w:bCs/>
                <w:color w:val="auto"/>
                <w:kern w:val="0"/>
                <w:sz w:val="24"/>
              </w:rPr>
              <w:t>）、二氧化硫（SO</w:t>
            </w:r>
            <w:r>
              <w:rPr>
                <w:rFonts w:hint="eastAsia"/>
                <w:bCs/>
                <w:color w:val="auto"/>
                <w:kern w:val="0"/>
                <w:sz w:val="24"/>
                <w:vertAlign w:val="subscript"/>
              </w:rPr>
              <w:t>2</w:t>
            </w:r>
            <w:r>
              <w:rPr>
                <w:rFonts w:hint="eastAsia"/>
                <w:bCs/>
                <w:color w:val="auto"/>
                <w:kern w:val="0"/>
                <w:sz w:val="24"/>
              </w:rPr>
              <w:t>）、二氧化氮（NO</w:t>
            </w:r>
            <w:r>
              <w:rPr>
                <w:rFonts w:hint="eastAsia"/>
                <w:bCs/>
                <w:color w:val="auto"/>
                <w:kern w:val="0"/>
                <w:sz w:val="24"/>
                <w:vertAlign w:val="subscript"/>
              </w:rPr>
              <w:t>2</w:t>
            </w:r>
            <w:r>
              <w:rPr>
                <w:rFonts w:hint="eastAsia"/>
                <w:bCs/>
                <w:color w:val="auto"/>
                <w:kern w:val="0"/>
                <w:sz w:val="24"/>
              </w:rPr>
              <w:t>）、一氧化碳（CO）和臭氧（O</w:t>
            </w:r>
            <w:r>
              <w:rPr>
                <w:rFonts w:hint="eastAsia"/>
                <w:bCs/>
                <w:color w:val="auto"/>
                <w:kern w:val="0"/>
                <w:sz w:val="24"/>
                <w:vertAlign w:val="subscript"/>
              </w:rPr>
              <w:t>3</w:t>
            </w:r>
            <w:r>
              <w:rPr>
                <w:rFonts w:hint="eastAsia"/>
                <w:bCs/>
                <w:color w:val="auto"/>
                <w:kern w:val="0"/>
                <w:sz w:val="24"/>
              </w:rPr>
              <w:t>）污染物浓度达到国家二级标准，PM</w:t>
            </w:r>
            <w:r>
              <w:rPr>
                <w:rFonts w:hint="eastAsia"/>
                <w:bCs/>
                <w:color w:val="auto"/>
                <w:kern w:val="0"/>
                <w:sz w:val="24"/>
                <w:vertAlign w:val="subscript"/>
              </w:rPr>
              <w:t>2.5</w:t>
            </w:r>
            <w:r>
              <w:rPr>
                <w:rFonts w:hint="eastAsia"/>
                <w:bCs/>
                <w:color w:val="auto"/>
                <w:kern w:val="0"/>
                <w:sz w:val="24"/>
              </w:rPr>
              <w:t>浓度在36微克/立方米，未达到国家二级标准，故建设项目所在地为不达标区。</w:t>
            </w:r>
          </w:p>
          <w:p w14:paraId="1DEAA305">
            <w:pPr>
              <w:adjustRightInd w:val="0"/>
              <w:snapToGrid w:val="0"/>
              <w:spacing w:line="360" w:lineRule="auto"/>
              <w:ind w:firstLine="480" w:firstLineChars="200"/>
              <w:rPr>
                <w:color w:val="auto"/>
                <w:sz w:val="24"/>
              </w:rPr>
            </w:pPr>
            <w:r>
              <w:rPr>
                <w:rFonts w:hint="eastAsia"/>
                <w:color w:val="auto"/>
                <w:sz w:val="24"/>
              </w:rPr>
              <w:t>根据</w:t>
            </w:r>
            <w:r>
              <w:rPr>
                <w:color w:val="auto"/>
                <w:sz w:val="24"/>
              </w:rPr>
              <w:t>《淮安市202</w:t>
            </w:r>
            <w:r>
              <w:rPr>
                <w:rFonts w:hint="eastAsia"/>
                <w:color w:val="auto"/>
                <w:sz w:val="24"/>
              </w:rPr>
              <w:t>4</w:t>
            </w:r>
            <w:r>
              <w:rPr>
                <w:color w:val="auto"/>
                <w:sz w:val="24"/>
              </w:rPr>
              <w:t>年大气污染防治工作计划》（淮</w:t>
            </w:r>
            <w:r>
              <w:rPr>
                <w:rFonts w:hint="eastAsia"/>
                <w:color w:val="auto"/>
                <w:sz w:val="24"/>
              </w:rPr>
              <w:t>污防攻坚指办</w:t>
            </w:r>
            <w:r>
              <w:rPr>
                <w:rFonts w:hint="eastAsia"/>
                <w:color w:val="auto"/>
                <w:sz w:val="24"/>
                <w:lang w:eastAsia="zh-CN"/>
              </w:rPr>
              <w:t>〔2024〕50号</w:t>
            </w:r>
            <w:r>
              <w:rPr>
                <w:color w:val="auto"/>
                <w:sz w:val="24"/>
              </w:rPr>
              <w:t>）</w:t>
            </w:r>
            <w:r>
              <w:rPr>
                <w:rFonts w:hint="eastAsia"/>
                <w:color w:val="auto"/>
                <w:sz w:val="24"/>
              </w:rPr>
              <w:t>，为持续深入打好蓝天保卫战，切实保障人民群众身体健康，以空气质量持续改善推动经济高质量发展，淮安市2024年要推进八项重点任务：（一）优化产业结构，促进产业产品绿色升级；（二）优化能源结构，加速能源清洁低碳高效发展；（三）优化交通结构，大力发展绿色运输体系；（四）聚焦重点行业，推进大气污染综合治理；（五）开展VOCs大会战，持续压降VOCs浓度；（六）强化面源污染治理，提升精细化管理水平；（七）强化执法检查和监督帮扶，加强污染过程应对；（八）加强能力建设，健全标准体系。2024年工作目标为：全市PM</w:t>
            </w:r>
            <w:r>
              <w:rPr>
                <w:rFonts w:hint="eastAsia"/>
                <w:color w:val="auto"/>
                <w:sz w:val="24"/>
                <w:vertAlign w:val="subscript"/>
              </w:rPr>
              <w:t>2.5</w:t>
            </w:r>
            <w:r>
              <w:rPr>
                <w:rFonts w:hint="eastAsia"/>
                <w:color w:val="auto"/>
                <w:sz w:val="24"/>
              </w:rPr>
              <w:t>浓度达到35微克/立方米左右，优良天数比率达到81.2%左右，臭氧浓度增长趋势得到有效遏制。完成省下达的氮氧化物4340吨、挥发性有机物3466吨的重点工程减排量目标</w:t>
            </w:r>
            <w:r>
              <w:rPr>
                <w:color w:val="auto"/>
                <w:sz w:val="24"/>
              </w:rPr>
              <w:t>。</w:t>
            </w:r>
          </w:p>
          <w:p w14:paraId="700AD28A">
            <w:pPr>
              <w:adjustRightInd w:val="0"/>
              <w:snapToGrid w:val="0"/>
              <w:spacing w:line="360" w:lineRule="auto"/>
              <w:ind w:firstLine="480" w:firstLineChars="200"/>
              <w:rPr>
                <w:color w:val="auto"/>
                <w:sz w:val="24"/>
              </w:rPr>
            </w:pPr>
            <w:r>
              <w:rPr>
                <w:rFonts w:hint="eastAsia"/>
                <w:color w:val="auto"/>
                <w:sz w:val="24"/>
              </w:rPr>
              <w:t>在落实以上措施后，超标因子年均值浓度持续下降，环境空气质量逐渐改善，能够满足区域环境质量改善目标管理的要求。</w:t>
            </w:r>
          </w:p>
          <w:p w14:paraId="142D9ACF">
            <w:pPr>
              <w:adjustRightInd w:val="0"/>
              <w:snapToGrid w:val="0"/>
              <w:spacing w:line="360" w:lineRule="auto"/>
              <w:ind w:firstLine="482" w:firstLineChars="200"/>
              <w:rPr>
                <w:b/>
                <w:color w:val="auto"/>
                <w:sz w:val="24"/>
              </w:rPr>
            </w:pPr>
            <w:r>
              <w:rPr>
                <w:b/>
                <w:color w:val="auto"/>
                <w:sz w:val="24"/>
              </w:rPr>
              <w:t>2.地表水环境质量现状</w:t>
            </w:r>
          </w:p>
          <w:p w14:paraId="308EB1AB">
            <w:pPr>
              <w:adjustRightInd w:val="0"/>
              <w:snapToGrid w:val="0"/>
              <w:spacing w:line="360" w:lineRule="auto"/>
              <w:ind w:firstLine="480" w:firstLineChars="200"/>
              <w:rPr>
                <w:color w:val="auto"/>
                <w:sz w:val="24"/>
              </w:rPr>
            </w:pPr>
            <w:r>
              <w:rPr>
                <w:color w:val="auto"/>
                <w:sz w:val="24"/>
              </w:rPr>
              <w:t>根据《202</w:t>
            </w:r>
            <w:r>
              <w:rPr>
                <w:rFonts w:hint="eastAsia"/>
                <w:color w:val="auto"/>
                <w:sz w:val="24"/>
              </w:rPr>
              <w:t>3</w:t>
            </w:r>
            <w:r>
              <w:rPr>
                <w:color w:val="auto"/>
                <w:sz w:val="24"/>
              </w:rPr>
              <w:t>年淮安市生态环境状况公报》，</w:t>
            </w:r>
            <w:r>
              <w:rPr>
                <w:rFonts w:hint="eastAsia"/>
                <w:color w:val="auto"/>
                <w:sz w:val="24"/>
              </w:rPr>
              <w:t>2023年，淮河、京杭大运河、苏北灌溉总渠、盐河、淮河入江水道、分淮入沂水道水质状况为优；入海水道南偏泓、浔河、黄河故道、金宝航道、维桥河、利农河、南淮泗河、张福河、团结河、高桥河、南六塘河、跃进河、汪木排河、草泽河、唐响河、头溪河、运西河</w:t>
            </w:r>
            <w:r>
              <w:rPr>
                <w:rFonts w:hint="eastAsia"/>
                <w:color w:val="auto"/>
                <w:sz w:val="24"/>
                <w:lang w:eastAsia="zh-CN"/>
              </w:rPr>
              <w:t>－</w:t>
            </w:r>
            <w:r>
              <w:rPr>
                <w:rFonts w:hint="eastAsia"/>
                <w:color w:val="auto"/>
                <w:sz w:val="24"/>
              </w:rPr>
              <w:t>新河、周桥灌区总干渠、一帆河、铜龙河、池河水质状况为良好；入海水道北偏泓、赵公河、公兴河水质状况为轻度污染。项目周边水环境质量较好。</w:t>
            </w:r>
          </w:p>
          <w:p w14:paraId="5A5A686B">
            <w:pPr>
              <w:adjustRightInd w:val="0"/>
              <w:snapToGrid w:val="0"/>
              <w:spacing w:line="360" w:lineRule="auto"/>
              <w:ind w:firstLine="482" w:firstLineChars="200"/>
              <w:rPr>
                <w:b/>
                <w:color w:val="auto"/>
                <w:sz w:val="24"/>
              </w:rPr>
            </w:pPr>
            <w:r>
              <w:rPr>
                <w:b/>
                <w:color w:val="auto"/>
                <w:sz w:val="24"/>
              </w:rPr>
              <w:t>3.声环境质量现状</w:t>
            </w:r>
          </w:p>
          <w:p w14:paraId="164E926F">
            <w:pPr>
              <w:adjustRightInd w:val="0"/>
              <w:snapToGrid w:val="0"/>
              <w:spacing w:line="360" w:lineRule="auto"/>
              <w:ind w:firstLine="480" w:firstLineChars="200"/>
              <w:rPr>
                <w:color w:val="auto"/>
                <w:sz w:val="24"/>
              </w:rPr>
            </w:pPr>
            <w:r>
              <w:rPr>
                <w:color w:val="auto"/>
                <w:sz w:val="24"/>
              </w:rPr>
              <w:t>根据《202</w:t>
            </w:r>
            <w:r>
              <w:rPr>
                <w:rFonts w:hint="eastAsia"/>
                <w:color w:val="auto"/>
                <w:sz w:val="24"/>
              </w:rPr>
              <w:t>3</w:t>
            </w:r>
            <w:r>
              <w:rPr>
                <w:color w:val="auto"/>
                <w:sz w:val="24"/>
              </w:rPr>
              <w:t>年淮安市生态环境状况公报》，202</w:t>
            </w:r>
            <w:r>
              <w:rPr>
                <w:rFonts w:hint="eastAsia"/>
                <w:color w:val="auto"/>
                <w:sz w:val="24"/>
              </w:rPr>
              <w:t>3</w:t>
            </w:r>
            <w:r>
              <w:rPr>
                <w:color w:val="auto"/>
                <w:sz w:val="24"/>
              </w:rPr>
              <w:t>年，</w:t>
            </w:r>
            <w:r>
              <w:rPr>
                <w:rFonts w:hint="eastAsia"/>
                <w:color w:val="auto"/>
                <w:sz w:val="24"/>
              </w:rPr>
              <w:t>淮安市声环境总体较好，全市各功能区昼夜噪声均达标。全市区域环境昼间噪声均值为55.1dB（A），夜间均值为45.3dB（A），同比均有所改善；全市昼间交通噪声均值为65.4dB（A），夜间交通噪声均值为55.4dB（A），均保持稳定，处于“好”水平。</w:t>
            </w:r>
          </w:p>
          <w:p w14:paraId="49CFFE39">
            <w:pPr>
              <w:adjustRightInd w:val="0"/>
              <w:snapToGrid w:val="0"/>
              <w:spacing w:line="360" w:lineRule="auto"/>
              <w:ind w:firstLine="480" w:firstLineChars="200"/>
              <w:rPr>
                <w:color w:val="auto"/>
                <w:sz w:val="24"/>
              </w:rPr>
            </w:pPr>
            <w:r>
              <w:rPr>
                <w:rFonts w:hint="eastAsia"/>
                <w:color w:val="auto"/>
                <w:sz w:val="24"/>
              </w:rPr>
              <w:t>根据园区规划环评批复，本项目厂界噪声执行《声环境质量标准》（GB3096-2008）3类标准。</w:t>
            </w:r>
          </w:p>
          <w:p w14:paraId="0AB5CFC9">
            <w:pPr>
              <w:adjustRightInd w:val="0"/>
              <w:snapToGrid w:val="0"/>
              <w:spacing w:line="360" w:lineRule="auto"/>
              <w:ind w:firstLine="480" w:firstLineChars="200"/>
              <w:rPr>
                <w:color w:val="auto"/>
                <w:sz w:val="24"/>
              </w:rPr>
            </w:pPr>
            <w:r>
              <w:rPr>
                <w:rFonts w:hint="eastAsia"/>
                <w:color w:val="auto"/>
                <w:sz w:val="24"/>
              </w:rPr>
              <w:t>项目周边50m范围内无敏感保护目标，根据《建设项目环境影响报告表编制技术指南（环境影响类）》（试行），无需开展噪声现状监测。</w:t>
            </w:r>
          </w:p>
          <w:p w14:paraId="7EC9766B">
            <w:pPr>
              <w:adjustRightInd w:val="0"/>
              <w:snapToGrid w:val="0"/>
              <w:spacing w:line="360" w:lineRule="auto"/>
              <w:ind w:firstLine="482" w:firstLineChars="200"/>
              <w:rPr>
                <w:b/>
                <w:color w:val="auto"/>
                <w:sz w:val="24"/>
              </w:rPr>
            </w:pPr>
            <w:r>
              <w:rPr>
                <w:b/>
                <w:color w:val="auto"/>
                <w:sz w:val="24"/>
              </w:rPr>
              <w:t>4.生态环境质量现状</w:t>
            </w:r>
          </w:p>
          <w:p w14:paraId="1231F50D">
            <w:pPr>
              <w:adjustRightInd w:val="0"/>
              <w:snapToGrid w:val="0"/>
              <w:spacing w:line="360" w:lineRule="auto"/>
              <w:ind w:firstLine="480" w:firstLineChars="200"/>
              <w:rPr>
                <w:color w:val="auto"/>
                <w:sz w:val="24"/>
              </w:rPr>
            </w:pPr>
            <w:r>
              <w:rPr>
                <w:rFonts w:hint="eastAsia"/>
                <w:color w:val="auto"/>
                <w:sz w:val="24"/>
              </w:rPr>
              <w:t>本项目周围无原始植被生长和珍贵野生动物活动。区域生态系统敏感程度较低，项目的建设实施不会对生物栖息环境造成影响。且项目位于科技园内，无需进行生态现状调查。</w:t>
            </w:r>
          </w:p>
          <w:p w14:paraId="7FF6333F">
            <w:pPr>
              <w:adjustRightInd w:val="0"/>
              <w:snapToGrid w:val="0"/>
              <w:spacing w:line="360" w:lineRule="auto"/>
              <w:ind w:firstLine="482" w:firstLineChars="200"/>
              <w:rPr>
                <w:b/>
                <w:color w:val="auto"/>
                <w:sz w:val="24"/>
              </w:rPr>
            </w:pPr>
            <w:r>
              <w:rPr>
                <w:b/>
                <w:color w:val="auto"/>
                <w:sz w:val="24"/>
              </w:rPr>
              <w:t>5.电磁辐射</w:t>
            </w:r>
          </w:p>
          <w:p w14:paraId="1FFE190A">
            <w:pPr>
              <w:adjustRightInd w:val="0"/>
              <w:snapToGrid w:val="0"/>
              <w:spacing w:line="360" w:lineRule="auto"/>
              <w:ind w:firstLine="480" w:firstLineChars="200"/>
              <w:rPr>
                <w:color w:val="auto"/>
                <w:sz w:val="24"/>
              </w:rPr>
            </w:pPr>
            <w:r>
              <w:rPr>
                <w:color w:val="auto"/>
                <w:sz w:val="24"/>
              </w:rPr>
              <w:t>本项目不涉及电磁辐射</w:t>
            </w:r>
            <w:r>
              <w:rPr>
                <w:rFonts w:hint="eastAsia"/>
                <w:color w:val="auto"/>
                <w:sz w:val="24"/>
              </w:rPr>
              <w:t>，不需要开展电磁辐射现状监测与评价</w:t>
            </w:r>
            <w:r>
              <w:rPr>
                <w:color w:val="auto"/>
                <w:sz w:val="24"/>
              </w:rPr>
              <w:t>。</w:t>
            </w:r>
          </w:p>
          <w:p w14:paraId="3B34E3F9">
            <w:pPr>
              <w:adjustRightInd w:val="0"/>
              <w:snapToGrid w:val="0"/>
              <w:spacing w:line="360" w:lineRule="auto"/>
              <w:ind w:firstLine="482" w:firstLineChars="200"/>
              <w:rPr>
                <w:b/>
                <w:color w:val="auto"/>
                <w:sz w:val="24"/>
              </w:rPr>
            </w:pPr>
            <w:r>
              <w:rPr>
                <w:b/>
                <w:color w:val="auto"/>
                <w:sz w:val="24"/>
              </w:rPr>
              <w:t>6.地下水、土壤环境</w:t>
            </w:r>
          </w:p>
          <w:p w14:paraId="0C7BD01D">
            <w:pPr>
              <w:adjustRightInd w:val="0"/>
              <w:snapToGrid w:val="0"/>
              <w:spacing w:line="360" w:lineRule="auto"/>
              <w:ind w:firstLine="480" w:firstLineChars="200"/>
              <w:rPr>
                <w:color w:val="auto"/>
                <w:sz w:val="24"/>
              </w:rPr>
            </w:pPr>
            <w:r>
              <w:rPr>
                <w:rFonts w:hint="eastAsia"/>
                <w:color w:val="auto"/>
                <w:sz w:val="24"/>
              </w:rPr>
              <w:t>建设项目厂区拟</w:t>
            </w:r>
            <w:r>
              <w:rPr>
                <w:rFonts w:hint="eastAsia"/>
                <w:color w:val="auto"/>
                <w:sz w:val="24"/>
                <w:lang w:eastAsia="zh-CN"/>
              </w:rPr>
              <w:t>做</w:t>
            </w:r>
            <w:r>
              <w:rPr>
                <w:rFonts w:hint="eastAsia"/>
                <w:color w:val="auto"/>
                <w:sz w:val="24"/>
                <w:lang w:val="zh-CN" w:bidi="ar"/>
              </w:rPr>
              <w:t>防腐、防渗处理。厂界</w:t>
            </w:r>
            <w:r>
              <w:rPr>
                <w:color w:val="auto"/>
                <w:sz w:val="24"/>
                <w:lang w:val="zh-CN" w:bidi="ar"/>
              </w:rPr>
              <w:t>500</w:t>
            </w:r>
            <w:r>
              <w:rPr>
                <w:rFonts w:hint="eastAsia"/>
                <w:color w:val="auto"/>
                <w:sz w:val="24"/>
                <w:lang w:val="zh-CN" w:bidi="ar"/>
              </w:rPr>
              <w:t>米范围内也不存在地下水集中式饮用水源和热水、矿泉水、温泉等特殊地下水资源。因此本项目正常生产时不存在土壤、地下水污染途径。根据《建设项目环境影响报告表编制技术指南（污染影响类）（试行）》，本项目可</w:t>
            </w:r>
            <w:r>
              <w:rPr>
                <w:rFonts w:hint="eastAsia"/>
                <w:color w:val="auto"/>
                <w:sz w:val="24"/>
                <w:lang w:bidi="ar"/>
              </w:rPr>
              <w:t>不开展土壤、地下水环境质量现状调查。</w:t>
            </w:r>
          </w:p>
        </w:tc>
      </w:tr>
      <w:tr w14:paraId="7471B7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74" w:hRule="atLeast"/>
          <w:jc w:val="center"/>
        </w:trPr>
        <w:tc>
          <w:tcPr>
            <w:tcW w:w="416" w:type="dxa"/>
            <w:vAlign w:val="center"/>
          </w:tcPr>
          <w:p w14:paraId="4A454EF6">
            <w:pPr>
              <w:adjustRightInd w:val="0"/>
              <w:snapToGrid w:val="0"/>
              <w:jc w:val="center"/>
              <w:rPr>
                <w:color w:val="auto"/>
                <w:kern w:val="0"/>
                <w:sz w:val="24"/>
              </w:rPr>
            </w:pPr>
            <w:r>
              <w:rPr>
                <w:color w:val="auto"/>
                <w:kern w:val="0"/>
                <w:sz w:val="24"/>
              </w:rPr>
              <w:t>环境</w:t>
            </w:r>
          </w:p>
          <w:p w14:paraId="202E0262">
            <w:pPr>
              <w:adjustRightInd w:val="0"/>
              <w:snapToGrid w:val="0"/>
              <w:jc w:val="center"/>
              <w:rPr>
                <w:color w:val="auto"/>
                <w:kern w:val="0"/>
                <w:sz w:val="24"/>
              </w:rPr>
            </w:pPr>
            <w:r>
              <w:rPr>
                <w:color w:val="auto"/>
                <w:kern w:val="0"/>
                <w:sz w:val="24"/>
              </w:rPr>
              <w:t>保护</w:t>
            </w:r>
          </w:p>
          <w:p w14:paraId="4107681F">
            <w:pPr>
              <w:adjustRightInd w:val="0"/>
              <w:snapToGrid w:val="0"/>
              <w:jc w:val="center"/>
              <w:rPr>
                <w:color w:val="auto"/>
                <w:kern w:val="0"/>
                <w:sz w:val="24"/>
              </w:rPr>
            </w:pPr>
            <w:r>
              <w:rPr>
                <w:color w:val="auto"/>
                <w:kern w:val="0"/>
                <w:sz w:val="24"/>
              </w:rPr>
              <w:t>目标</w:t>
            </w:r>
          </w:p>
        </w:tc>
        <w:tc>
          <w:tcPr>
            <w:tcW w:w="8408" w:type="dxa"/>
          </w:tcPr>
          <w:p w14:paraId="72AB0B8B">
            <w:pPr>
              <w:tabs>
                <w:tab w:val="left" w:pos="1800"/>
              </w:tabs>
              <w:adjustRightInd w:val="0"/>
              <w:snapToGrid w:val="0"/>
              <w:spacing w:line="360" w:lineRule="auto"/>
              <w:ind w:firstLine="480" w:firstLineChars="200"/>
              <w:rPr>
                <w:color w:val="auto"/>
                <w:sz w:val="24"/>
              </w:rPr>
            </w:pPr>
            <w:r>
              <w:rPr>
                <w:color w:val="auto"/>
                <w:sz w:val="24"/>
              </w:rPr>
              <w:t>项目位于</w:t>
            </w:r>
            <w:r>
              <w:rPr>
                <w:rFonts w:hint="eastAsia"/>
                <w:color w:val="auto"/>
                <w:sz w:val="24"/>
              </w:rPr>
              <w:t>淮安市涟水经济开发区涟古路北侧、兴隆路西侧</w:t>
            </w:r>
            <w:r>
              <w:rPr>
                <w:color w:val="auto"/>
                <w:sz w:val="24"/>
              </w:rPr>
              <w:t>（地理位置见附图</w:t>
            </w:r>
            <w:r>
              <w:rPr>
                <w:rFonts w:hint="eastAsia"/>
                <w:color w:val="auto"/>
                <w:sz w:val="24"/>
              </w:rPr>
              <w:t>1</w:t>
            </w:r>
            <w:r>
              <w:rPr>
                <w:color w:val="auto"/>
                <w:sz w:val="24"/>
              </w:rPr>
              <w:t>），</w:t>
            </w:r>
            <w:r>
              <w:rPr>
                <w:rFonts w:hint="eastAsia"/>
                <w:color w:val="auto"/>
                <w:sz w:val="24"/>
              </w:rPr>
              <w:t>东侧为</w:t>
            </w:r>
            <w:r>
              <w:rPr>
                <w:rFonts w:hint="eastAsia"/>
                <w:color w:val="auto"/>
                <w:sz w:val="24"/>
                <w:lang w:eastAsia="zh-CN"/>
              </w:rPr>
              <w:t>贾庄</w:t>
            </w:r>
            <w:r>
              <w:rPr>
                <w:rFonts w:hint="eastAsia"/>
                <w:color w:val="auto"/>
                <w:sz w:val="24"/>
              </w:rPr>
              <w:t>，</w:t>
            </w:r>
            <w:r>
              <w:rPr>
                <w:rFonts w:hint="eastAsia"/>
                <w:color w:val="auto"/>
                <w:sz w:val="24"/>
                <w:lang w:eastAsia="zh-CN"/>
              </w:rPr>
              <w:t>东南侧为学田庄、朱码头，南侧隔涟古路为空地，西侧与北侧为空地</w:t>
            </w:r>
            <w:r>
              <w:rPr>
                <w:color w:val="auto"/>
                <w:sz w:val="24"/>
              </w:rPr>
              <w:t>。</w:t>
            </w:r>
            <w:r>
              <w:rPr>
                <w:rFonts w:hint="eastAsia"/>
                <w:color w:val="auto"/>
                <w:sz w:val="24"/>
                <w:lang w:eastAsia="zh-CN"/>
              </w:rPr>
              <w:t>建设项目周边状况图</w:t>
            </w:r>
            <w:r>
              <w:rPr>
                <w:color w:val="auto"/>
                <w:sz w:val="24"/>
              </w:rPr>
              <w:t>见附图</w:t>
            </w:r>
            <w:r>
              <w:rPr>
                <w:rFonts w:hint="eastAsia"/>
                <w:color w:val="auto"/>
                <w:sz w:val="24"/>
                <w:lang w:val="en-US" w:eastAsia="zh-CN"/>
              </w:rPr>
              <w:t>3</w:t>
            </w:r>
            <w:r>
              <w:rPr>
                <w:color w:val="auto"/>
                <w:sz w:val="24"/>
              </w:rPr>
              <w:t>。各环境要素评价范围及评价标准如下：</w:t>
            </w:r>
          </w:p>
          <w:p w14:paraId="104EE906">
            <w:pPr>
              <w:adjustRightInd w:val="0"/>
              <w:snapToGrid w:val="0"/>
              <w:spacing w:line="360" w:lineRule="auto"/>
              <w:ind w:firstLine="480" w:firstLineChars="200"/>
              <w:rPr>
                <w:color w:val="auto"/>
                <w:sz w:val="24"/>
              </w:rPr>
            </w:pPr>
            <w:r>
              <w:rPr>
                <w:color w:val="auto"/>
                <w:sz w:val="24"/>
              </w:rPr>
              <w:t>根据本项目的周边情况，确定主要环境保护目标见表3-</w:t>
            </w:r>
            <w:r>
              <w:rPr>
                <w:rFonts w:hint="eastAsia"/>
                <w:color w:val="auto"/>
                <w:sz w:val="24"/>
              </w:rPr>
              <w:t>1</w:t>
            </w:r>
            <w:r>
              <w:rPr>
                <w:color w:val="auto"/>
                <w:sz w:val="24"/>
              </w:rPr>
              <w:t>。</w:t>
            </w:r>
          </w:p>
          <w:p w14:paraId="74485684">
            <w:pPr>
              <w:tabs>
                <w:tab w:val="left" w:pos="1800"/>
              </w:tabs>
              <w:adjustRightInd w:val="0"/>
              <w:snapToGrid w:val="0"/>
              <w:ind w:firstLine="482"/>
              <w:jc w:val="center"/>
              <w:rPr>
                <w:b/>
                <w:color w:val="auto"/>
                <w:sz w:val="24"/>
              </w:rPr>
            </w:pPr>
            <w:r>
              <w:rPr>
                <w:b/>
                <w:color w:val="auto"/>
                <w:sz w:val="24"/>
              </w:rPr>
              <w:t>表3-</w:t>
            </w:r>
            <w:r>
              <w:rPr>
                <w:rFonts w:hint="eastAsia"/>
                <w:b/>
                <w:color w:val="auto"/>
                <w:sz w:val="24"/>
              </w:rPr>
              <w:t>1</w:t>
            </w:r>
            <w:r>
              <w:rPr>
                <w:b/>
                <w:color w:val="auto"/>
                <w:sz w:val="24"/>
              </w:rPr>
              <w:t xml:space="preserve"> 主要环境保护目标</w:t>
            </w:r>
          </w:p>
          <w:tbl>
            <w:tblPr>
              <w:tblStyle w:val="8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514"/>
              <w:gridCol w:w="1093"/>
              <w:gridCol w:w="983"/>
              <w:gridCol w:w="1392"/>
              <w:gridCol w:w="813"/>
              <w:gridCol w:w="709"/>
              <w:gridCol w:w="928"/>
              <w:gridCol w:w="1985"/>
            </w:tblGrid>
            <w:tr w14:paraId="7597A2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305" w:type="pct"/>
                  <w:vMerge w:val="restart"/>
                  <w:shd w:val="clear" w:color="auto" w:fill="auto"/>
                  <w:vAlign w:val="center"/>
                </w:tcPr>
                <w:p w14:paraId="4CD859BE">
                  <w:pPr>
                    <w:keepNext w:val="0"/>
                    <w:keepLines w:val="0"/>
                    <w:pageBreakBefore w:val="0"/>
                    <w:widowControl w:val="0"/>
                    <w:kinsoku/>
                    <w:wordWrap/>
                    <w:overflowPunct/>
                    <w:topLinePunct w:val="0"/>
                    <w:bidi w:val="0"/>
                    <w:adjustRightInd w:val="0"/>
                    <w:snapToGrid w:val="0"/>
                    <w:ind w:firstLine="0"/>
                    <w:jc w:val="center"/>
                    <w:textAlignment w:val="auto"/>
                    <w:rPr>
                      <w:b/>
                      <w:bCs/>
                      <w:color w:val="auto"/>
                      <w:szCs w:val="21"/>
                    </w:rPr>
                  </w:pPr>
                  <w:r>
                    <w:rPr>
                      <w:b/>
                      <w:bCs/>
                      <w:color w:val="auto"/>
                      <w:szCs w:val="21"/>
                    </w:rPr>
                    <w:t>名称</w:t>
                  </w:r>
                </w:p>
              </w:tc>
              <w:tc>
                <w:tcPr>
                  <w:tcW w:w="1233" w:type="pct"/>
                  <w:gridSpan w:val="2"/>
                  <w:shd w:val="clear" w:color="auto" w:fill="auto"/>
                  <w:vAlign w:val="center"/>
                </w:tcPr>
                <w:p w14:paraId="35622D3A">
                  <w:pPr>
                    <w:keepNext w:val="0"/>
                    <w:keepLines w:val="0"/>
                    <w:pageBreakBefore w:val="0"/>
                    <w:widowControl w:val="0"/>
                    <w:kinsoku/>
                    <w:wordWrap/>
                    <w:overflowPunct/>
                    <w:topLinePunct w:val="0"/>
                    <w:bidi w:val="0"/>
                    <w:adjustRightInd w:val="0"/>
                    <w:snapToGrid w:val="0"/>
                    <w:ind w:firstLine="0"/>
                    <w:jc w:val="center"/>
                    <w:textAlignment w:val="auto"/>
                    <w:rPr>
                      <w:b/>
                      <w:bCs/>
                      <w:color w:val="auto"/>
                      <w:szCs w:val="21"/>
                    </w:rPr>
                  </w:pPr>
                  <w:r>
                    <w:rPr>
                      <w:b/>
                      <w:bCs/>
                      <w:color w:val="auto"/>
                      <w:szCs w:val="21"/>
                    </w:rPr>
                    <w:t>坐标/m</w:t>
                  </w:r>
                </w:p>
              </w:tc>
              <w:tc>
                <w:tcPr>
                  <w:tcW w:w="826" w:type="pct"/>
                  <w:vMerge w:val="restart"/>
                  <w:shd w:val="clear" w:color="auto" w:fill="auto"/>
                  <w:vAlign w:val="center"/>
                </w:tcPr>
                <w:p w14:paraId="72509D6A">
                  <w:pPr>
                    <w:keepNext w:val="0"/>
                    <w:keepLines w:val="0"/>
                    <w:pageBreakBefore w:val="0"/>
                    <w:widowControl w:val="0"/>
                    <w:kinsoku/>
                    <w:wordWrap/>
                    <w:overflowPunct/>
                    <w:topLinePunct w:val="0"/>
                    <w:bidi w:val="0"/>
                    <w:adjustRightInd w:val="0"/>
                    <w:snapToGrid w:val="0"/>
                    <w:ind w:firstLine="0"/>
                    <w:jc w:val="center"/>
                    <w:textAlignment w:val="auto"/>
                    <w:rPr>
                      <w:b/>
                      <w:bCs/>
                      <w:color w:val="auto"/>
                      <w:szCs w:val="21"/>
                    </w:rPr>
                  </w:pPr>
                  <w:r>
                    <w:rPr>
                      <w:b/>
                      <w:bCs/>
                      <w:color w:val="auto"/>
                      <w:szCs w:val="21"/>
                    </w:rPr>
                    <w:t>保护对象</w:t>
                  </w:r>
                </w:p>
              </w:tc>
              <w:tc>
                <w:tcPr>
                  <w:tcW w:w="482" w:type="pct"/>
                  <w:vMerge w:val="restart"/>
                  <w:shd w:val="clear" w:color="auto" w:fill="auto"/>
                  <w:vAlign w:val="center"/>
                </w:tcPr>
                <w:p w14:paraId="6C065C5E">
                  <w:pPr>
                    <w:keepNext w:val="0"/>
                    <w:keepLines w:val="0"/>
                    <w:pageBreakBefore w:val="0"/>
                    <w:widowControl w:val="0"/>
                    <w:kinsoku/>
                    <w:wordWrap/>
                    <w:overflowPunct/>
                    <w:topLinePunct w:val="0"/>
                    <w:bidi w:val="0"/>
                    <w:adjustRightInd w:val="0"/>
                    <w:snapToGrid w:val="0"/>
                    <w:ind w:firstLine="0"/>
                    <w:jc w:val="center"/>
                    <w:textAlignment w:val="auto"/>
                    <w:rPr>
                      <w:b/>
                      <w:bCs/>
                      <w:color w:val="auto"/>
                      <w:szCs w:val="21"/>
                    </w:rPr>
                  </w:pPr>
                  <w:r>
                    <w:rPr>
                      <w:b/>
                      <w:bCs/>
                      <w:color w:val="auto"/>
                      <w:szCs w:val="21"/>
                    </w:rPr>
                    <w:t>保护内容</w:t>
                  </w:r>
                </w:p>
              </w:tc>
              <w:tc>
                <w:tcPr>
                  <w:tcW w:w="421" w:type="pct"/>
                  <w:vMerge w:val="restart"/>
                  <w:shd w:val="clear" w:color="auto" w:fill="auto"/>
                  <w:vAlign w:val="center"/>
                </w:tcPr>
                <w:p w14:paraId="26D1EF67">
                  <w:pPr>
                    <w:keepNext w:val="0"/>
                    <w:keepLines w:val="0"/>
                    <w:pageBreakBefore w:val="0"/>
                    <w:widowControl w:val="0"/>
                    <w:kinsoku/>
                    <w:wordWrap/>
                    <w:overflowPunct/>
                    <w:topLinePunct w:val="0"/>
                    <w:bidi w:val="0"/>
                    <w:adjustRightInd w:val="0"/>
                    <w:snapToGrid w:val="0"/>
                    <w:ind w:firstLine="0"/>
                    <w:jc w:val="center"/>
                    <w:textAlignment w:val="auto"/>
                    <w:rPr>
                      <w:b/>
                      <w:bCs/>
                      <w:color w:val="auto"/>
                      <w:szCs w:val="21"/>
                    </w:rPr>
                  </w:pPr>
                  <w:r>
                    <w:rPr>
                      <w:b/>
                      <w:bCs/>
                      <w:color w:val="auto"/>
                      <w:szCs w:val="21"/>
                    </w:rPr>
                    <w:t>相对厂址方位</w:t>
                  </w:r>
                </w:p>
              </w:tc>
              <w:tc>
                <w:tcPr>
                  <w:tcW w:w="551" w:type="pct"/>
                  <w:vMerge w:val="restart"/>
                  <w:shd w:val="clear" w:color="auto" w:fill="auto"/>
                  <w:vAlign w:val="center"/>
                </w:tcPr>
                <w:p w14:paraId="7B70649A">
                  <w:pPr>
                    <w:keepNext w:val="0"/>
                    <w:keepLines w:val="0"/>
                    <w:pageBreakBefore w:val="0"/>
                    <w:widowControl w:val="0"/>
                    <w:kinsoku/>
                    <w:wordWrap/>
                    <w:overflowPunct/>
                    <w:topLinePunct w:val="0"/>
                    <w:bidi w:val="0"/>
                    <w:adjustRightInd w:val="0"/>
                    <w:snapToGrid w:val="0"/>
                    <w:ind w:firstLine="0"/>
                    <w:jc w:val="center"/>
                    <w:textAlignment w:val="auto"/>
                    <w:rPr>
                      <w:b/>
                      <w:bCs/>
                      <w:color w:val="auto"/>
                      <w:szCs w:val="21"/>
                    </w:rPr>
                  </w:pPr>
                  <w:r>
                    <w:rPr>
                      <w:b/>
                      <w:bCs/>
                      <w:color w:val="auto"/>
                      <w:szCs w:val="21"/>
                    </w:rPr>
                    <w:t>相对厂界距离/m</w:t>
                  </w:r>
                </w:p>
              </w:tc>
              <w:tc>
                <w:tcPr>
                  <w:tcW w:w="1179" w:type="pct"/>
                  <w:vMerge w:val="restart"/>
                  <w:shd w:val="clear" w:color="auto" w:fill="auto"/>
                  <w:vAlign w:val="center"/>
                </w:tcPr>
                <w:p w14:paraId="0B8EB054">
                  <w:pPr>
                    <w:keepNext w:val="0"/>
                    <w:keepLines w:val="0"/>
                    <w:pageBreakBefore w:val="0"/>
                    <w:widowControl w:val="0"/>
                    <w:kinsoku/>
                    <w:wordWrap/>
                    <w:overflowPunct/>
                    <w:topLinePunct w:val="0"/>
                    <w:bidi w:val="0"/>
                    <w:adjustRightInd w:val="0"/>
                    <w:snapToGrid w:val="0"/>
                    <w:ind w:firstLine="0"/>
                    <w:jc w:val="center"/>
                    <w:textAlignment w:val="auto"/>
                    <w:rPr>
                      <w:b/>
                      <w:bCs/>
                      <w:color w:val="auto"/>
                      <w:szCs w:val="21"/>
                    </w:rPr>
                  </w:pPr>
                  <w:r>
                    <w:rPr>
                      <w:b/>
                      <w:bCs/>
                      <w:color w:val="auto"/>
                      <w:szCs w:val="21"/>
                    </w:rPr>
                    <w:t>环境质量标准</w:t>
                  </w:r>
                </w:p>
              </w:tc>
            </w:tr>
            <w:tr w14:paraId="2E01C6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305" w:type="pct"/>
                  <w:vMerge w:val="continue"/>
                  <w:shd w:val="clear" w:color="auto" w:fill="auto"/>
                  <w:vAlign w:val="center"/>
                </w:tcPr>
                <w:p w14:paraId="3C6C1EBF">
                  <w:pPr>
                    <w:keepNext w:val="0"/>
                    <w:keepLines w:val="0"/>
                    <w:pageBreakBefore w:val="0"/>
                    <w:widowControl w:val="0"/>
                    <w:kinsoku/>
                    <w:wordWrap/>
                    <w:overflowPunct/>
                    <w:topLinePunct w:val="0"/>
                    <w:bidi w:val="0"/>
                    <w:adjustRightInd w:val="0"/>
                    <w:snapToGrid w:val="0"/>
                    <w:ind w:firstLine="0"/>
                    <w:jc w:val="center"/>
                    <w:textAlignment w:val="auto"/>
                    <w:rPr>
                      <w:color w:val="auto"/>
                      <w:szCs w:val="21"/>
                    </w:rPr>
                  </w:pPr>
                </w:p>
              </w:tc>
              <w:tc>
                <w:tcPr>
                  <w:tcW w:w="649" w:type="pct"/>
                  <w:shd w:val="clear" w:color="auto" w:fill="auto"/>
                  <w:vAlign w:val="center"/>
                </w:tcPr>
                <w:p w14:paraId="6403755C">
                  <w:pPr>
                    <w:keepNext w:val="0"/>
                    <w:keepLines w:val="0"/>
                    <w:pageBreakBefore w:val="0"/>
                    <w:widowControl w:val="0"/>
                    <w:kinsoku/>
                    <w:wordWrap/>
                    <w:overflowPunct/>
                    <w:topLinePunct w:val="0"/>
                    <w:bidi w:val="0"/>
                    <w:adjustRightInd w:val="0"/>
                    <w:snapToGrid w:val="0"/>
                    <w:ind w:firstLine="0"/>
                    <w:jc w:val="center"/>
                    <w:textAlignment w:val="auto"/>
                    <w:rPr>
                      <w:b/>
                      <w:bCs/>
                      <w:color w:val="auto"/>
                      <w:szCs w:val="21"/>
                    </w:rPr>
                  </w:pPr>
                  <w:r>
                    <w:rPr>
                      <w:b/>
                      <w:bCs/>
                      <w:color w:val="auto"/>
                      <w:szCs w:val="21"/>
                    </w:rPr>
                    <w:t>X</w:t>
                  </w:r>
                </w:p>
              </w:tc>
              <w:tc>
                <w:tcPr>
                  <w:tcW w:w="583" w:type="pct"/>
                  <w:shd w:val="clear" w:color="auto" w:fill="auto"/>
                  <w:vAlign w:val="center"/>
                </w:tcPr>
                <w:p w14:paraId="1734A9AC">
                  <w:pPr>
                    <w:keepNext w:val="0"/>
                    <w:keepLines w:val="0"/>
                    <w:pageBreakBefore w:val="0"/>
                    <w:widowControl w:val="0"/>
                    <w:kinsoku/>
                    <w:wordWrap/>
                    <w:overflowPunct/>
                    <w:topLinePunct w:val="0"/>
                    <w:bidi w:val="0"/>
                    <w:adjustRightInd w:val="0"/>
                    <w:snapToGrid w:val="0"/>
                    <w:ind w:firstLine="0"/>
                    <w:jc w:val="center"/>
                    <w:textAlignment w:val="auto"/>
                    <w:rPr>
                      <w:b/>
                      <w:bCs/>
                      <w:color w:val="auto"/>
                      <w:szCs w:val="21"/>
                    </w:rPr>
                  </w:pPr>
                  <w:r>
                    <w:rPr>
                      <w:b/>
                      <w:bCs/>
                      <w:color w:val="auto"/>
                      <w:szCs w:val="21"/>
                    </w:rPr>
                    <w:t>Y</w:t>
                  </w:r>
                </w:p>
              </w:tc>
              <w:tc>
                <w:tcPr>
                  <w:tcW w:w="826" w:type="pct"/>
                  <w:vMerge w:val="continue"/>
                  <w:shd w:val="clear" w:color="auto" w:fill="auto"/>
                  <w:vAlign w:val="center"/>
                </w:tcPr>
                <w:p w14:paraId="1996BB74">
                  <w:pPr>
                    <w:keepNext w:val="0"/>
                    <w:keepLines w:val="0"/>
                    <w:pageBreakBefore w:val="0"/>
                    <w:widowControl w:val="0"/>
                    <w:kinsoku/>
                    <w:wordWrap/>
                    <w:overflowPunct/>
                    <w:topLinePunct w:val="0"/>
                    <w:bidi w:val="0"/>
                    <w:adjustRightInd w:val="0"/>
                    <w:snapToGrid w:val="0"/>
                    <w:ind w:firstLine="0"/>
                    <w:jc w:val="center"/>
                    <w:textAlignment w:val="auto"/>
                    <w:rPr>
                      <w:color w:val="auto"/>
                      <w:szCs w:val="21"/>
                    </w:rPr>
                  </w:pPr>
                </w:p>
              </w:tc>
              <w:tc>
                <w:tcPr>
                  <w:tcW w:w="482" w:type="pct"/>
                  <w:vMerge w:val="continue"/>
                  <w:shd w:val="clear" w:color="auto" w:fill="auto"/>
                  <w:vAlign w:val="center"/>
                </w:tcPr>
                <w:p w14:paraId="5FA423B3">
                  <w:pPr>
                    <w:keepNext w:val="0"/>
                    <w:keepLines w:val="0"/>
                    <w:pageBreakBefore w:val="0"/>
                    <w:widowControl w:val="0"/>
                    <w:kinsoku/>
                    <w:wordWrap/>
                    <w:overflowPunct/>
                    <w:topLinePunct w:val="0"/>
                    <w:bidi w:val="0"/>
                    <w:adjustRightInd w:val="0"/>
                    <w:snapToGrid w:val="0"/>
                    <w:ind w:firstLine="0"/>
                    <w:jc w:val="center"/>
                    <w:textAlignment w:val="auto"/>
                    <w:rPr>
                      <w:color w:val="auto"/>
                      <w:szCs w:val="21"/>
                    </w:rPr>
                  </w:pPr>
                </w:p>
              </w:tc>
              <w:tc>
                <w:tcPr>
                  <w:tcW w:w="421" w:type="pct"/>
                  <w:vMerge w:val="continue"/>
                  <w:shd w:val="clear" w:color="auto" w:fill="auto"/>
                  <w:vAlign w:val="center"/>
                </w:tcPr>
                <w:p w14:paraId="5BC4FCF6">
                  <w:pPr>
                    <w:keepNext w:val="0"/>
                    <w:keepLines w:val="0"/>
                    <w:pageBreakBefore w:val="0"/>
                    <w:widowControl w:val="0"/>
                    <w:kinsoku/>
                    <w:wordWrap/>
                    <w:overflowPunct/>
                    <w:topLinePunct w:val="0"/>
                    <w:bidi w:val="0"/>
                    <w:adjustRightInd w:val="0"/>
                    <w:snapToGrid w:val="0"/>
                    <w:ind w:firstLine="0"/>
                    <w:jc w:val="center"/>
                    <w:textAlignment w:val="auto"/>
                    <w:rPr>
                      <w:color w:val="auto"/>
                      <w:szCs w:val="21"/>
                    </w:rPr>
                  </w:pPr>
                </w:p>
              </w:tc>
              <w:tc>
                <w:tcPr>
                  <w:tcW w:w="551" w:type="pct"/>
                  <w:vMerge w:val="continue"/>
                  <w:shd w:val="clear" w:color="auto" w:fill="auto"/>
                  <w:vAlign w:val="center"/>
                </w:tcPr>
                <w:p w14:paraId="2E6EDE92">
                  <w:pPr>
                    <w:keepNext w:val="0"/>
                    <w:keepLines w:val="0"/>
                    <w:pageBreakBefore w:val="0"/>
                    <w:widowControl w:val="0"/>
                    <w:kinsoku/>
                    <w:wordWrap/>
                    <w:overflowPunct/>
                    <w:topLinePunct w:val="0"/>
                    <w:bidi w:val="0"/>
                    <w:adjustRightInd w:val="0"/>
                    <w:snapToGrid w:val="0"/>
                    <w:ind w:firstLine="0"/>
                    <w:jc w:val="center"/>
                    <w:textAlignment w:val="auto"/>
                    <w:rPr>
                      <w:color w:val="auto"/>
                      <w:szCs w:val="21"/>
                    </w:rPr>
                  </w:pPr>
                </w:p>
              </w:tc>
              <w:tc>
                <w:tcPr>
                  <w:tcW w:w="1179" w:type="pct"/>
                  <w:vMerge w:val="continue"/>
                  <w:shd w:val="clear" w:color="auto" w:fill="auto"/>
                  <w:vAlign w:val="center"/>
                </w:tcPr>
                <w:p w14:paraId="08187C24">
                  <w:pPr>
                    <w:keepNext w:val="0"/>
                    <w:keepLines w:val="0"/>
                    <w:pageBreakBefore w:val="0"/>
                    <w:widowControl w:val="0"/>
                    <w:kinsoku/>
                    <w:wordWrap/>
                    <w:overflowPunct/>
                    <w:topLinePunct w:val="0"/>
                    <w:bidi w:val="0"/>
                    <w:adjustRightInd w:val="0"/>
                    <w:snapToGrid w:val="0"/>
                    <w:ind w:firstLine="0"/>
                    <w:jc w:val="center"/>
                    <w:textAlignment w:val="auto"/>
                    <w:rPr>
                      <w:color w:val="auto"/>
                      <w:szCs w:val="21"/>
                    </w:rPr>
                  </w:pPr>
                </w:p>
              </w:tc>
            </w:tr>
            <w:tr w14:paraId="61E58E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305" w:type="pct"/>
                  <w:vMerge w:val="restart"/>
                  <w:shd w:val="clear" w:color="auto" w:fill="auto"/>
                  <w:vAlign w:val="center"/>
                </w:tcPr>
                <w:p w14:paraId="7867C5DF">
                  <w:pPr>
                    <w:keepNext w:val="0"/>
                    <w:keepLines w:val="0"/>
                    <w:pageBreakBefore w:val="0"/>
                    <w:widowControl w:val="0"/>
                    <w:kinsoku/>
                    <w:wordWrap/>
                    <w:overflowPunct/>
                    <w:topLinePunct w:val="0"/>
                    <w:bidi w:val="0"/>
                    <w:adjustRightInd w:val="0"/>
                    <w:snapToGrid w:val="0"/>
                    <w:ind w:firstLine="0"/>
                    <w:jc w:val="center"/>
                    <w:textAlignment w:val="auto"/>
                    <w:rPr>
                      <w:color w:val="auto"/>
                      <w:szCs w:val="21"/>
                    </w:rPr>
                  </w:pPr>
                  <w:r>
                    <w:rPr>
                      <w:color w:val="auto"/>
                      <w:szCs w:val="21"/>
                    </w:rPr>
                    <w:t>大气环境</w:t>
                  </w:r>
                </w:p>
              </w:tc>
              <w:tc>
                <w:tcPr>
                  <w:tcW w:w="649" w:type="pct"/>
                  <w:shd w:val="clear" w:color="auto" w:fill="auto"/>
                  <w:vAlign w:val="center"/>
                </w:tcPr>
                <w:p w14:paraId="001770C6">
                  <w:pPr>
                    <w:keepNext w:val="0"/>
                    <w:keepLines w:val="0"/>
                    <w:pageBreakBefore w:val="0"/>
                    <w:widowControl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119.261849</w:t>
                  </w:r>
                </w:p>
              </w:tc>
              <w:tc>
                <w:tcPr>
                  <w:tcW w:w="583" w:type="pct"/>
                  <w:shd w:val="clear" w:color="auto" w:fill="auto"/>
                  <w:vAlign w:val="center"/>
                </w:tcPr>
                <w:p w14:paraId="4D66126E">
                  <w:pPr>
                    <w:keepNext w:val="0"/>
                    <w:keepLines w:val="0"/>
                    <w:pageBreakBefore w:val="0"/>
                    <w:widowControl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33.818964</w:t>
                  </w:r>
                </w:p>
              </w:tc>
              <w:tc>
                <w:tcPr>
                  <w:tcW w:w="826" w:type="pct"/>
                  <w:shd w:val="clear" w:color="auto" w:fill="auto"/>
                  <w:vAlign w:val="center"/>
                </w:tcPr>
                <w:p w14:paraId="01B4CA6F">
                  <w:pPr>
                    <w:keepNext w:val="0"/>
                    <w:keepLines w:val="0"/>
                    <w:pageBreakBefore w:val="0"/>
                    <w:widowControl w:val="0"/>
                    <w:kinsoku/>
                    <w:wordWrap/>
                    <w:overflowPunct/>
                    <w:topLinePunct w:val="0"/>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rPr>
                    <w:t>贾庄</w:t>
                  </w:r>
                </w:p>
              </w:tc>
              <w:tc>
                <w:tcPr>
                  <w:tcW w:w="482" w:type="pct"/>
                  <w:shd w:val="clear" w:color="auto" w:fill="auto"/>
                  <w:vAlign w:val="center"/>
                </w:tcPr>
                <w:p w14:paraId="157136FD">
                  <w:pPr>
                    <w:keepNext w:val="0"/>
                    <w:keepLines w:val="0"/>
                    <w:pageBreakBefore w:val="0"/>
                    <w:widowControl w:val="0"/>
                    <w:kinsoku/>
                    <w:wordWrap/>
                    <w:overflowPunct/>
                    <w:topLinePunct w:val="0"/>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rPr>
                    <w:t>居民</w:t>
                  </w:r>
                </w:p>
              </w:tc>
              <w:tc>
                <w:tcPr>
                  <w:tcW w:w="421" w:type="pct"/>
                  <w:shd w:val="clear" w:color="auto" w:fill="auto"/>
                  <w:vAlign w:val="center"/>
                </w:tcPr>
                <w:p w14:paraId="56130829">
                  <w:pPr>
                    <w:keepNext w:val="0"/>
                    <w:keepLines w:val="0"/>
                    <w:pageBreakBefore w:val="0"/>
                    <w:widowControl w:val="0"/>
                    <w:kinsoku/>
                    <w:wordWrap/>
                    <w:overflowPunct/>
                    <w:topLinePunct w:val="0"/>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rPr>
                    <w:t>东</w:t>
                  </w:r>
                </w:p>
              </w:tc>
              <w:tc>
                <w:tcPr>
                  <w:tcW w:w="551" w:type="pct"/>
                  <w:shd w:val="clear" w:color="auto" w:fill="auto"/>
                  <w:vAlign w:val="center"/>
                </w:tcPr>
                <w:p w14:paraId="0AB47E61">
                  <w:pPr>
                    <w:keepNext w:val="0"/>
                    <w:keepLines w:val="0"/>
                    <w:pageBreakBefore w:val="0"/>
                    <w:widowControl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120</w:t>
                  </w:r>
                </w:p>
              </w:tc>
              <w:tc>
                <w:tcPr>
                  <w:tcW w:w="1179" w:type="pct"/>
                  <w:vMerge w:val="restart"/>
                  <w:shd w:val="clear" w:color="auto" w:fill="auto"/>
                  <w:vAlign w:val="center"/>
                </w:tcPr>
                <w:p w14:paraId="6494A58D">
                  <w:pPr>
                    <w:keepNext w:val="0"/>
                    <w:keepLines w:val="0"/>
                    <w:pageBreakBefore w:val="0"/>
                    <w:widowControl w:val="0"/>
                    <w:kinsoku/>
                    <w:wordWrap/>
                    <w:overflowPunct/>
                    <w:topLinePunct w:val="0"/>
                    <w:bidi w:val="0"/>
                    <w:adjustRightInd w:val="0"/>
                    <w:snapToGrid w:val="0"/>
                    <w:ind w:firstLine="0"/>
                    <w:jc w:val="center"/>
                    <w:textAlignment w:val="auto"/>
                    <w:rPr>
                      <w:color w:val="auto"/>
                      <w:szCs w:val="21"/>
                    </w:rPr>
                  </w:pPr>
                  <w:r>
                    <w:rPr>
                      <w:color w:val="auto"/>
                      <w:szCs w:val="21"/>
                    </w:rPr>
                    <w:t>《环境空气质量标准》（GB3095-2012）及修改单二级标准</w:t>
                  </w:r>
                </w:p>
              </w:tc>
            </w:tr>
            <w:tr w14:paraId="765AA0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305" w:type="pct"/>
                  <w:vMerge w:val="continue"/>
                  <w:shd w:val="clear" w:color="auto" w:fill="auto"/>
                  <w:vAlign w:val="center"/>
                </w:tcPr>
                <w:p w14:paraId="2BDCACAE">
                  <w:pPr>
                    <w:keepNext w:val="0"/>
                    <w:keepLines w:val="0"/>
                    <w:pageBreakBefore w:val="0"/>
                    <w:widowControl w:val="0"/>
                    <w:kinsoku/>
                    <w:wordWrap/>
                    <w:overflowPunct/>
                    <w:topLinePunct w:val="0"/>
                    <w:bidi w:val="0"/>
                    <w:adjustRightInd w:val="0"/>
                    <w:snapToGrid w:val="0"/>
                    <w:ind w:firstLine="0"/>
                    <w:jc w:val="center"/>
                    <w:textAlignment w:val="auto"/>
                    <w:rPr>
                      <w:color w:val="auto"/>
                      <w:szCs w:val="21"/>
                    </w:rPr>
                  </w:pPr>
                </w:p>
              </w:tc>
              <w:tc>
                <w:tcPr>
                  <w:tcW w:w="649" w:type="pct"/>
                  <w:shd w:val="clear" w:color="auto" w:fill="auto"/>
                  <w:vAlign w:val="center"/>
                </w:tcPr>
                <w:p w14:paraId="1C328769">
                  <w:pPr>
                    <w:keepNext w:val="0"/>
                    <w:keepLines w:val="0"/>
                    <w:pageBreakBefore w:val="0"/>
                    <w:widowControl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119.261012</w:t>
                  </w:r>
                </w:p>
              </w:tc>
              <w:tc>
                <w:tcPr>
                  <w:tcW w:w="583" w:type="pct"/>
                  <w:shd w:val="clear" w:color="auto" w:fill="auto"/>
                  <w:vAlign w:val="center"/>
                </w:tcPr>
                <w:p w14:paraId="1FDE8067">
                  <w:pPr>
                    <w:keepNext w:val="0"/>
                    <w:keepLines w:val="0"/>
                    <w:pageBreakBefore w:val="0"/>
                    <w:widowControl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33.816362</w:t>
                  </w:r>
                </w:p>
              </w:tc>
              <w:tc>
                <w:tcPr>
                  <w:tcW w:w="826" w:type="pct"/>
                  <w:shd w:val="clear" w:color="auto" w:fill="auto"/>
                  <w:vAlign w:val="center"/>
                </w:tcPr>
                <w:p w14:paraId="44D6BA67">
                  <w:pPr>
                    <w:keepNext w:val="0"/>
                    <w:keepLines w:val="0"/>
                    <w:pageBreakBefore w:val="0"/>
                    <w:widowControl w:val="0"/>
                    <w:kinsoku/>
                    <w:wordWrap/>
                    <w:overflowPunct/>
                    <w:topLinePunct w:val="0"/>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rPr>
                    <w:t>学田庄</w:t>
                  </w:r>
                </w:p>
              </w:tc>
              <w:tc>
                <w:tcPr>
                  <w:tcW w:w="482" w:type="pct"/>
                  <w:shd w:val="clear" w:color="auto" w:fill="auto"/>
                  <w:vAlign w:val="center"/>
                </w:tcPr>
                <w:p w14:paraId="585563F9">
                  <w:pPr>
                    <w:keepNext w:val="0"/>
                    <w:keepLines w:val="0"/>
                    <w:pageBreakBefore w:val="0"/>
                    <w:widowControl w:val="0"/>
                    <w:kinsoku/>
                    <w:wordWrap/>
                    <w:overflowPunct/>
                    <w:topLinePunct w:val="0"/>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rPr>
                    <w:t>居民</w:t>
                  </w:r>
                </w:p>
              </w:tc>
              <w:tc>
                <w:tcPr>
                  <w:tcW w:w="421" w:type="pct"/>
                  <w:shd w:val="clear" w:color="auto" w:fill="auto"/>
                  <w:vAlign w:val="center"/>
                </w:tcPr>
                <w:p w14:paraId="7CD9A4AC">
                  <w:pPr>
                    <w:keepNext w:val="0"/>
                    <w:keepLines w:val="0"/>
                    <w:pageBreakBefore w:val="0"/>
                    <w:widowControl w:val="0"/>
                    <w:kinsoku/>
                    <w:wordWrap/>
                    <w:overflowPunct/>
                    <w:topLinePunct w:val="0"/>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rPr>
                    <w:t>东南</w:t>
                  </w:r>
                </w:p>
              </w:tc>
              <w:tc>
                <w:tcPr>
                  <w:tcW w:w="551" w:type="pct"/>
                  <w:shd w:val="clear" w:color="auto" w:fill="auto"/>
                  <w:vAlign w:val="center"/>
                </w:tcPr>
                <w:p w14:paraId="353D97D1">
                  <w:pPr>
                    <w:keepNext w:val="0"/>
                    <w:keepLines w:val="0"/>
                    <w:pageBreakBefore w:val="0"/>
                    <w:widowControl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230</w:t>
                  </w:r>
                </w:p>
              </w:tc>
              <w:tc>
                <w:tcPr>
                  <w:tcW w:w="1179" w:type="pct"/>
                  <w:vMerge w:val="continue"/>
                  <w:shd w:val="clear" w:color="auto" w:fill="auto"/>
                  <w:vAlign w:val="center"/>
                </w:tcPr>
                <w:p w14:paraId="2E5E7146">
                  <w:pPr>
                    <w:keepNext w:val="0"/>
                    <w:keepLines w:val="0"/>
                    <w:pageBreakBefore w:val="0"/>
                    <w:widowControl w:val="0"/>
                    <w:kinsoku/>
                    <w:wordWrap/>
                    <w:overflowPunct/>
                    <w:topLinePunct w:val="0"/>
                    <w:bidi w:val="0"/>
                    <w:adjustRightInd w:val="0"/>
                    <w:snapToGrid w:val="0"/>
                    <w:ind w:firstLine="0"/>
                    <w:jc w:val="center"/>
                    <w:textAlignment w:val="auto"/>
                    <w:rPr>
                      <w:color w:val="auto"/>
                      <w:szCs w:val="21"/>
                    </w:rPr>
                  </w:pPr>
                </w:p>
              </w:tc>
            </w:tr>
            <w:tr w14:paraId="1A517E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305" w:type="pct"/>
                  <w:vMerge w:val="continue"/>
                  <w:shd w:val="clear" w:color="auto" w:fill="auto"/>
                  <w:vAlign w:val="center"/>
                </w:tcPr>
                <w:p w14:paraId="11EBF5B4">
                  <w:pPr>
                    <w:keepNext w:val="0"/>
                    <w:keepLines w:val="0"/>
                    <w:pageBreakBefore w:val="0"/>
                    <w:widowControl w:val="0"/>
                    <w:kinsoku/>
                    <w:wordWrap/>
                    <w:overflowPunct/>
                    <w:topLinePunct w:val="0"/>
                    <w:bidi w:val="0"/>
                    <w:adjustRightInd w:val="0"/>
                    <w:snapToGrid w:val="0"/>
                    <w:ind w:firstLine="0"/>
                    <w:jc w:val="center"/>
                    <w:textAlignment w:val="auto"/>
                    <w:rPr>
                      <w:color w:val="auto"/>
                      <w:szCs w:val="21"/>
                    </w:rPr>
                  </w:pPr>
                </w:p>
              </w:tc>
              <w:tc>
                <w:tcPr>
                  <w:tcW w:w="649" w:type="pct"/>
                  <w:shd w:val="clear" w:color="auto" w:fill="auto"/>
                  <w:vAlign w:val="center"/>
                </w:tcPr>
                <w:p w14:paraId="2A51857A">
                  <w:pPr>
                    <w:keepNext w:val="0"/>
                    <w:keepLines w:val="0"/>
                    <w:pageBreakBefore w:val="0"/>
                    <w:widowControl w:val="0"/>
                    <w:kinsoku/>
                    <w:wordWrap/>
                    <w:overflowPunct/>
                    <w:topLinePunct w:val="0"/>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val="en-US" w:eastAsia="zh-CN"/>
                    </w:rPr>
                    <w:t>119.261913</w:t>
                  </w:r>
                </w:p>
              </w:tc>
              <w:tc>
                <w:tcPr>
                  <w:tcW w:w="583" w:type="pct"/>
                  <w:shd w:val="clear" w:color="auto" w:fill="auto"/>
                  <w:vAlign w:val="center"/>
                </w:tcPr>
                <w:p w14:paraId="2DA17F1F">
                  <w:pPr>
                    <w:keepNext w:val="0"/>
                    <w:keepLines w:val="0"/>
                    <w:pageBreakBefore w:val="0"/>
                    <w:widowControl w:val="0"/>
                    <w:kinsoku/>
                    <w:wordWrap/>
                    <w:overflowPunct/>
                    <w:topLinePunct w:val="0"/>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val="en-US" w:eastAsia="zh-CN"/>
                    </w:rPr>
                    <w:t>33.814918</w:t>
                  </w:r>
                </w:p>
              </w:tc>
              <w:tc>
                <w:tcPr>
                  <w:tcW w:w="826" w:type="pct"/>
                  <w:shd w:val="clear" w:color="auto" w:fill="auto"/>
                  <w:vAlign w:val="center"/>
                </w:tcPr>
                <w:p w14:paraId="1E0510C5">
                  <w:pPr>
                    <w:keepNext w:val="0"/>
                    <w:keepLines w:val="0"/>
                    <w:pageBreakBefore w:val="0"/>
                    <w:widowControl w:val="0"/>
                    <w:kinsoku/>
                    <w:wordWrap/>
                    <w:overflowPunct/>
                    <w:topLinePunct w:val="0"/>
                    <w:bidi w:val="0"/>
                    <w:adjustRightInd w:val="0"/>
                    <w:snapToGrid w:val="0"/>
                    <w:ind w:firstLine="0"/>
                    <w:jc w:val="center"/>
                    <w:textAlignment w:val="auto"/>
                    <w:rPr>
                      <w:rFonts w:hint="eastAsia" w:eastAsia="宋体"/>
                      <w:color w:val="auto"/>
                      <w:szCs w:val="21"/>
                      <w:lang w:eastAsia="zh-CN"/>
                    </w:rPr>
                  </w:pPr>
                  <w:r>
                    <w:rPr>
                      <w:rFonts w:hint="eastAsia"/>
                      <w:color w:val="auto"/>
                      <w:szCs w:val="21"/>
                      <w:lang w:eastAsia="zh-CN"/>
                    </w:rPr>
                    <w:t>朱码头</w:t>
                  </w:r>
                </w:p>
              </w:tc>
              <w:tc>
                <w:tcPr>
                  <w:tcW w:w="482" w:type="pct"/>
                  <w:shd w:val="clear" w:color="auto" w:fill="auto"/>
                  <w:vAlign w:val="center"/>
                </w:tcPr>
                <w:p w14:paraId="3014E004">
                  <w:pPr>
                    <w:keepNext w:val="0"/>
                    <w:keepLines w:val="0"/>
                    <w:pageBreakBefore w:val="0"/>
                    <w:widowControl w:val="0"/>
                    <w:kinsoku/>
                    <w:wordWrap/>
                    <w:overflowPunct/>
                    <w:topLinePunct w:val="0"/>
                    <w:bidi w:val="0"/>
                    <w:adjustRightInd w:val="0"/>
                    <w:snapToGrid w:val="0"/>
                    <w:ind w:firstLine="0"/>
                    <w:jc w:val="center"/>
                    <w:textAlignment w:val="auto"/>
                    <w:rPr>
                      <w:rFonts w:hint="eastAsia" w:eastAsia="宋体"/>
                      <w:color w:val="auto"/>
                      <w:szCs w:val="21"/>
                      <w:lang w:eastAsia="zh-CN"/>
                    </w:rPr>
                  </w:pPr>
                  <w:r>
                    <w:rPr>
                      <w:rFonts w:hint="eastAsia"/>
                      <w:color w:val="auto"/>
                      <w:szCs w:val="21"/>
                      <w:lang w:eastAsia="zh-CN"/>
                    </w:rPr>
                    <w:t>居民</w:t>
                  </w:r>
                </w:p>
              </w:tc>
              <w:tc>
                <w:tcPr>
                  <w:tcW w:w="421" w:type="pct"/>
                  <w:shd w:val="clear" w:color="auto" w:fill="auto"/>
                  <w:vAlign w:val="center"/>
                </w:tcPr>
                <w:p w14:paraId="10AA972F">
                  <w:pPr>
                    <w:keepNext w:val="0"/>
                    <w:keepLines w:val="0"/>
                    <w:pageBreakBefore w:val="0"/>
                    <w:widowControl w:val="0"/>
                    <w:kinsoku/>
                    <w:wordWrap/>
                    <w:overflowPunct/>
                    <w:topLinePunct w:val="0"/>
                    <w:bidi w:val="0"/>
                    <w:adjustRightInd w:val="0"/>
                    <w:snapToGrid w:val="0"/>
                    <w:ind w:firstLine="0"/>
                    <w:jc w:val="center"/>
                    <w:textAlignment w:val="auto"/>
                    <w:rPr>
                      <w:rFonts w:hint="eastAsia" w:eastAsia="宋体"/>
                      <w:color w:val="auto"/>
                      <w:szCs w:val="21"/>
                      <w:lang w:eastAsia="zh-CN"/>
                    </w:rPr>
                  </w:pPr>
                  <w:r>
                    <w:rPr>
                      <w:rFonts w:hint="eastAsia"/>
                      <w:color w:val="auto"/>
                      <w:szCs w:val="21"/>
                      <w:lang w:eastAsia="zh-CN"/>
                    </w:rPr>
                    <w:t>东南</w:t>
                  </w:r>
                </w:p>
              </w:tc>
              <w:tc>
                <w:tcPr>
                  <w:tcW w:w="551" w:type="pct"/>
                  <w:shd w:val="clear" w:color="auto" w:fill="auto"/>
                  <w:vAlign w:val="center"/>
                </w:tcPr>
                <w:p w14:paraId="7C7F6E8B">
                  <w:pPr>
                    <w:keepNext w:val="0"/>
                    <w:keepLines w:val="0"/>
                    <w:pageBreakBefore w:val="0"/>
                    <w:widowControl w:val="0"/>
                    <w:kinsoku/>
                    <w:wordWrap/>
                    <w:overflowPunct/>
                    <w:topLinePunct w:val="0"/>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val="en-US" w:eastAsia="zh-CN"/>
                    </w:rPr>
                    <w:t>380</w:t>
                  </w:r>
                </w:p>
              </w:tc>
              <w:tc>
                <w:tcPr>
                  <w:tcW w:w="1179" w:type="pct"/>
                  <w:vMerge w:val="continue"/>
                  <w:shd w:val="clear" w:color="auto" w:fill="auto"/>
                  <w:vAlign w:val="center"/>
                </w:tcPr>
                <w:p w14:paraId="2FD89F24">
                  <w:pPr>
                    <w:keepNext w:val="0"/>
                    <w:keepLines w:val="0"/>
                    <w:pageBreakBefore w:val="0"/>
                    <w:widowControl w:val="0"/>
                    <w:kinsoku/>
                    <w:wordWrap/>
                    <w:overflowPunct/>
                    <w:topLinePunct w:val="0"/>
                    <w:bidi w:val="0"/>
                    <w:adjustRightInd w:val="0"/>
                    <w:snapToGrid w:val="0"/>
                    <w:ind w:firstLine="0"/>
                    <w:jc w:val="center"/>
                    <w:textAlignment w:val="auto"/>
                    <w:rPr>
                      <w:color w:val="auto"/>
                      <w:szCs w:val="21"/>
                    </w:rPr>
                  </w:pPr>
                </w:p>
              </w:tc>
            </w:tr>
            <w:tr w14:paraId="5F7143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305" w:type="pct"/>
                  <w:vMerge w:val="continue"/>
                  <w:shd w:val="clear" w:color="auto" w:fill="auto"/>
                  <w:vAlign w:val="center"/>
                </w:tcPr>
                <w:p w14:paraId="2DC8E9F6">
                  <w:pPr>
                    <w:keepNext w:val="0"/>
                    <w:keepLines w:val="0"/>
                    <w:pageBreakBefore w:val="0"/>
                    <w:widowControl w:val="0"/>
                    <w:kinsoku/>
                    <w:wordWrap/>
                    <w:overflowPunct/>
                    <w:topLinePunct w:val="0"/>
                    <w:bidi w:val="0"/>
                    <w:adjustRightInd w:val="0"/>
                    <w:snapToGrid w:val="0"/>
                    <w:ind w:firstLine="0"/>
                    <w:jc w:val="center"/>
                    <w:textAlignment w:val="auto"/>
                    <w:rPr>
                      <w:color w:val="auto"/>
                      <w:szCs w:val="21"/>
                    </w:rPr>
                  </w:pPr>
                </w:p>
              </w:tc>
              <w:tc>
                <w:tcPr>
                  <w:tcW w:w="649" w:type="pct"/>
                  <w:shd w:val="clear" w:color="auto" w:fill="auto"/>
                  <w:vAlign w:val="center"/>
                </w:tcPr>
                <w:p w14:paraId="1E7C07E4">
                  <w:pPr>
                    <w:keepNext w:val="0"/>
                    <w:keepLines w:val="0"/>
                    <w:pageBreakBefore w:val="0"/>
                    <w:widowControl w:val="0"/>
                    <w:kinsoku/>
                    <w:wordWrap/>
                    <w:overflowPunct/>
                    <w:topLinePunct w:val="0"/>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val="en-US" w:eastAsia="zh-CN"/>
                    </w:rPr>
                    <w:t>119.260283</w:t>
                  </w:r>
                </w:p>
              </w:tc>
              <w:tc>
                <w:tcPr>
                  <w:tcW w:w="583" w:type="pct"/>
                  <w:shd w:val="clear" w:color="auto" w:fill="auto"/>
                  <w:vAlign w:val="center"/>
                </w:tcPr>
                <w:p w14:paraId="52DE426A">
                  <w:pPr>
                    <w:keepNext w:val="0"/>
                    <w:keepLines w:val="0"/>
                    <w:pageBreakBefore w:val="0"/>
                    <w:widowControl w:val="0"/>
                    <w:kinsoku/>
                    <w:wordWrap/>
                    <w:overflowPunct/>
                    <w:topLinePunct w:val="0"/>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val="en-US" w:eastAsia="zh-CN"/>
                    </w:rPr>
                    <w:t>33.823813</w:t>
                  </w:r>
                </w:p>
              </w:tc>
              <w:tc>
                <w:tcPr>
                  <w:tcW w:w="826" w:type="pct"/>
                  <w:shd w:val="clear" w:color="auto" w:fill="auto"/>
                  <w:vAlign w:val="center"/>
                </w:tcPr>
                <w:p w14:paraId="40C2B6FF">
                  <w:pPr>
                    <w:keepNext w:val="0"/>
                    <w:keepLines w:val="0"/>
                    <w:pageBreakBefore w:val="0"/>
                    <w:widowControl w:val="0"/>
                    <w:kinsoku/>
                    <w:wordWrap/>
                    <w:overflowPunct/>
                    <w:topLinePunct w:val="0"/>
                    <w:bidi w:val="0"/>
                    <w:adjustRightInd w:val="0"/>
                    <w:snapToGrid w:val="0"/>
                    <w:ind w:firstLine="0"/>
                    <w:jc w:val="center"/>
                    <w:textAlignment w:val="auto"/>
                    <w:rPr>
                      <w:rFonts w:hint="eastAsia"/>
                      <w:color w:val="auto"/>
                      <w:szCs w:val="21"/>
                      <w:lang w:eastAsia="zh-CN"/>
                    </w:rPr>
                  </w:pPr>
                  <w:r>
                    <w:rPr>
                      <w:rFonts w:hint="eastAsia"/>
                      <w:color w:val="auto"/>
                      <w:szCs w:val="21"/>
                      <w:lang w:eastAsia="zh-CN"/>
                    </w:rPr>
                    <w:t>薛庄</w:t>
                  </w:r>
                </w:p>
              </w:tc>
              <w:tc>
                <w:tcPr>
                  <w:tcW w:w="482" w:type="pct"/>
                  <w:shd w:val="clear" w:color="auto" w:fill="auto"/>
                  <w:vAlign w:val="center"/>
                </w:tcPr>
                <w:p w14:paraId="4F733354">
                  <w:pPr>
                    <w:keepNext w:val="0"/>
                    <w:keepLines w:val="0"/>
                    <w:pageBreakBefore w:val="0"/>
                    <w:widowControl w:val="0"/>
                    <w:kinsoku/>
                    <w:wordWrap/>
                    <w:overflowPunct/>
                    <w:topLinePunct w:val="0"/>
                    <w:bidi w:val="0"/>
                    <w:adjustRightInd w:val="0"/>
                    <w:snapToGrid w:val="0"/>
                    <w:ind w:firstLine="0"/>
                    <w:jc w:val="center"/>
                    <w:textAlignment w:val="auto"/>
                    <w:rPr>
                      <w:rFonts w:hint="eastAsia"/>
                      <w:color w:val="auto"/>
                      <w:szCs w:val="21"/>
                      <w:lang w:eastAsia="zh-CN"/>
                    </w:rPr>
                  </w:pPr>
                  <w:r>
                    <w:rPr>
                      <w:rFonts w:hint="eastAsia"/>
                      <w:color w:val="auto"/>
                      <w:szCs w:val="21"/>
                      <w:lang w:eastAsia="zh-CN"/>
                    </w:rPr>
                    <w:t>居民</w:t>
                  </w:r>
                </w:p>
              </w:tc>
              <w:tc>
                <w:tcPr>
                  <w:tcW w:w="421" w:type="pct"/>
                  <w:shd w:val="clear" w:color="auto" w:fill="auto"/>
                  <w:vAlign w:val="center"/>
                </w:tcPr>
                <w:p w14:paraId="52B5AD52">
                  <w:pPr>
                    <w:keepNext w:val="0"/>
                    <w:keepLines w:val="0"/>
                    <w:pageBreakBefore w:val="0"/>
                    <w:widowControl w:val="0"/>
                    <w:kinsoku/>
                    <w:wordWrap/>
                    <w:overflowPunct/>
                    <w:topLinePunct w:val="0"/>
                    <w:bidi w:val="0"/>
                    <w:adjustRightInd w:val="0"/>
                    <w:snapToGrid w:val="0"/>
                    <w:ind w:firstLine="0"/>
                    <w:jc w:val="center"/>
                    <w:textAlignment w:val="auto"/>
                    <w:rPr>
                      <w:rFonts w:hint="eastAsia"/>
                      <w:color w:val="auto"/>
                      <w:szCs w:val="21"/>
                      <w:lang w:eastAsia="zh-CN"/>
                    </w:rPr>
                  </w:pPr>
                  <w:r>
                    <w:rPr>
                      <w:rFonts w:hint="eastAsia"/>
                      <w:color w:val="auto"/>
                      <w:szCs w:val="21"/>
                      <w:lang w:eastAsia="zh-CN"/>
                    </w:rPr>
                    <w:t>东北</w:t>
                  </w:r>
                </w:p>
              </w:tc>
              <w:tc>
                <w:tcPr>
                  <w:tcW w:w="551" w:type="pct"/>
                  <w:shd w:val="clear" w:color="auto" w:fill="auto"/>
                  <w:vAlign w:val="center"/>
                </w:tcPr>
                <w:p w14:paraId="5F65CC2A">
                  <w:pPr>
                    <w:keepNext w:val="0"/>
                    <w:keepLines w:val="0"/>
                    <w:pageBreakBefore w:val="0"/>
                    <w:widowControl w:val="0"/>
                    <w:kinsoku/>
                    <w:wordWrap/>
                    <w:overflowPunct/>
                    <w:topLinePunct w:val="0"/>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val="en-US" w:eastAsia="zh-CN"/>
                    </w:rPr>
                    <w:t>450</w:t>
                  </w:r>
                </w:p>
              </w:tc>
              <w:tc>
                <w:tcPr>
                  <w:tcW w:w="1179" w:type="pct"/>
                  <w:vMerge w:val="continue"/>
                  <w:shd w:val="clear" w:color="auto" w:fill="auto"/>
                  <w:vAlign w:val="center"/>
                </w:tcPr>
                <w:p w14:paraId="494A7668">
                  <w:pPr>
                    <w:keepNext w:val="0"/>
                    <w:keepLines w:val="0"/>
                    <w:pageBreakBefore w:val="0"/>
                    <w:widowControl w:val="0"/>
                    <w:kinsoku/>
                    <w:wordWrap/>
                    <w:overflowPunct/>
                    <w:topLinePunct w:val="0"/>
                    <w:bidi w:val="0"/>
                    <w:adjustRightInd w:val="0"/>
                    <w:snapToGrid w:val="0"/>
                    <w:ind w:firstLine="0"/>
                    <w:jc w:val="center"/>
                    <w:textAlignment w:val="auto"/>
                    <w:rPr>
                      <w:color w:val="auto"/>
                      <w:szCs w:val="21"/>
                    </w:rPr>
                  </w:pPr>
                </w:p>
              </w:tc>
            </w:tr>
            <w:tr w14:paraId="2AFA0C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1538" w:type="pct"/>
                  <w:gridSpan w:val="3"/>
                  <w:vMerge w:val="restart"/>
                  <w:shd w:val="clear" w:color="auto" w:fill="auto"/>
                  <w:vAlign w:val="center"/>
                </w:tcPr>
                <w:p w14:paraId="62BEE084">
                  <w:pPr>
                    <w:keepNext w:val="0"/>
                    <w:keepLines w:val="0"/>
                    <w:pageBreakBefore w:val="0"/>
                    <w:widowControl w:val="0"/>
                    <w:kinsoku/>
                    <w:wordWrap/>
                    <w:overflowPunct/>
                    <w:topLinePunct w:val="0"/>
                    <w:bidi w:val="0"/>
                    <w:adjustRightInd w:val="0"/>
                    <w:snapToGrid w:val="0"/>
                    <w:ind w:firstLine="0"/>
                    <w:jc w:val="center"/>
                    <w:textAlignment w:val="auto"/>
                    <w:rPr>
                      <w:color w:val="auto"/>
                      <w:szCs w:val="21"/>
                    </w:rPr>
                  </w:pPr>
                  <w:r>
                    <w:rPr>
                      <w:color w:val="auto"/>
                      <w:szCs w:val="21"/>
                    </w:rPr>
                    <w:t>地表水环境</w:t>
                  </w:r>
                </w:p>
              </w:tc>
              <w:tc>
                <w:tcPr>
                  <w:tcW w:w="826" w:type="pct"/>
                  <w:shd w:val="clear" w:color="auto" w:fill="auto"/>
                  <w:vAlign w:val="center"/>
                </w:tcPr>
                <w:p w14:paraId="55972929">
                  <w:pPr>
                    <w:keepNext w:val="0"/>
                    <w:keepLines w:val="0"/>
                    <w:pageBreakBefore w:val="0"/>
                    <w:widowControl w:val="0"/>
                    <w:kinsoku/>
                    <w:wordWrap/>
                    <w:overflowPunct/>
                    <w:topLinePunct w:val="0"/>
                    <w:bidi w:val="0"/>
                    <w:adjustRightInd w:val="0"/>
                    <w:snapToGrid w:val="0"/>
                    <w:ind w:firstLine="0"/>
                    <w:jc w:val="center"/>
                    <w:textAlignment w:val="auto"/>
                    <w:rPr>
                      <w:color w:val="auto"/>
                      <w:szCs w:val="21"/>
                    </w:rPr>
                  </w:pPr>
                  <w:r>
                    <w:rPr>
                      <w:rFonts w:hint="eastAsia"/>
                      <w:color w:val="auto"/>
                      <w:szCs w:val="21"/>
                    </w:rPr>
                    <w:t>盐河</w:t>
                  </w:r>
                </w:p>
              </w:tc>
              <w:tc>
                <w:tcPr>
                  <w:tcW w:w="482" w:type="pct"/>
                  <w:shd w:val="clear" w:color="auto" w:fill="auto"/>
                  <w:vAlign w:val="center"/>
                </w:tcPr>
                <w:p w14:paraId="5ECD7E23">
                  <w:pPr>
                    <w:keepNext w:val="0"/>
                    <w:keepLines w:val="0"/>
                    <w:pageBreakBefore w:val="0"/>
                    <w:widowControl w:val="0"/>
                    <w:kinsoku/>
                    <w:wordWrap/>
                    <w:overflowPunct/>
                    <w:topLinePunct w:val="0"/>
                    <w:bidi w:val="0"/>
                    <w:adjustRightInd w:val="0"/>
                    <w:snapToGrid w:val="0"/>
                    <w:ind w:firstLine="0"/>
                    <w:jc w:val="center"/>
                    <w:textAlignment w:val="auto"/>
                    <w:rPr>
                      <w:color w:val="auto"/>
                      <w:szCs w:val="21"/>
                    </w:rPr>
                  </w:pPr>
                  <w:r>
                    <w:rPr>
                      <w:color w:val="auto"/>
                      <w:szCs w:val="21"/>
                    </w:rPr>
                    <w:t>水体</w:t>
                  </w:r>
                </w:p>
              </w:tc>
              <w:tc>
                <w:tcPr>
                  <w:tcW w:w="421" w:type="pct"/>
                  <w:shd w:val="clear" w:color="auto" w:fill="auto"/>
                  <w:vAlign w:val="center"/>
                </w:tcPr>
                <w:p w14:paraId="52F623EC">
                  <w:pPr>
                    <w:keepNext w:val="0"/>
                    <w:keepLines w:val="0"/>
                    <w:pageBreakBefore w:val="0"/>
                    <w:widowControl w:val="0"/>
                    <w:kinsoku/>
                    <w:wordWrap/>
                    <w:overflowPunct/>
                    <w:topLinePunct w:val="0"/>
                    <w:bidi w:val="0"/>
                    <w:adjustRightInd w:val="0"/>
                    <w:snapToGrid w:val="0"/>
                    <w:ind w:firstLine="0"/>
                    <w:jc w:val="center"/>
                    <w:textAlignment w:val="auto"/>
                    <w:rPr>
                      <w:color w:val="auto"/>
                      <w:szCs w:val="21"/>
                    </w:rPr>
                  </w:pPr>
                  <w:r>
                    <w:rPr>
                      <w:rFonts w:hint="eastAsia"/>
                      <w:color w:val="auto"/>
                      <w:szCs w:val="21"/>
                    </w:rPr>
                    <w:t>南</w:t>
                  </w:r>
                </w:p>
              </w:tc>
              <w:tc>
                <w:tcPr>
                  <w:tcW w:w="551" w:type="pct"/>
                  <w:shd w:val="clear" w:color="auto" w:fill="auto"/>
                  <w:vAlign w:val="center"/>
                </w:tcPr>
                <w:p w14:paraId="654A6873">
                  <w:pPr>
                    <w:keepNext w:val="0"/>
                    <w:keepLines w:val="0"/>
                    <w:pageBreakBefore w:val="0"/>
                    <w:widowControl w:val="0"/>
                    <w:kinsoku/>
                    <w:wordWrap/>
                    <w:overflowPunct/>
                    <w:topLinePunct w:val="0"/>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val="en-US" w:eastAsia="zh-CN"/>
                    </w:rPr>
                    <w:t>660</w:t>
                  </w:r>
                </w:p>
              </w:tc>
              <w:tc>
                <w:tcPr>
                  <w:tcW w:w="1179" w:type="pct"/>
                  <w:vMerge w:val="restart"/>
                  <w:shd w:val="clear" w:color="auto" w:fill="auto"/>
                  <w:vAlign w:val="center"/>
                </w:tcPr>
                <w:p w14:paraId="08796DA1">
                  <w:pPr>
                    <w:keepNext w:val="0"/>
                    <w:keepLines w:val="0"/>
                    <w:pageBreakBefore w:val="0"/>
                    <w:widowControl w:val="0"/>
                    <w:kinsoku/>
                    <w:wordWrap/>
                    <w:overflowPunct/>
                    <w:topLinePunct w:val="0"/>
                    <w:bidi w:val="0"/>
                    <w:adjustRightInd w:val="0"/>
                    <w:snapToGrid w:val="0"/>
                    <w:ind w:firstLine="0"/>
                    <w:jc w:val="center"/>
                    <w:textAlignment w:val="auto"/>
                    <w:rPr>
                      <w:color w:val="auto"/>
                      <w:szCs w:val="21"/>
                    </w:rPr>
                  </w:pPr>
                  <w:r>
                    <w:rPr>
                      <w:color w:val="auto"/>
                      <w:szCs w:val="21"/>
                    </w:rPr>
                    <w:t>《地表水环境质量标准》（GB3838-2002）Ⅲ类标准</w:t>
                  </w:r>
                </w:p>
              </w:tc>
            </w:tr>
            <w:tr w14:paraId="5BEE46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1538" w:type="pct"/>
                  <w:gridSpan w:val="3"/>
                  <w:vMerge w:val="continue"/>
                  <w:shd w:val="clear" w:color="auto" w:fill="auto"/>
                  <w:vAlign w:val="center"/>
                </w:tcPr>
                <w:p w14:paraId="342FDB2A">
                  <w:pPr>
                    <w:keepNext w:val="0"/>
                    <w:keepLines w:val="0"/>
                    <w:pageBreakBefore w:val="0"/>
                    <w:widowControl w:val="0"/>
                    <w:kinsoku/>
                    <w:wordWrap/>
                    <w:overflowPunct/>
                    <w:topLinePunct w:val="0"/>
                    <w:bidi w:val="0"/>
                    <w:adjustRightInd w:val="0"/>
                    <w:snapToGrid w:val="0"/>
                    <w:ind w:firstLine="0"/>
                    <w:jc w:val="center"/>
                    <w:textAlignment w:val="auto"/>
                    <w:rPr>
                      <w:color w:val="auto"/>
                      <w:szCs w:val="21"/>
                    </w:rPr>
                  </w:pPr>
                </w:p>
              </w:tc>
              <w:tc>
                <w:tcPr>
                  <w:tcW w:w="826" w:type="pct"/>
                  <w:shd w:val="clear" w:color="auto" w:fill="auto"/>
                  <w:vAlign w:val="center"/>
                </w:tcPr>
                <w:p w14:paraId="49BAA5FE">
                  <w:pPr>
                    <w:keepNext w:val="0"/>
                    <w:keepLines w:val="0"/>
                    <w:pageBreakBefore w:val="0"/>
                    <w:widowControl w:val="0"/>
                    <w:kinsoku/>
                    <w:wordWrap/>
                    <w:overflowPunct/>
                    <w:topLinePunct w:val="0"/>
                    <w:bidi w:val="0"/>
                    <w:adjustRightInd w:val="0"/>
                    <w:snapToGrid w:val="0"/>
                    <w:ind w:firstLine="0"/>
                    <w:jc w:val="center"/>
                    <w:textAlignment w:val="auto"/>
                    <w:rPr>
                      <w:color w:val="auto"/>
                      <w:szCs w:val="21"/>
                    </w:rPr>
                  </w:pPr>
                  <w:r>
                    <w:rPr>
                      <w:rFonts w:hint="eastAsia"/>
                      <w:color w:val="auto"/>
                      <w:szCs w:val="21"/>
                    </w:rPr>
                    <w:t>公兴河</w:t>
                  </w:r>
                </w:p>
              </w:tc>
              <w:tc>
                <w:tcPr>
                  <w:tcW w:w="482" w:type="pct"/>
                  <w:shd w:val="clear" w:color="auto" w:fill="auto"/>
                  <w:vAlign w:val="center"/>
                </w:tcPr>
                <w:p w14:paraId="09252A7A">
                  <w:pPr>
                    <w:keepNext w:val="0"/>
                    <w:keepLines w:val="0"/>
                    <w:pageBreakBefore w:val="0"/>
                    <w:widowControl w:val="0"/>
                    <w:kinsoku/>
                    <w:wordWrap/>
                    <w:overflowPunct/>
                    <w:topLinePunct w:val="0"/>
                    <w:bidi w:val="0"/>
                    <w:adjustRightInd w:val="0"/>
                    <w:snapToGrid w:val="0"/>
                    <w:ind w:firstLine="0"/>
                    <w:jc w:val="center"/>
                    <w:textAlignment w:val="auto"/>
                    <w:rPr>
                      <w:color w:val="auto"/>
                      <w:szCs w:val="21"/>
                    </w:rPr>
                  </w:pPr>
                  <w:r>
                    <w:rPr>
                      <w:color w:val="auto"/>
                      <w:szCs w:val="21"/>
                    </w:rPr>
                    <w:t>水体</w:t>
                  </w:r>
                </w:p>
              </w:tc>
              <w:tc>
                <w:tcPr>
                  <w:tcW w:w="421" w:type="pct"/>
                  <w:shd w:val="clear" w:color="auto" w:fill="auto"/>
                  <w:vAlign w:val="center"/>
                </w:tcPr>
                <w:p w14:paraId="021073D6">
                  <w:pPr>
                    <w:keepNext w:val="0"/>
                    <w:keepLines w:val="0"/>
                    <w:pageBreakBefore w:val="0"/>
                    <w:widowControl w:val="0"/>
                    <w:kinsoku/>
                    <w:wordWrap/>
                    <w:overflowPunct/>
                    <w:topLinePunct w:val="0"/>
                    <w:bidi w:val="0"/>
                    <w:adjustRightInd w:val="0"/>
                    <w:snapToGrid w:val="0"/>
                    <w:ind w:firstLine="0"/>
                    <w:jc w:val="center"/>
                    <w:textAlignment w:val="auto"/>
                    <w:rPr>
                      <w:color w:val="auto"/>
                      <w:szCs w:val="21"/>
                    </w:rPr>
                  </w:pPr>
                  <w:r>
                    <w:rPr>
                      <w:rFonts w:hint="eastAsia"/>
                      <w:color w:val="auto"/>
                      <w:szCs w:val="21"/>
                    </w:rPr>
                    <w:t>北</w:t>
                  </w:r>
                </w:p>
              </w:tc>
              <w:tc>
                <w:tcPr>
                  <w:tcW w:w="551" w:type="pct"/>
                  <w:shd w:val="clear" w:color="auto" w:fill="auto"/>
                  <w:vAlign w:val="center"/>
                </w:tcPr>
                <w:p w14:paraId="769AFC61">
                  <w:pPr>
                    <w:keepNext w:val="0"/>
                    <w:keepLines w:val="0"/>
                    <w:pageBreakBefore w:val="0"/>
                    <w:widowControl w:val="0"/>
                    <w:kinsoku/>
                    <w:wordWrap/>
                    <w:overflowPunct/>
                    <w:topLinePunct w:val="0"/>
                    <w:bidi w:val="0"/>
                    <w:adjustRightInd w:val="0"/>
                    <w:snapToGrid w:val="0"/>
                    <w:ind w:firstLine="0"/>
                    <w:jc w:val="center"/>
                    <w:textAlignment w:val="auto"/>
                    <w:rPr>
                      <w:rFonts w:hint="default" w:eastAsia="宋体"/>
                      <w:color w:val="auto"/>
                      <w:szCs w:val="21"/>
                      <w:lang w:val="en-US" w:eastAsia="zh-CN"/>
                    </w:rPr>
                  </w:pPr>
                  <w:r>
                    <w:rPr>
                      <w:rFonts w:hint="eastAsia"/>
                      <w:color w:val="auto"/>
                      <w:szCs w:val="21"/>
                    </w:rPr>
                    <w:t>2</w:t>
                  </w:r>
                  <w:r>
                    <w:rPr>
                      <w:rFonts w:hint="eastAsia"/>
                      <w:color w:val="auto"/>
                      <w:szCs w:val="21"/>
                      <w:lang w:val="en-US" w:eastAsia="zh-CN"/>
                    </w:rPr>
                    <w:t>050</w:t>
                  </w:r>
                </w:p>
              </w:tc>
              <w:tc>
                <w:tcPr>
                  <w:tcW w:w="1179" w:type="pct"/>
                  <w:vMerge w:val="continue"/>
                  <w:shd w:val="clear" w:color="auto" w:fill="auto"/>
                  <w:vAlign w:val="center"/>
                </w:tcPr>
                <w:p w14:paraId="19B377BC">
                  <w:pPr>
                    <w:keepNext w:val="0"/>
                    <w:keepLines w:val="0"/>
                    <w:pageBreakBefore w:val="0"/>
                    <w:widowControl w:val="0"/>
                    <w:kinsoku/>
                    <w:wordWrap/>
                    <w:overflowPunct/>
                    <w:topLinePunct w:val="0"/>
                    <w:bidi w:val="0"/>
                    <w:adjustRightInd w:val="0"/>
                    <w:snapToGrid w:val="0"/>
                    <w:ind w:firstLine="0"/>
                    <w:jc w:val="center"/>
                    <w:textAlignment w:val="auto"/>
                    <w:rPr>
                      <w:color w:val="auto"/>
                      <w:szCs w:val="21"/>
                    </w:rPr>
                  </w:pPr>
                </w:p>
              </w:tc>
            </w:tr>
            <w:tr w14:paraId="6EA100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1538" w:type="pct"/>
                  <w:gridSpan w:val="3"/>
                  <w:shd w:val="clear" w:color="auto" w:fill="auto"/>
                  <w:vAlign w:val="center"/>
                </w:tcPr>
                <w:p w14:paraId="1EE05C8F">
                  <w:pPr>
                    <w:keepNext w:val="0"/>
                    <w:keepLines w:val="0"/>
                    <w:pageBreakBefore w:val="0"/>
                    <w:widowControl w:val="0"/>
                    <w:kinsoku/>
                    <w:wordWrap/>
                    <w:overflowPunct/>
                    <w:topLinePunct w:val="0"/>
                    <w:bidi w:val="0"/>
                    <w:adjustRightInd w:val="0"/>
                    <w:snapToGrid w:val="0"/>
                    <w:ind w:firstLine="0"/>
                    <w:jc w:val="center"/>
                    <w:textAlignment w:val="auto"/>
                    <w:rPr>
                      <w:color w:val="auto"/>
                      <w:szCs w:val="21"/>
                    </w:rPr>
                  </w:pPr>
                  <w:r>
                    <w:rPr>
                      <w:color w:val="auto"/>
                      <w:szCs w:val="21"/>
                    </w:rPr>
                    <w:t>声环境</w:t>
                  </w:r>
                </w:p>
              </w:tc>
              <w:tc>
                <w:tcPr>
                  <w:tcW w:w="3461" w:type="pct"/>
                  <w:gridSpan w:val="5"/>
                  <w:shd w:val="clear" w:color="auto" w:fill="auto"/>
                  <w:vAlign w:val="center"/>
                </w:tcPr>
                <w:p w14:paraId="4C6FB434">
                  <w:pPr>
                    <w:keepNext w:val="0"/>
                    <w:keepLines w:val="0"/>
                    <w:pageBreakBefore w:val="0"/>
                    <w:widowControl w:val="0"/>
                    <w:kinsoku/>
                    <w:wordWrap/>
                    <w:overflowPunct/>
                    <w:topLinePunct w:val="0"/>
                    <w:bidi w:val="0"/>
                    <w:adjustRightInd w:val="0"/>
                    <w:snapToGrid w:val="0"/>
                    <w:ind w:firstLine="0"/>
                    <w:jc w:val="center"/>
                    <w:textAlignment w:val="auto"/>
                    <w:rPr>
                      <w:color w:val="auto"/>
                      <w:szCs w:val="21"/>
                    </w:rPr>
                  </w:pPr>
                  <w:r>
                    <w:rPr>
                      <w:rFonts w:hint="eastAsia"/>
                      <w:color w:val="auto"/>
                      <w:lang w:bidi="ar"/>
                    </w:rPr>
                    <w:t>项目厂界外</w:t>
                  </w:r>
                  <w:r>
                    <w:rPr>
                      <w:color w:val="auto"/>
                      <w:lang w:bidi="ar"/>
                    </w:rPr>
                    <w:t>50</w:t>
                  </w:r>
                  <w:r>
                    <w:rPr>
                      <w:rFonts w:hint="eastAsia"/>
                      <w:color w:val="auto"/>
                      <w:lang w:bidi="ar"/>
                    </w:rPr>
                    <w:t>米范围内的无声环境敏感目标</w:t>
                  </w:r>
                </w:p>
              </w:tc>
            </w:tr>
            <w:tr w14:paraId="698F2A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1538" w:type="pct"/>
                  <w:gridSpan w:val="3"/>
                  <w:shd w:val="clear" w:color="auto" w:fill="auto"/>
                  <w:vAlign w:val="center"/>
                </w:tcPr>
                <w:p w14:paraId="4E1811EE">
                  <w:pPr>
                    <w:keepNext w:val="0"/>
                    <w:keepLines w:val="0"/>
                    <w:pageBreakBefore w:val="0"/>
                    <w:widowControl w:val="0"/>
                    <w:kinsoku/>
                    <w:wordWrap/>
                    <w:overflowPunct/>
                    <w:topLinePunct w:val="0"/>
                    <w:bidi w:val="0"/>
                    <w:adjustRightInd w:val="0"/>
                    <w:snapToGrid w:val="0"/>
                    <w:ind w:firstLine="0"/>
                    <w:jc w:val="center"/>
                    <w:textAlignment w:val="auto"/>
                    <w:rPr>
                      <w:color w:val="auto"/>
                      <w:szCs w:val="21"/>
                    </w:rPr>
                  </w:pPr>
                  <w:r>
                    <w:rPr>
                      <w:color w:val="auto"/>
                      <w:szCs w:val="21"/>
                    </w:rPr>
                    <w:t>地下水环境</w:t>
                  </w:r>
                </w:p>
              </w:tc>
              <w:tc>
                <w:tcPr>
                  <w:tcW w:w="3461" w:type="pct"/>
                  <w:gridSpan w:val="5"/>
                  <w:shd w:val="clear" w:color="auto" w:fill="auto"/>
                  <w:vAlign w:val="center"/>
                </w:tcPr>
                <w:p w14:paraId="29D3B3B6">
                  <w:pPr>
                    <w:keepNext w:val="0"/>
                    <w:keepLines w:val="0"/>
                    <w:pageBreakBefore w:val="0"/>
                    <w:widowControl w:val="0"/>
                    <w:kinsoku/>
                    <w:wordWrap/>
                    <w:overflowPunct/>
                    <w:topLinePunct w:val="0"/>
                    <w:bidi w:val="0"/>
                    <w:adjustRightInd w:val="0"/>
                    <w:snapToGrid w:val="0"/>
                    <w:ind w:firstLine="0"/>
                    <w:jc w:val="center"/>
                    <w:textAlignment w:val="auto"/>
                    <w:rPr>
                      <w:color w:val="auto"/>
                      <w:szCs w:val="21"/>
                    </w:rPr>
                  </w:pPr>
                  <w:r>
                    <w:rPr>
                      <w:rFonts w:hint="eastAsia"/>
                      <w:color w:val="auto"/>
                      <w:szCs w:val="21"/>
                    </w:rPr>
                    <w:t>厂界外500米范围内无地下水集中式饮用水水源和热水、矿泉水、温泉等特殊地下水资源</w:t>
                  </w:r>
                </w:p>
              </w:tc>
            </w:tr>
            <w:tr w14:paraId="7FDBF9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1538" w:type="pct"/>
                  <w:gridSpan w:val="3"/>
                  <w:shd w:val="clear" w:color="auto" w:fill="auto"/>
                  <w:vAlign w:val="center"/>
                </w:tcPr>
                <w:p w14:paraId="19793F80">
                  <w:pPr>
                    <w:keepNext w:val="0"/>
                    <w:keepLines w:val="0"/>
                    <w:pageBreakBefore w:val="0"/>
                    <w:widowControl w:val="0"/>
                    <w:kinsoku/>
                    <w:wordWrap/>
                    <w:overflowPunct/>
                    <w:topLinePunct w:val="0"/>
                    <w:bidi w:val="0"/>
                    <w:adjustRightInd w:val="0"/>
                    <w:snapToGrid w:val="0"/>
                    <w:ind w:firstLine="0"/>
                    <w:jc w:val="center"/>
                    <w:textAlignment w:val="auto"/>
                    <w:rPr>
                      <w:color w:val="auto"/>
                      <w:szCs w:val="21"/>
                    </w:rPr>
                  </w:pPr>
                  <w:r>
                    <w:rPr>
                      <w:color w:val="auto"/>
                      <w:szCs w:val="21"/>
                    </w:rPr>
                    <w:t>生态环境</w:t>
                  </w:r>
                </w:p>
              </w:tc>
              <w:tc>
                <w:tcPr>
                  <w:tcW w:w="3461" w:type="pct"/>
                  <w:gridSpan w:val="5"/>
                  <w:shd w:val="clear" w:color="auto" w:fill="auto"/>
                  <w:vAlign w:val="center"/>
                </w:tcPr>
                <w:p w14:paraId="35B6B70F">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color w:val="auto"/>
                      <w:szCs w:val="21"/>
                    </w:rPr>
                  </w:pPr>
                  <w:r>
                    <w:rPr>
                      <w:rFonts w:hint="eastAsia"/>
                      <w:color w:val="auto"/>
                      <w:szCs w:val="21"/>
                    </w:rPr>
                    <w:t>项目周边无生态环境保护目标</w:t>
                  </w:r>
                </w:p>
              </w:tc>
            </w:tr>
          </w:tbl>
          <w:p w14:paraId="68841F92">
            <w:pPr>
              <w:adjustRightInd w:val="0"/>
              <w:snapToGrid w:val="0"/>
              <w:rPr>
                <w:color w:val="auto"/>
                <w:kern w:val="0"/>
                <w:sz w:val="24"/>
              </w:rPr>
            </w:pPr>
          </w:p>
        </w:tc>
      </w:tr>
      <w:tr w14:paraId="6D055F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16" w:type="dxa"/>
            <w:tcMar>
              <w:left w:w="28" w:type="dxa"/>
              <w:right w:w="28" w:type="dxa"/>
            </w:tcMar>
            <w:vAlign w:val="center"/>
          </w:tcPr>
          <w:p w14:paraId="31B1DCCF">
            <w:pPr>
              <w:adjustRightInd w:val="0"/>
              <w:snapToGrid w:val="0"/>
              <w:jc w:val="center"/>
              <w:rPr>
                <w:color w:val="auto"/>
                <w:kern w:val="0"/>
                <w:sz w:val="24"/>
              </w:rPr>
            </w:pPr>
            <w:r>
              <w:rPr>
                <w:color w:val="auto"/>
                <w:kern w:val="0"/>
                <w:sz w:val="24"/>
              </w:rPr>
              <w:t>污染</w:t>
            </w:r>
          </w:p>
          <w:p w14:paraId="7B9775DE">
            <w:pPr>
              <w:adjustRightInd w:val="0"/>
              <w:snapToGrid w:val="0"/>
              <w:jc w:val="center"/>
              <w:rPr>
                <w:color w:val="auto"/>
                <w:kern w:val="0"/>
                <w:sz w:val="24"/>
              </w:rPr>
            </w:pPr>
            <w:r>
              <w:rPr>
                <w:color w:val="auto"/>
                <w:kern w:val="0"/>
                <w:sz w:val="24"/>
              </w:rPr>
              <w:t>物排</w:t>
            </w:r>
          </w:p>
          <w:p w14:paraId="6127D084">
            <w:pPr>
              <w:adjustRightInd w:val="0"/>
              <w:snapToGrid w:val="0"/>
              <w:jc w:val="center"/>
              <w:rPr>
                <w:color w:val="auto"/>
                <w:kern w:val="0"/>
                <w:sz w:val="24"/>
              </w:rPr>
            </w:pPr>
            <w:r>
              <w:rPr>
                <w:color w:val="auto"/>
                <w:kern w:val="0"/>
                <w:sz w:val="24"/>
              </w:rPr>
              <w:t>放控</w:t>
            </w:r>
          </w:p>
          <w:p w14:paraId="189AF43C">
            <w:pPr>
              <w:adjustRightInd w:val="0"/>
              <w:snapToGrid w:val="0"/>
              <w:jc w:val="center"/>
              <w:rPr>
                <w:color w:val="auto"/>
                <w:kern w:val="0"/>
                <w:sz w:val="24"/>
              </w:rPr>
            </w:pPr>
            <w:r>
              <w:rPr>
                <w:color w:val="auto"/>
                <w:kern w:val="0"/>
                <w:sz w:val="24"/>
              </w:rPr>
              <w:t>制标</w:t>
            </w:r>
          </w:p>
          <w:p w14:paraId="2413F3C9">
            <w:pPr>
              <w:adjustRightInd w:val="0"/>
              <w:snapToGrid w:val="0"/>
              <w:jc w:val="center"/>
              <w:rPr>
                <w:color w:val="auto"/>
                <w:kern w:val="0"/>
                <w:sz w:val="24"/>
              </w:rPr>
            </w:pPr>
            <w:r>
              <w:rPr>
                <w:color w:val="auto"/>
                <w:kern w:val="0"/>
                <w:sz w:val="24"/>
              </w:rPr>
              <w:t>准</w:t>
            </w:r>
          </w:p>
        </w:tc>
        <w:tc>
          <w:tcPr>
            <w:tcW w:w="8408" w:type="dxa"/>
            <w:vAlign w:val="center"/>
          </w:tcPr>
          <w:p w14:paraId="18D3BD12">
            <w:pPr>
              <w:adjustRightInd w:val="0"/>
              <w:snapToGrid w:val="0"/>
              <w:spacing w:line="360" w:lineRule="auto"/>
              <w:ind w:firstLine="482" w:firstLineChars="200"/>
              <w:rPr>
                <w:b/>
                <w:color w:val="auto"/>
                <w:sz w:val="24"/>
              </w:rPr>
            </w:pPr>
            <w:r>
              <w:rPr>
                <w:b/>
                <w:color w:val="auto"/>
                <w:sz w:val="24"/>
              </w:rPr>
              <w:t>1、大气污染排放标准</w:t>
            </w:r>
          </w:p>
          <w:p w14:paraId="09D0367E">
            <w:pPr>
              <w:widowControl/>
              <w:adjustRightInd w:val="0"/>
              <w:snapToGrid w:val="0"/>
              <w:spacing w:line="360" w:lineRule="auto"/>
              <w:ind w:firstLine="480" w:firstLineChars="200"/>
              <w:rPr>
                <w:b/>
                <w:bCs/>
                <w:color w:val="auto"/>
                <w:kern w:val="0"/>
                <w:sz w:val="24"/>
                <w:szCs w:val="20"/>
              </w:rPr>
            </w:pPr>
            <w:bookmarkStart w:id="13" w:name="OLE_LINK31"/>
            <w:bookmarkStart w:id="14" w:name="_Ref185577499"/>
            <w:bookmarkStart w:id="15" w:name="_Ref185522486"/>
            <w:r>
              <w:rPr>
                <w:rFonts w:hint="eastAsia"/>
                <w:color w:val="auto"/>
                <w:kern w:val="0"/>
                <w:sz w:val="24"/>
                <w:szCs w:val="20"/>
              </w:rPr>
              <w:t>本项目配件下料工序产生的颗粒物有组织排放执行《大气污染物综合排放标准》（DB32/4041-2021）表1排放限值；浸漆</w:t>
            </w:r>
            <w:r>
              <w:rPr>
                <w:rFonts w:hint="eastAsia"/>
                <w:color w:val="auto"/>
                <w:kern w:val="0"/>
                <w:sz w:val="24"/>
                <w:szCs w:val="20"/>
                <w:lang w:eastAsia="zh-CN"/>
              </w:rPr>
              <w:t>、</w:t>
            </w:r>
            <w:r>
              <w:rPr>
                <w:rFonts w:hint="eastAsia"/>
                <w:color w:val="auto"/>
                <w:kern w:val="0"/>
                <w:sz w:val="24"/>
                <w:szCs w:val="20"/>
              </w:rPr>
              <w:t>烘干</w:t>
            </w:r>
            <w:r>
              <w:rPr>
                <w:rFonts w:hint="eastAsia"/>
                <w:color w:val="auto"/>
                <w:kern w:val="0"/>
                <w:sz w:val="24"/>
                <w:szCs w:val="20"/>
                <w:lang w:eastAsia="zh-CN"/>
              </w:rPr>
              <w:t>、擦拭</w:t>
            </w:r>
            <w:r>
              <w:rPr>
                <w:rFonts w:hint="eastAsia"/>
                <w:color w:val="auto"/>
                <w:kern w:val="0"/>
                <w:sz w:val="24"/>
                <w:szCs w:val="20"/>
              </w:rPr>
              <w:t>工序产生的NMHC，喷漆烘干工序产生的NMHC、颗粒物有组织排放执行</w:t>
            </w:r>
            <w:bookmarkStart w:id="16" w:name="OLE_LINK30"/>
            <w:bookmarkStart w:id="17" w:name="OLE_LINK23"/>
            <w:r>
              <w:rPr>
                <w:rFonts w:hint="eastAsia"/>
                <w:color w:val="auto"/>
                <w:kern w:val="0"/>
                <w:sz w:val="24"/>
                <w:szCs w:val="20"/>
              </w:rPr>
              <w:t>《</w:t>
            </w:r>
            <w:bookmarkStart w:id="18" w:name="OLE_LINK22"/>
            <w:r>
              <w:rPr>
                <w:rFonts w:hint="eastAsia"/>
                <w:color w:val="auto"/>
                <w:kern w:val="0"/>
                <w:sz w:val="24"/>
                <w:szCs w:val="20"/>
              </w:rPr>
              <w:t>工业涂装工序大气污染物排放标准</w:t>
            </w:r>
            <w:bookmarkEnd w:id="18"/>
            <w:r>
              <w:rPr>
                <w:rFonts w:hint="eastAsia"/>
                <w:color w:val="auto"/>
                <w:kern w:val="0"/>
                <w:sz w:val="24"/>
                <w:szCs w:val="20"/>
              </w:rPr>
              <w:t>》（DB32/4439-2022）</w:t>
            </w:r>
            <w:bookmarkEnd w:id="16"/>
            <w:bookmarkEnd w:id="17"/>
            <w:r>
              <w:rPr>
                <w:rFonts w:hint="eastAsia"/>
                <w:color w:val="auto"/>
                <w:kern w:val="0"/>
                <w:sz w:val="24"/>
                <w:szCs w:val="20"/>
              </w:rPr>
              <w:t>表1排放限值；厂界NMHC、颗粒物无组织</w:t>
            </w:r>
            <w:r>
              <w:rPr>
                <w:rFonts w:hint="eastAsia"/>
                <w:color w:val="auto"/>
                <w:kern w:val="0"/>
                <w:sz w:val="24"/>
                <w:szCs w:val="20"/>
                <w:lang w:eastAsia="zh-CN"/>
              </w:rPr>
              <w:t>排放</w:t>
            </w:r>
            <w:r>
              <w:rPr>
                <w:rFonts w:hint="eastAsia"/>
                <w:color w:val="auto"/>
                <w:kern w:val="0"/>
                <w:sz w:val="24"/>
                <w:szCs w:val="20"/>
              </w:rPr>
              <w:t>执行《大气污染物综合排放标准》（DB32/4041-2021）表3排放限值，厂区内NMHC</w:t>
            </w:r>
            <w:r>
              <w:rPr>
                <w:rFonts w:hint="eastAsia"/>
                <w:color w:val="auto"/>
                <w:kern w:val="0"/>
                <w:sz w:val="24"/>
                <w:szCs w:val="20"/>
                <w:lang w:eastAsia="zh-CN"/>
              </w:rPr>
              <w:t>无组织</w:t>
            </w:r>
            <w:r>
              <w:rPr>
                <w:rFonts w:hint="eastAsia"/>
                <w:color w:val="auto"/>
                <w:kern w:val="0"/>
                <w:sz w:val="24"/>
                <w:szCs w:val="20"/>
              </w:rPr>
              <w:t>排放执行</w:t>
            </w:r>
            <w:r>
              <w:rPr>
                <w:color w:val="auto"/>
                <w:kern w:val="0"/>
                <w:sz w:val="24"/>
                <w:szCs w:val="20"/>
              </w:rPr>
              <w:t>《</w:t>
            </w:r>
            <w:r>
              <w:rPr>
                <w:rFonts w:hint="eastAsia"/>
                <w:color w:val="auto"/>
                <w:kern w:val="0"/>
                <w:sz w:val="24"/>
                <w:szCs w:val="20"/>
              </w:rPr>
              <w:t>工业涂装工序大气污染物</w:t>
            </w:r>
            <w:r>
              <w:rPr>
                <w:color w:val="auto"/>
                <w:kern w:val="0"/>
                <w:sz w:val="24"/>
                <w:szCs w:val="20"/>
              </w:rPr>
              <w:t>排放标准》（</w:t>
            </w:r>
            <w:r>
              <w:rPr>
                <w:rFonts w:hint="eastAsia"/>
                <w:color w:val="auto"/>
                <w:kern w:val="0"/>
                <w:sz w:val="24"/>
                <w:szCs w:val="20"/>
              </w:rPr>
              <w:t>D</w:t>
            </w:r>
            <w:r>
              <w:rPr>
                <w:color w:val="auto"/>
                <w:kern w:val="0"/>
                <w:sz w:val="24"/>
                <w:szCs w:val="20"/>
              </w:rPr>
              <w:t>B</w:t>
            </w:r>
            <w:r>
              <w:rPr>
                <w:rFonts w:hint="eastAsia"/>
                <w:color w:val="auto"/>
                <w:kern w:val="0"/>
                <w:sz w:val="24"/>
                <w:szCs w:val="20"/>
              </w:rPr>
              <w:t>32/4439-2022</w:t>
            </w:r>
            <w:r>
              <w:rPr>
                <w:color w:val="auto"/>
                <w:kern w:val="0"/>
                <w:sz w:val="24"/>
                <w:szCs w:val="20"/>
              </w:rPr>
              <w:t>）</w:t>
            </w:r>
            <w:r>
              <w:rPr>
                <w:rFonts w:hint="eastAsia"/>
                <w:color w:val="auto"/>
                <w:kern w:val="0"/>
                <w:sz w:val="24"/>
                <w:szCs w:val="20"/>
              </w:rPr>
              <w:t>表3排放限值，</w:t>
            </w:r>
            <w:bookmarkEnd w:id="13"/>
            <w:r>
              <w:rPr>
                <w:color w:val="auto"/>
                <w:kern w:val="0"/>
                <w:sz w:val="24"/>
                <w:szCs w:val="20"/>
              </w:rPr>
              <w:t>详见表3</w:t>
            </w:r>
            <w:r>
              <w:rPr>
                <w:rFonts w:hint="eastAsia"/>
                <w:color w:val="auto"/>
                <w:kern w:val="0"/>
                <w:sz w:val="24"/>
                <w:szCs w:val="20"/>
              </w:rPr>
              <w:t>-2、3-3、3-4</w:t>
            </w:r>
            <w:r>
              <w:rPr>
                <w:color w:val="auto"/>
                <w:kern w:val="0"/>
                <w:sz w:val="24"/>
                <w:szCs w:val="20"/>
              </w:rPr>
              <w:t>。</w:t>
            </w:r>
          </w:p>
          <w:bookmarkEnd w:id="14"/>
          <w:bookmarkEnd w:id="15"/>
          <w:p w14:paraId="1F9D4323">
            <w:pPr>
              <w:tabs>
                <w:tab w:val="left" w:pos="1800"/>
              </w:tabs>
              <w:adjustRightInd w:val="0"/>
              <w:snapToGrid w:val="0"/>
              <w:ind w:firstLine="482"/>
              <w:jc w:val="center"/>
              <w:rPr>
                <w:b/>
                <w:color w:val="auto"/>
                <w:sz w:val="24"/>
              </w:rPr>
            </w:pPr>
            <w:bookmarkStart w:id="19" w:name="OLE_LINK25"/>
            <w:r>
              <w:rPr>
                <w:b/>
                <w:color w:val="auto"/>
                <w:sz w:val="24"/>
              </w:rPr>
              <w:t>表3-</w:t>
            </w:r>
            <w:r>
              <w:rPr>
                <w:rFonts w:hint="eastAsia"/>
                <w:b/>
                <w:color w:val="auto"/>
                <w:sz w:val="24"/>
              </w:rPr>
              <w:t>2</w:t>
            </w:r>
            <w:r>
              <w:rPr>
                <w:b/>
                <w:color w:val="auto"/>
                <w:sz w:val="24"/>
              </w:rPr>
              <w:t xml:space="preserve"> </w:t>
            </w:r>
            <w:r>
              <w:rPr>
                <w:rFonts w:hint="eastAsia"/>
                <w:b/>
                <w:color w:val="auto"/>
                <w:sz w:val="24"/>
              </w:rPr>
              <w:t>有组织废气污染物</w:t>
            </w:r>
            <w:r>
              <w:rPr>
                <w:b/>
                <w:color w:val="auto"/>
                <w:sz w:val="24"/>
              </w:rPr>
              <w:t>排放标准</w:t>
            </w:r>
          </w:p>
          <w:bookmarkEnd w:id="19"/>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7" w:type="dxa"/>
                <w:bottom w:w="0" w:type="dxa"/>
                <w:right w:w="17" w:type="dxa"/>
              </w:tblCellMar>
            </w:tblPr>
            <w:tblGrid>
              <w:gridCol w:w="1481"/>
              <w:gridCol w:w="1170"/>
              <w:gridCol w:w="1463"/>
              <w:gridCol w:w="1514"/>
              <w:gridCol w:w="2789"/>
            </w:tblGrid>
            <w:tr w14:paraId="37B3A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520" w:hRule="atLeast"/>
                <w:jc w:val="center"/>
              </w:trPr>
              <w:tc>
                <w:tcPr>
                  <w:tcW w:w="1481" w:type="dxa"/>
                  <w:tcBorders>
                    <w:tl2br w:val="nil"/>
                    <w:tr2bl w:val="nil"/>
                  </w:tcBorders>
                  <w:vAlign w:val="center"/>
                </w:tcPr>
                <w:p w14:paraId="368A052C">
                  <w:pPr>
                    <w:keepNext w:val="0"/>
                    <w:keepLines w:val="0"/>
                    <w:pageBreakBefore w:val="0"/>
                    <w:widowControl/>
                    <w:kinsoku/>
                    <w:wordWrap/>
                    <w:overflowPunct/>
                    <w:topLinePunct w:val="0"/>
                    <w:autoSpaceDE/>
                    <w:autoSpaceDN/>
                    <w:bidi w:val="0"/>
                    <w:adjustRightInd w:val="0"/>
                    <w:snapToGrid w:val="0"/>
                    <w:ind w:firstLine="0"/>
                    <w:jc w:val="center"/>
                    <w:textAlignment w:val="auto"/>
                    <w:rPr>
                      <w:b/>
                      <w:color w:val="auto"/>
                      <w:kern w:val="0"/>
                      <w:szCs w:val="21"/>
                    </w:rPr>
                  </w:pPr>
                  <w:bookmarkStart w:id="20" w:name="OLE_LINK24"/>
                  <w:r>
                    <w:rPr>
                      <w:b/>
                      <w:color w:val="auto"/>
                      <w:kern w:val="0"/>
                      <w:szCs w:val="21"/>
                    </w:rPr>
                    <w:t>工序</w:t>
                  </w:r>
                </w:p>
              </w:tc>
              <w:tc>
                <w:tcPr>
                  <w:tcW w:w="1170" w:type="dxa"/>
                  <w:tcBorders>
                    <w:tl2br w:val="nil"/>
                    <w:tr2bl w:val="nil"/>
                  </w:tcBorders>
                  <w:vAlign w:val="center"/>
                </w:tcPr>
                <w:p w14:paraId="34041C3F">
                  <w:pPr>
                    <w:keepNext w:val="0"/>
                    <w:keepLines w:val="0"/>
                    <w:pageBreakBefore w:val="0"/>
                    <w:widowControl/>
                    <w:kinsoku/>
                    <w:wordWrap/>
                    <w:overflowPunct/>
                    <w:topLinePunct w:val="0"/>
                    <w:autoSpaceDE/>
                    <w:autoSpaceDN/>
                    <w:bidi w:val="0"/>
                    <w:adjustRightInd w:val="0"/>
                    <w:snapToGrid w:val="0"/>
                    <w:ind w:firstLine="0"/>
                    <w:jc w:val="center"/>
                    <w:textAlignment w:val="auto"/>
                    <w:rPr>
                      <w:b/>
                      <w:color w:val="auto"/>
                      <w:kern w:val="0"/>
                      <w:szCs w:val="21"/>
                    </w:rPr>
                  </w:pPr>
                  <w:r>
                    <w:rPr>
                      <w:b/>
                      <w:color w:val="auto"/>
                      <w:kern w:val="0"/>
                      <w:szCs w:val="21"/>
                    </w:rPr>
                    <w:t>污染物</w:t>
                  </w:r>
                </w:p>
                <w:p w14:paraId="05123392">
                  <w:pPr>
                    <w:keepNext w:val="0"/>
                    <w:keepLines w:val="0"/>
                    <w:pageBreakBefore w:val="0"/>
                    <w:widowControl/>
                    <w:kinsoku/>
                    <w:wordWrap/>
                    <w:overflowPunct/>
                    <w:topLinePunct w:val="0"/>
                    <w:autoSpaceDE/>
                    <w:autoSpaceDN/>
                    <w:bidi w:val="0"/>
                    <w:adjustRightInd w:val="0"/>
                    <w:snapToGrid w:val="0"/>
                    <w:ind w:firstLine="0"/>
                    <w:jc w:val="center"/>
                    <w:textAlignment w:val="auto"/>
                    <w:rPr>
                      <w:b/>
                      <w:color w:val="auto"/>
                      <w:kern w:val="0"/>
                      <w:szCs w:val="21"/>
                    </w:rPr>
                  </w:pPr>
                  <w:r>
                    <w:rPr>
                      <w:b/>
                      <w:color w:val="auto"/>
                      <w:kern w:val="0"/>
                      <w:szCs w:val="21"/>
                    </w:rPr>
                    <w:t>名称</w:t>
                  </w:r>
                </w:p>
              </w:tc>
              <w:tc>
                <w:tcPr>
                  <w:tcW w:w="1463" w:type="dxa"/>
                  <w:tcBorders>
                    <w:tl2br w:val="nil"/>
                    <w:tr2bl w:val="nil"/>
                  </w:tcBorders>
                  <w:vAlign w:val="center"/>
                </w:tcPr>
                <w:p w14:paraId="349A966E">
                  <w:pPr>
                    <w:keepNext w:val="0"/>
                    <w:keepLines w:val="0"/>
                    <w:pageBreakBefore w:val="0"/>
                    <w:widowControl/>
                    <w:kinsoku/>
                    <w:wordWrap/>
                    <w:overflowPunct/>
                    <w:topLinePunct w:val="0"/>
                    <w:autoSpaceDE/>
                    <w:autoSpaceDN/>
                    <w:bidi w:val="0"/>
                    <w:adjustRightInd w:val="0"/>
                    <w:snapToGrid w:val="0"/>
                    <w:ind w:firstLine="0"/>
                    <w:jc w:val="center"/>
                    <w:textAlignment w:val="auto"/>
                    <w:rPr>
                      <w:b/>
                      <w:color w:val="auto"/>
                      <w:kern w:val="0"/>
                      <w:szCs w:val="21"/>
                    </w:rPr>
                  </w:pPr>
                  <w:r>
                    <w:rPr>
                      <w:b/>
                      <w:color w:val="auto"/>
                      <w:kern w:val="0"/>
                      <w:szCs w:val="21"/>
                    </w:rPr>
                    <w:t>最高允许排放浓度（</w:t>
                  </w:r>
                  <w:r>
                    <w:rPr>
                      <w:b/>
                      <w:bCs/>
                      <w:color w:val="auto"/>
                      <w:kern w:val="0"/>
                      <w:szCs w:val="21"/>
                    </w:rPr>
                    <w:t>mg/m</w:t>
                  </w:r>
                  <w:r>
                    <w:rPr>
                      <w:b/>
                      <w:bCs/>
                      <w:color w:val="auto"/>
                      <w:kern w:val="0"/>
                      <w:szCs w:val="21"/>
                      <w:vertAlign w:val="superscript"/>
                    </w:rPr>
                    <w:t>3</w:t>
                  </w:r>
                  <w:r>
                    <w:rPr>
                      <w:b/>
                      <w:color w:val="auto"/>
                      <w:kern w:val="0"/>
                      <w:szCs w:val="21"/>
                    </w:rPr>
                    <w:t>）</w:t>
                  </w:r>
                </w:p>
              </w:tc>
              <w:tc>
                <w:tcPr>
                  <w:tcW w:w="1514" w:type="dxa"/>
                  <w:tcBorders>
                    <w:tl2br w:val="nil"/>
                    <w:tr2bl w:val="nil"/>
                  </w:tcBorders>
                  <w:vAlign w:val="center"/>
                </w:tcPr>
                <w:p w14:paraId="7DEDC20D">
                  <w:pPr>
                    <w:keepNext w:val="0"/>
                    <w:keepLines w:val="0"/>
                    <w:pageBreakBefore w:val="0"/>
                    <w:widowControl/>
                    <w:kinsoku/>
                    <w:wordWrap/>
                    <w:overflowPunct/>
                    <w:topLinePunct w:val="0"/>
                    <w:autoSpaceDE/>
                    <w:autoSpaceDN/>
                    <w:bidi w:val="0"/>
                    <w:adjustRightInd w:val="0"/>
                    <w:snapToGrid w:val="0"/>
                    <w:ind w:firstLine="0"/>
                    <w:jc w:val="center"/>
                    <w:textAlignment w:val="auto"/>
                    <w:rPr>
                      <w:b/>
                      <w:color w:val="auto"/>
                      <w:kern w:val="0"/>
                      <w:szCs w:val="21"/>
                    </w:rPr>
                  </w:pPr>
                  <w:r>
                    <w:rPr>
                      <w:b/>
                      <w:color w:val="auto"/>
                      <w:kern w:val="0"/>
                      <w:szCs w:val="21"/>
                    </w:rPr>
                    <w:t>最高允许排放速率（kg/h）</w:t>
                  </w:r>
                </w:p>
              </w:tc>
              <w:tc>
                <w:tcPr>
                  <w:tcW w:w="2789" w:type="dxa"/>
                  <w:tcBorders>
                    <w:tl2br w:val="nil"/>
                    <w:tr2bl w:val="nil"/>
                  </w:tcBorders>
                  <w:vAlign w:val="center"/>
                </w:tcPr>
                <w:p w14:paraId="63FE2574">
                  <w:pPr>
                    <w:keepNext w:val="0"/>
                    <w:keepLines w:val="0"/>
                    <w:pageBreakBefore w:val="0"/>
                    <w:widowControl/>
                    <w:kinsoku/>
                    <w:wordWrap/>
                    <w:overflowPunct/>
                    <w:topLinePunct w:val="0"/>
                    <w:autoSpaceDE/>
                    <w:autoSpaceDN/>
                    <w:bidi w:val="0"/>
                    <w:adjustRightInd w:val="0"/>
                    <w:snapToGrid w:val="0"/>
                    <w:ind w:firstLine="0"/>
                    <w:jc w:val="center"/>
                    <w:textAlignment w:val="auto"/>
                    <w:rPr>
                      <w:b/>
                      <w:color w:val="auto"/>
                      <w:kern w:val="0"/>
                      <w:szCs w:val="21"/>
                    </w:rPr>
                  </w:pPr>
                  <w:r>
                    <w:rPr>
                      <w:b/>
                      <w:color w:val="auto"/>
                      <w:kern w:val="0"/>
                      <w:szCs w:val="21"/>
                    </w:rPr>
                    <w:t>标准来源</w:t>
                  </w:r>
                </w:p>
              </w:tc>
            </w:tr>
            <w:tr w14:paraId="5B17B6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1481" w:type="dxa"/>
                  <w:tcBorders>
                    <w:tl2br w:val="nil"/>
                    <w:tr2bl w:val="nil"/>
                  </w:tcBorders>
                  <w:vAlign w:val="center"/>
                </w:tcPr>
                <w:p w14:paraId="7D04F63C">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配件下料</w:t>
                  </w:r>
                </w:p>
              </w:tc>
              <w:tc>
                <w:tcPr>
                  <w:tcW w:w="1170" w:type="dxa"/>
                  <w:tcBorders>
                    <w:tl2br w:val="nil"/>
                    <w:tr2bl w:val="nil"/>
                  </w:tcBorders>
                  <w:vAlign w:val="center"/>
                </w:tcPr>
                <w:p w14:paraId="611CB933">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颗粒物</w:t>
                  </w:r>
                </w:p>
              </w:tc>
              <w:tc>
                <w:tcPr>
                  <w:tcW w:w="1463" w:type="dxa"/>
                  <w:tcBorders>
                    <w:tl2br w:val="nil"/>
                    <w:tr2bl w:val="nil"/>
                  </w:tcBorders>
                  <w:vAlign w:val="center"/>
                </w:tcPr>
                <w:p w14:paraId="15D33199">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20</w:t>
                  </w:r>
                </w:p>
              </w:tc>
              <w:tc>
                <w:tcPr>
                  <w:tcW w:w="1514" w:type="dxa"/>
                  <w:tcBorders>
                    <w:tl2br w:val="nil"/>
                    <w:tr2bl w:val="nil"/>
                  </w:tcBorders>
                  <w:vAlign w:val="center"/>
                </w:tcPr>
                <w:p w14:paraId="13F32075">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1</w:t>
                  </w:r>
                </w:p>
              </w:tc>
              <w:tc>
                <w:tcPr>
                  <w:tcW w:w="2789" w:type="dxa"/>
                  <w:tcBorders>
                    <w:tl2br w:val="nil"/>
                    <w:tr2bl w:val="nil"/>
                  </w:tcBorders>
                  <w:vAlign w:val="center"/>
                </w:tcPr>
                <w:p w14:paraId="26656629">
                  <w:pPr>
                    <w:keepNext w:val="0"/>
                    <w:keepLines w:val="0"/>
                    <w:pageBreakBefore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《大气污染物综合排放标准》（DB32/4041-2021）表1</w:t>
                  </w:r>
                </w:p>
              </w:tc>
            </w:tr>
            <w:tr w14:paraId="398DDB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1481" w:type="dxa"/>
                  <w:vMerge w:val="restart"/>
                  <w:tcBorders>
                    <w:tl2br w:val="nil"/>
                    <w:tr2bl w:val="nil"/>
                  </w:tcBorders>
                  <w:vAlign w:val="center"/>
                </w:tcPr>
                <w:p w14:paraId="143DD0ED">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eastAsia" w:eastAsia="宋体"/>
                      <w:color w:val="auto"/>
                      <w:kern w:val="0"/>
                      <w:szCs w:val="21"/>
                      <w:lang w:eastAsia="zh-CN"/>
                    </w:rPr>
                  </w:pPr>
                  <w:r>
                    <w:rPr>
                      <w:rFonts w:hint="eastAsia"/>
                      <w:color w:val="auto"/>
                      <w:kern w:val="0"/>
                      <w:szCs w:val="21"/>
                    </w:rPr>
                    <w:t>浸漆</w:t>
                  </w:r>
                  <w:r>
                    <w:rPr>
                      <w:rFonts w:hint="eastAsia"/>
                      <w:color w:val="auto"/>
                      <w:kern w:val="0"/>
                      <w:szCs w:val="21"/>
                      <w:lang w:eastAsia="zh-CN"/>
                    </w:rPr>
                    <w:t>、</w:t>
                  </w:r>
                  <w:r>
                    <w:rPr>
                      <w:rFonts w:hint="eastAsia"/>
                      <w:color w:val="auto"/>
                      <w:kern w:val="0"/>
                      <w:szCs w:val="21"/>
                    </w:rPr>
                    <w:t>烘干、喷漆</w:t>
                  </w:r>
                  <w:r>
                    <w:rPr>
                      <w:rFonts w:hint="eastAsia"/>
                      <w:color w:val="auto"/>
                      <w:kern w:val="0"/>
                      <w:szCs w:val="21"/>
                      <w:lang w:eastAsia="zh-CN"/>
                    </w:rPr>
                    <w:t>、擦拭</w:t>
                  </w:r>
                </w:p>
              </w:tc>
              <w:tc>
                <w:tcPr>
                  <w:tcW w:w="1170" w:type="dxa"/>
                  <w:tcBorders>
                    <w:tl2br w:val="nil"/>
                    <w:tr2bl w:val="nil"/>
                  </w:tcBorders>
                  <w:vAlign w:val="center"/>
                </w:tcPr>
                <w:p w14:paraId="3F7F153C">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bookmarkStart w:id="21" w:name="OLE_LINK28"/>
                  <w:r>
                    <w:rPr>
                      <w:rFonts w:hint="eastAsia"/>
                      <w:color w:val="auto"/>
                      <w:kern w:val="0"/>
                      <w:szCs w:val="21"/>
                    </w:rPr>
                    <w:t>NMHC</w:t>
                  </w:r>
                  <w:bookmarkEnd w:id="21"/>
                </w:p>
              </w:tc>
              <w:tc>
                <w:tcPr>
                  <w:tcW w:w="1463" w:type="dxa"/>
                  <w:tcBorders>
                    <w:tl2br w:val="nil"/>
                    <w:tr2bl w:val="nil"/>
                  </w:tcBorders>
                  <w:vAlign w:val="center"/>
                </w:tcPr>
                <w:p w14:paraId="5AA51C75">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50</w:t>
                  </w:r>
                </w:p>
              </w:tc>
              <w:tc>
                <w:tcPr>
                  <w:tcW w:w="1514" w:type="dxa"/>
                  <w:tcBorders>
                    <w:tl2br w:val="nil"/>
                    <w:tr2bl w:val="nil"/>
                  </w:tcBorders>
                  <w:vAlign w:val="center"/>
                </w:tcPr>
                <w:p w14:paraId="34250DAF">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2.0</w:t>
                  </w:r>
                </w:p>
              </w:tc>
              <w:tc>
                <w:tcPr>
                  <w:tcW w:w="2789" w:type="dxa"/>
                  <w:vMerge w:val="restart"/>
                  <w:tcBorders>
                    <w:tl2br w:val="nil"/>
                    <w:tr2bl w:val="nil"/>
                  </w:tcBorders>
                  <w:vAlign w:val="center"/>
                </w:tcPr>
                <w:p w14:paraId="0127B49A">
                  <w:pPr>
                    <w:keepNext w:val="0"/>
                    <w:keepLines w:val="0"/>
                    <w:pageBreakBefore w:val="0"/>
                    <w:kinsoku/>
                    <w:wordWrap/>
                    <w:overflowPunct/>
                    <w:topLinePunct w:val="0"/>
                    <w:autoSpaceDE/>
                    <w:autoSpaceDN/>
                    <w:bidi w:val="0"/>
                    <w:adjustRightInd w:val="0"/>
                    <w:snapToGrid w:val="0"/>
                    <w:ind w:firstLine="0"/>
                    <w:jc w:val="center"/>
                    <w:textAlignment w:val="auto"/>
                    <w:rPr>
                      <w:color w:val="auto"/>
                      <w:kern w:val="0"/>
                      <w:szCs w:val="21"/>
                    </w:rPr>
                  </w:pPr>
                  <w:bookmarkStart w:id="22" w:name="OLE_LINK27"/>
                  <w:r>
                    <w:rPr>
                      <w:rFonts w:hint="eastAsia"/>
                      <w:color w:val="auto"/>
                      <w:kern w:val="0"/>
                      <w:szCs w:val="21"/>
                    </w:rPr>
                    <w:t>《工业涂装工序大气污染物排放标准》（DB32/4439-2022）</w:t>
                  </w:r>
                  <w:bookmarkEnd w:id="22"/>
                  <w:r>
                    <w:rPr>
                      <w:rFonts w:hint="eastAsia"/>
                      <w:color w:val="auto"/>
                      <w:kern w:val="0"/>
                      <w:szCs w:val="21"/>
                    </w:rPr>
                    <w:t>表1</w:t>
                  </w:r>
                </w:p>
              </w:tc>
            </w:tr>
            <w:tr w14:paraId="036A27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1481" w:type="dxa"/>
                  <w:vMerge w:val="continue"/>
                  <w:tcBorders>
                    <w:tl2br w:val="nil"/>
                    <w:tr2bl w:val="nil"/>
                  </w:tcBorders>
                  <w:vAlign w:val="center"/>
                </w:tcPr>
                <w:p w14:paraId="425747FC">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p>
              </w:tc>
              <w:tc>
                <w:tcPr>
                  <w:tcW w:w="1170" w:type="dxa"/>
                  <w:tcBorders>
                    <w:tl2br w:val="nil"/>
                    <w:tr2bl w:val="nil"/>
                  </w:tcBorders>
                  <w:vAlign w:val="center"/>
                </w:tcPr>
                <w:p w14:paraId="5E41BFC2">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颗粒物</w:t>
                  </w:r>
                </w:p>
              </w:tc>
              <w:tc>
                <w:tcPr>
                  <w:tcW w:w="1463" w:type="dxa"/>
                  <w:tcBorders>
                    <w:tl2br w:val="nil"/>
                    <w:tr2bl w:val="nil"/>
                  </w:tcBorders>
                  <w:vAlign w:val="center"/>
                </w:tcPr>
                <w:p w14:paraId="5919C39B">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10</w:t>
                  </w:r>
                </w:p>
              </w:tc>
              <w:tc>
                <w:tcPr>
                  <w:tcW w:w="1514" w:type="dxa"/>
                  <w:tcBorders>
                    <w:tl2br w:val="nil"/>
                    <w:tr2bl w:val="nil"/>
                  </w:tcBorders>
                  <w:vAlign w:val="center"/>
                </w:tcPr>
                <w:p w14:paraId="25CC2EDA">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0.4</w:t>
                  </w:r>
                </w:p>
              </w:tc>
              <w:tc>
                <w:tcPr>
                  <w:tcW w:w="2789" w:type="dxa"/>
                  <w:vMerge w:val="continue"/>
                  <w:tcBorders>
                    <w:tl2br w:val="nil"/>
                    <w:tr2bl w:val="nil"/>
                  </w:tcBorders>
                  <w:vAlign w:val="center"/>
                </w:tcPr>
                <w:p w14:paraId="6E58EDCA">
                  <w:pPr>
                    <w:keepNext w:val="0"/>
                    <w:keepLines w:val="0"/>
                    <w:pageBreakBefore w:val="0"/>
                    <w:kinsoku/>
                    <w:wordWrap/>
                    <w:overflowPunct/>
                    <w:topLinePunct w:val="0"/>
                    <w:autoSpaceDE/>
                    <w:autoSpaceDN/>
                    <w:bidi w:val="0"/>
                    <w:adjustRightInd w:val="0"/>
                    <w:snapToGrid w:val="0"/>
                    <w:ind w:firstLine="0"/>
                    <w:jc w:val="center"/>
                    <w:textAlignment w:val="auto"/>
                    <w:rPr>
                      <w:color w:val="auto"/>
                      <w:kern w:val="0"/>
                      <w:szCs w:val="21"/>
                    </w:rPr>
                  </w:pPr>
                </w:p>
              </w:tc>
            </w:tr>
            <w:bookmarkEnd w:id="20"/>
          </w:tbl>
          <w:p w14:paraId="1F5E57E9">
            <w:pPr>
              <w:tabs>
                <w:tab w:val="left" w:pos="1800"/>
              </w:tabs>
              <w:adjustRightInd w:val="0"/>
              <w:snapToGrid w:val="0"/>
              <w:spacing w:before="120" w:beforeLines="50"/>
              <w:ind w:firstLine="482"/>
              <w:jc w:val="center"/>
              <w:rPr>
                <w:b/>
                <w:color w:val="auto"/>
                <w:sz w:val="24"/>
              </w:rPr>
            </w:pPr>
          </w:p>
          <w:p w14:paraId="7EF0795E">
            <w:pPr>
              <w:tabs>
                <w:tab w:val="left" w:pos="1800"/>
              </w:tabs>
              <w:adjustRightInd w:val="0"/>
              <w:snapToGrid w:val="0"/>
              <w:spacing w:before="120" w:beforeLines="50"/>
              <w:ind w:firstLine="482"/>
              <w:jc w:val="center"/>
              <w:rPr>
                <w:b/>
                <w:color w:val="auto"/>
                <w:sz w:val="24"/>
              </w:rPr>
            </w:pPr>
            <w:r>
              <w:rPr>
                <w:rFonts w:hint="eastAsia"/>
                <w:b/>
                <w:color w:val="auto"/>
                <w:sz w:val="24"/>
              </w:rPr>
              <w:t>表3-3 无组织废气污染物排放标准</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271"/>
              <w:gridCol w:w="2310"/>
              <w:gridCol w:w="1067"/>
              <w:gridCol w:w="3122"/>
            </w:tblGrid>
            <w:tr w14:paraId="50AC20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Align w:val="center"/>
                </w:tcPr>
                <w:p w14:paraId="509A3B9C">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序号</w:t>
                  </w:r>
                </w:p>
              </w:tc>
              <w:tc>
                <w:tcPr>
                  <w:tcW w:w="755" w:type="pct"/>
                  <w:vAlign w:val="center"/>
                </w:tcPr>
                <w:p w14:paraId="6F563E70">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污染物</w:t>
                  </w:r>
                </w:p>
              </w:tc>
              <w:tc>
                <w:tcPr>
                  <w:tcW w:w="1372" w:type="pct"/>
                  <w:vAlign w:val="center"/>
                </w:tcPr>
                <w:p w14:paraId="0EB21C93">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单位边界无组织排放浓度限值</w:t>
                  </w:r>
                </w:p>
              </w:tc>
              <w:tc>
                <w:tcPr>
                  <w:tcW w:w="634" w:type="pct"/>
                  <w:vAlign w:val="center"/>
                </w:tcPr>
                <w:p w14:paraId="6013DD15">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监控位置</w:t>
                  </w:r>
                </w:p>
              </w:tc>
              <w:tc>
                <w:tcPr>
                  <w:tcW w:w="1854" w:type="pct"/>
                  <w:vAlign w:val="center"/>
                </w:tcPr>
                <w:p w14:paraId="59C0110D">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执行标准</w:t>
                  </w:r>
                </w:p>
              </w:tc>
            </w:tr>
            <w:tr w14:paraId="7D3D3C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Align w:val="center"/>
                </w:tcPr>
                <w:p w14:paraId="29F84FB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1</w:t>
                  </w:r>
                </w:p>
              </w:tc>
              <w:tc>
                <w:tcPr>
                  <w:tcW w:w="755" w:type="pct"/>
                  <w:vAlign w:val="center"/>
                </w:tcPr>
                <w:p w14:paraId="34DD6038">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颗粒物</w:t>
                  </w:r>
                </w:p>
              </w:tc>
              <w:tc>
                <w:tcPr>
                  <w:tcW w:w="1372" w:type="pct"/>
                  <w:vAlign w:val="center"/>
                </w:tcPr>
                <w:p w14:paraId="01AC360A">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Cs w:val="21"/>
                      <w:lang w:eastAsia="zh-CN"/>
                    </w:rPr>
                  </w:pPr>
                  <w:r>
                    <w:rPr>
                      <w:color w:val="auto"/>
                      <w:szCs w:val="21"/>
                    </w:rPr>
                    <w:t>0.5mg/m</w:t>
                  </w:r>
                  <w:r>
                    <w:rPr>
                      <w:rFonts w:hint="eastAsia"/>
                      <w:color w:val="auto"/>
                      <w:szCs w:val="21"/>
                      <w:vertAlign w:val="superscript"/>
                      <w:lang w:val="en-US" w:eastAsia="zh-CN"/>
                    </w:rPr>
                    <w:t>3</w:t>
                  </w:r>
                </w:p>
              </w:tc>
              <w:tc>
                <w:tcPr>
                  <w:tcW w:w="634" w:type="pct"/>
                  <w:vMerge w:val="restart"/>
                  <w:vAlign w:val="center"/>
                </w:tcPr>
                <w:p w14:paraId="16C0E1DD">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边界外浓度最高点</w:t>
                  </w:r>
                </w:p>
              </w:tc>
              <w:tc>
                <w:tcPr>
                  <w:tcW w:w="1854" w:type="pct"/>
                  <w:vMerge w:val="restart"/>
                  <w:vAlign w:val="center"/>
                </w:tcPr>
                <w:p w14:paraId="59E5B917">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《大气污染物综合排放标准》（DB32/4041-2021）表3</w:t>
                  </w:r>
                </w:p>
              </w:tc>
            </w:tr>
            <w:tr w14:paraId="519AE7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83" w:type="pct"/>
                  <w:vAlign w:val="center"/>
                </w:tcPr>
                <w:p w14:paraId="6A2B28DB">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2</w:t>
                  </w:r>
                </w:p>
              </w:tc>
              <w:tc>
                <w:tcPr>
                  <w:tcW w:w="755" w:type="pct"/>
                  <w:vAlign w:val="center"/>
                </w:tcPr>
                <w:p w14:paraId="6C4BDE0E">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kern w:val="0"/>
                      <w:szCs w:val="21"/>
                    </w:rPr>
                    <w:t>NMHC</w:t>
                  </w:r>
                </w:p>
              </w:tc>
              <w:tc>
                <w:tcPr>
                  <w:tcW w:w="1372" w:type="pct"/>
                  <w:vAlign w:val="center"/>
                </w:tcPr>
                <w:p w14:paraId="2C6ABF47">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Cs w:val="21"/>
                      <w:lang w:eastAsia="zh-CN"/>
                    </w:rPr>
                  </w:pPr>
                  <w:r>
                    <w:rPr>
                      <w:color w:val="auto"/>
                      <w:szCs w:val="21"/>
                    </w:rPr>
                    <w:t>4.0mg/m</w:t>
                  </w:r>
                  <w:r>
                    <w:rPr>
                      <w:rFonts w:hint="eastAsia"/>
                      <w:color w:val="auto"/>
                      <w:szCs w:val="21"/>
                      <w:vertAlign w:val="superscript"/>
                      <w:lang w:val="en-US" w:eastAsia="zh-CN"/>
                    </w:rPr>
                    <w:t>3</w:t>
                  </w:r>
                </w:p>
              </w:tc>
              <w:tc>
                <w:tcPr>
                  <w:tcW w:w="634" w:type="pct"/>
                  <w:vMerge w:val="continue"/>
                  <w:vAlign w:val="center"/>
                </w:tcPr>
                <w:p w14:paraId="1C4C3B02">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c>
                <w:tcPr>
                  <w:tcW w:w="1854" w:type="pct"/>
                  <w:vMerge w:val="continue"/>
                  <w:vAlign w:val="center"/>
                </w:tcPr>
                <w:p w14:paraId="57A05FAC">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p>
              </w:tc>
            </w:tr>
          </w:tbl>
          <w:p w14:paraId="53E38378">
            <w:pPr>
              <w:tabs>
                <w:tab w:val="left" w:pos="1800"/>
              </w:tabs>
              <w:adjustRightInd w:val="0"/>
              <w:snapToGrid w:val="0"/>
              <w:spacing w:before="120" w:beforeLines="50"/>
              <w:ind w:firstLine="482"/>
              <w:jc w:val="center"/>
              <w:rPr>
                <w:b/>
                <w:color w:val="auto"/>
                <w:sz w:val="24"/>
              </w:rPr>
            </w:pPr>
            <w:bookmarkStart w:id="23" w:name="OLE_LINK26"/>
            <w:r>
              <w:rPr>
                <w:rFonts w:hint="eastAsia"/>
                <w:b/>
                <w:color w:val="auto"/>
                <w:sz w:val="24"/>
              </w:rPr>
              <w:t>表3-4 厂区内VOCs无组织排放限值</w:t>
            </w:r>
          </w:p>
          <w:bookmarkEnd w:id="23"/>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32"/>
              <w:gridCol w:w="1155"/>
              <w:gridCol w:w="2566"/>
              <w:gridCol w:w="1268"/>
              <w:gridCol w:w="2496"/>
            </w:tblGrid>
            <w:tr w14:paraId="2CBDA5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54" w:type="pct"/>
                  <w:tcBorders>
                    <w:top w:val="single" w:color="auto" w:sz="12" w:space="0"/>
                    <w:left w:val="nil"/>
                    <w:bottom w:val="single" w:color="auto" w:sz="4" w:space="0"/>
                    <w:right w:val="single" w:color="auto" w:sz="4" w:space="0"/>
                  </w:tcBorders>
                  <w:vAlign w:val="center"/>
                </w:tcPr>
                <w:p w14:paraId="236BD039">
                  <w:pPr>
                    <w:keepNext w:val="0"/>
                    <w:keepLines w:val="0"/>
                    <w:pageBreakBefore w:val="0"/>
                    <w:widowControl w:val="0"/>
                    <w:kinsoku/>
                    <w:wordWrap/>
                    <w:topLinePunct w:val="0"/>
                    <w:autoSpaceDE/>
                    <w:autoSpaceDN/>
                    <w:bidi w:val="0"/>
                    <w:adjustRightInd w:val="0"/>
                    <w:snapToGrid w:val="0"/>
                    <w:ind w:firstLine="0"/>
                    <w:jc w:val="center"/>
                    <w:textAlignment w:val="auto"/>
                    <w:rPr>
                      <w:b/>
                      <w:bCs/>
                      <w:color w:val="auto"/>
                      <w:szCs w:val="21"/>
                    </w:rPr>
                  </w:pPr>
                  <w:r>
                    <w:rPr>
                      <w:b/>
                      <w:bCs/>
                      <w:color w:val="auto"/>
                      <w:szCs w:val="21"/>
                    </w:rPr>
                    <w:t>污染物</w:t>
                  </w:r>
                </w:p>
                <w:p w14:paraId="57193F56">
                  <w:pPr>
                    <w:keepNext w:val="0"/>
                    <w:keepLines w:val="0"/>
                    <w:pageBreakBefore w:val="0"/>
                    <w:widowControl w:val="0"/>
                    <w:kinsoku/>
                    <w:wordWrap/>
                    <w:topLinePunct w:val="0"/>
                    <w:autoSpaceDE/>
                    <w:autoSpaceDN/>
                    <w:bidi w:val="0"/>
                    <w:adjustRightInd w:val="0"/>
                    <w:snapToGrid w:val="0"/>
                    <w:ind w:firstLine="0"/>
                    <w:jc w:val="center"/>
                    <w:textAlignment w:val="auto"/>
                    <w:rPr>
                      <w:b/>
                      <w:bCs/>
                      <w:color w:val="auto"/>
                      <w:szCs w:val="21"/>
                    </w:rPr>
                  </w:pPr>
                  <w:r>
                    <w:rPr>
                      <w:b/>
                      <w:bCs/>
                      <w:color w:val="auto"/>
                      <w:szCs w:val="21"/>
                    </w:rPr>
                    <w:t>名称</w:t>
                  </w:r>
                </w:p>
              </w:tc>
              <w:tc>
                <w:tcPr>
                  <w:tcW w:w="686" w:type="pct"/>
                  <w:tcBorders>
                    <w:top w:val="single" w:color="auto" w:sz="12" w:space="0"/>
                    <w:left w:val="single" w:color="auto" w:sz="4" w:space="0"/>
                    <w:bottom w:val="single" w:color="auto" w:sz="4" w:space="0"/>
                    <w:right w:val="single" w:color="auto" w:sz="4" w:space="0"/>
                  </w:tcBorders>
                  <w:vAlign w:val="center"/>
                </w:tcPr>
                <w:p w14:paraId="6B97F9D5">
                  <w:pPr>
                    <w:keepNext w:val="0"/>
                    <w:keepLines w:val="0"/>
                    <w:pageBreakBefore w:val="0"/>
                    <w:widowControl w:val="0"/>
                    <w:kinsoku/>
                    <w:wordWrap/>
                    <w:topLinePunct w:val="0"/>
                    <w:autoSpaceDE/>
                    <w:autoSpaceDN/>
                    <w:bidi w:val="0"/>
                    <w:adjustRightInd w:val="0"/>
                    <w:snapToGrid w:val="0"/>
                    <w:ind w:firstLine="0"/>
                    <w:jc w:val="center"/>
                    <w:textAlignment w:val="auto"/>
                    <w:rPr>
                      <w:b/>
                      <w:bCs/>
                      <w:color w:val="auto"/>
                      <w:szCs w:val="21"/>
                    </w:rPr>
                  </w:pPr>
                  <w:r>
                    <w:rPr>
                      <w:rFonts w:hint="eastAsia"/>
                      <w:b/>
                      <w:bCs/>
                      <w:color w:val="auto"/>
                      <w:szCs w:val="21"/>
                    </w:rPr>
                    <w:t>监控点限值（</w:t>
                  </w:r>
                  <w:r>
                    <w:rPr>
                      <w:b/>
                      <w:bCs/>
                      <w:color w:val="auto"/>
                      <w:szCs w:val="21"/>
                    </w:rPr>
                    <w:t>mg/m</w:t>
                  </w:r>
                  <w:r>
                    <w:rPr>
                      <w:b/>
                      <w:bCs/>
                      <w:color w:val="auto"/>
                      <w:szCs w:val="21"/>
                      <w:vertAlign w:val="superscript"/>
                    </w:rPr>
                    <w:t>3</w:t>
                  </w:r>
                  <w:r>
                    <w:rPr>
                      <w:rFonts w:hint="eastAsia"/>
                      <w:b/>
                      <w:bCs/>
                      <w:color w:val="auto"/>
                      <w:szCs w:val="21"/>
                    </w:rPr>
                    <w:t>）</w:t>
                  </w:r>
                </w:p>
              </w:tc>
              <w:tc>
                <w:tcPr>
                  <w:tcW w:w="1523" w:type="pct"/>
                  <w:tcBorders>
                    <w:top w:val="single" w:color="auto" w:sz="12" w:space="0"/>
                    <w:left w:val="single" w:color="auto" w:sz="4" w:space="0"/>
                    <w:bottom w:val="single" w:color="auto" w:sz="4" w:space="0"/>
                    <w:right w:val="single" w:color="auto" w:sz="4" w:space="0"/>
                  </w:tcBorders>
                  <w:vAlign w:val="center"/>
                </w:tcPr>
                <w:p w14:paraId="7EBFEC8C">
                  <w:pPr>
                    <w:keepNext w:val="0"/>
                    <w:keepLines w:val="0"/>
                    <w:pageBreakBefore w:val="0"/>
                    <w:widowControl w:val="0"/>
                    <w:kinsoku/>
                    <w:wordWrap/>
                    <w:topLinePunct w:val="0"/>
                    <w:autoSpaceDE/>
                    <w:autoSpaceDN/>
                    <w:bidi w:val="0"/>
                    <w:adjustRightInd w:val="0"/>
                    <w:snapToGrid w:val="0"/>
                    <w:ind w:firstLine="0"/>
                    <w:jc w:val="center"/>
                    <w:textAlignment w:val="auto"/>
                    <w:rPr>
                      <w:b/>
                      <w:bCs/>
                      <w:color w:val="auto"/>
                      <w:szCs w:val="21"/>
                    </w:rPr>
                  </w:pPr>
                  <w:r>
                    <w:rPr>
                      <w:b/>
                      <w:bCs/>
                      <w:color w:val="auto"/>
                      <w:szCs w:val="21"/>
                    </w:rPr>
                    <w:t>限值</w:t>
                  </w:r>
                  <w:r>
                    <w:rPr>
                      <w:rFonts w:hint="eastAsia"/>
                      <w:b/>
                      <w:bCs/>
                      <w:color w:val="auto"/>
                      <w:szCs w:val="21"/>
                    </w:rPr>
                    <w:t>含义</w:t>
                  </w:r>
                </w:p>
              </w:tc>
              <w:tc>
                <w:tcPr>
                  <w:tcW w:w="753" w:type="pct"/>
                  <w:tcBorders>
                    <w:top w:val="single" w:color="auto" w:sz="12" w:space="0"/>
                    <w:left w:val="single" w:color="auto" w:sz="4" w:space="0"/>
                    <w:bottom w:val="single" w:color="auto" w:sz="4" w:space="0"/>
                    <w:right w:val="single" w:color="auto" w:sz="4" w:space="0"/>
                  </w:tcBorders>
                  <w:vAlign w:val="center"/>
                </w:tcPr>
                <w:p w14:paraId="70E0189E">
                  <w:pPr>
                    <w:keepNext w:val="0"/>
                    <w:keepLines w:val="0"/>
                    <w:pageBreakBefore w:val="0"/>
                    <w:widowControl w:val="0"/>
                    <w:kinsoku/>
                    <w:wordWrap/>
                    <w:topLinePunct w:val="0"/>
                    <w:autoSpaceDE/>
                    <w:autoSpaceDN/>
                    <w:bidi w:val="0"/>
                    <w:adjustRightInd w:val="0"/>
                    <w:snapToGrid w:val="0"/>
                    <w:ind w:firstLine="0"/>
                    <w:jc w:val="center"/>
                    <w:textAlignment w:val="auto"/>
                    <w:rPr>
                      <w:b/>
                      <w:bCs/>
                      <w:color w:val="auto"/>
                      <w:szCs w:val="21"/>
                    </w:rPr>
                  </w:pPr>
                  <w:r>
                    <w:rPr>
                      <w:b/>
                      <w:bCs/>
                      <w:color w:val="auto"/>
                      <w:szCs w:val="21"/>
                    </w:rPr>
                    <w:t>无组织排放监控位置</w:t>
                  </w:r>
                </w:p>
              </w:tc>
              <w:tc>
                <w:tcPr>
                  <w:tcW w:w="1482" w:type="pct"/>
                  <w:tcBorders>
                    <w:top w:val="single" w:color="auto" w:sz="12" w:space="0"/>
                    <w:left w:val="single" w:color="auto" w:sz="4" w:space="0"/>
                    <w:bottom w:val="single" w:color="auto" w:sz="4" w:space="0"/>
                    <w:right w:val="nil"/>
                  </w:tcBorders>
                  <w:vAlign w:val="center"/>
                </w:tcPr>
                <w:p w14:paraId="712E9A41">
                  <w:pPr>
                    <w:keepNext w:val="0"/>
                    <w:keepLines w:val="0"/>
                    <w:pageBreakBefore w:val="0"/>
                    <w:widowControl w:val="0"/>
                    <w:kinsoku/>
                    <w:wordWrap/>
                    <w:topLinePunct w:val="0"/>
                    <w:autoSpaceDE/>
                    <w:autoSpaceDN/>
                    <w:bidi w:val="0"/>
                    <w:adjustRightInd w:val="0"/>
                    <w:snapToGrid w:val="0"/>
                    <w:ind w:firstLine="0"/>
                    <w:jc w:val="center"/>
                    <w:textAlignment w:val="auto"/>
                    <w:rPr>
                      <w:b/>
                      <w:bCs/>
                      <w:color w:val="auto"/>
                      <w:szCs w:val="21"/>
                    </w:rPr>
                  </w:pPr>
                  <w:r>
                    <w:rPr>
                      <w:b/>
                      <w:bCs/>
                      <w:color w:val="auto"/>
                      <w:szCs w:val="21"/>
                    </w:rPr>
                    <w:t>标准来源</w:t>
                  </w:r>
                </w:p>
              </w:tc>
            </w:tr>
            <w:tr w14:paraId="50A5B5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54" w:type="pct"/>
                  <w:vMerge w:val="restart"/>
                  <w:tcBorders>
                    <w:top w:val="single" w:color="auto" w:sz="4" w:space="0"/>
                    <w:left w:val="nil"/>
                    <w:bottom w:val="single" w:color="auto" w:sz="4" w:space="0"/>
                    <w:right w:val="single" w:color="auto" w:sz="4" w:space="0"/>
                  </w:tcBorders>
                  <w:vAlign w:val="center"/>
                </w:tcPr>
                <w:p w14:paraId="1F394759">
                  <w:pPr>
                    <w:keepNext w:val="0"/>
                    <w:keepLines w:val="0"/>
                    <w:pageBreakBefore w:val="0"/>
                    <w:widowControl w:val="0"/>
                    <w:kinsoku/>
                    <w:wordWrap/>
                    <w:topLinePunct w:val="0"/>
                    <w:autoSpaceDE/>
                    <w:autoSpaceDN/>
                    <w:bidi w:val="0"/>
                    <w:adjustRightInd w:val="0"/>
                    <w:snapToGrid w:val="0"/>
                    <w:ind w:firstLine="0"/>
                    <w:jc w:val="center"/>
                    <w:textAlignment w:val="auto"/>
                    <w:rPr>
                      <w:color w:val="auto"/>
                      <w:szCs w:val="21"/>
                    </w:rPr>
                  </w:pPr>
                  <w:r>
                    <w:rPr>
                      <w:rFonts w:hint="eastAsia"/>
                      <w:color w:val="auto"/>
                      <w:kern w:val="0"/>
                      <w:szCs w:val="21"/>
                    </w:rPr>
                    <w:t>NMHC</w:t>
                  </w:r>
                </w:p>
              </w:tc>
              <w:tc>
                <w:tcPr>
                  <w:tcW w:w="686" w:type="pct"/>
                  <w:tcBorders>
                    <w:top w:val="single" w:color="auto" w:sz="4" w:space="0"/>
                    <w:left w:val="single" w:color="auto" w:sz="4" w:space="0"/>
                    <w:bottom w:val="single" w:color="auto" w:sz="4" w:space="0"/>
                    <w:right w:val="single" w:color="auto" w:sz="4" w:space="0"/>
                  </w:tcBorders>
                  <w:vAlign w:val="center"/>
                </w:tcPr>
                <w:p w14:paraId="19FA8D9A">
                  <w:pPr>
                    <w:keepNext w:val="0"/>
                    <w:keepLines w:val="0"/>
                    <w:pageBreakBefore w:val="0"/>
                    <w:widowControl w:val="0"/>
                    <w:kinsoku/>
                    <w:wordWrap/>
                    <w:topLinePunct w:val="0"/>
                    <w:autoSpaceDE/>
                    <w:autoSpaceDN/>
                    <w:bidi w:val="0"/>
                    <w:adjustRightInd w:val="0"/>
                    <w:snapToGrid w:val="0"/>
                    <w:ind w:firstLine="0"/>
                    <w:jc w:val="center"/>
                    <w:textAlignment w:val="auto"/>
                    <w:rPr>
                      <w:color w:val="auto"/>
                      <w:szCs w:val="21"/>
                    </w:rPr>
                  </w:pPr>
                  <w:r>
                    <w:rPr>
                      <w:color w:val="auto"/>
                      <w:szCs w:val="21"/>
                    </w:rPr>
                    <w:t>6</w:t>
                  </w:r>
                </w:p>
              </w:tc>
              <w:tc>
                <w:tcPr>
                  <w:tcW w:w="1523" w:type="pct"/>
                  <w:tcBorders>
                    <w:top w:val="single" w:color="auto" w:sz="4" w:space="0"/>
                    <w:left w:val="single" w:color="auto" w:sz="4" w:space="0"/>
                    <w:bottom w:val="single" w:color="auto" w:sz="4" w:space="0"/>
                    <w:right w:val="single" w:color="auto" w:sz="4" w:space="0"/>
                  </w:tcBorders>
                  <w:vAlign w:val="center"/>
                </w:tcPr>
                <w:p w14:paraId="4CDDE4FE">
                  <w:pPr>
                    <w:keepNext w:val="0"/>
                    <w:keepLines w:val="0"/>
                    <w:pageBreakBefore w:val="0"/>
                    <w:widowControl w:val="0"/>
                    <w:kinsoku/>
                    <w:wordWrap/>
                    <w:topLinePunct w:val="0"/>
                    <w:autoSpaceDE/>
                    <w:autoSpaceDN/>
                    <w:bidi w:val="0"/>
                    <w:adjustRightInd w:val="0"/>
                    <w:snapToGrid w:val="0"/>
                    <w:ind w:firstLine="0"/>
                    <w:jc w:val="center"/>
                    <w:textAlignment w:val="auto"/>
                    <w:rPr>
                      <w:color w:val="auto"/>
                      <w:szCs w:val="21"/>
                    </w:rPr>
                  </w:pPr>
                  <w:r>
                    <w:rPr>
                      <w:color w:val="auto"/>
                      <w:szCs w:val="21"/>
                    </w:rPr>
                    <w:t>监控点处1h平均浓度值</w:t>
                  </w:r>
                </w:p>
              </w:tc>
              <w:tc>
                <w:tcPr>
                  <w:tcW w:w="753" w:type="pct"/>
                  <w:vMerge w:val="restart"/>
                  <w:tcBorders>
                    <w:top w:val="single" w:color="auto" w:sz="4" w:space="0"/>
                    <w:left w:val="single" w:color="auto" w:sz="4" w:space="0"/>
                    <w:bottom w:val="single" w:color="auto" w:sz="4" w:space="0"/>
                    <w:right w:val="single" w:color="auto" w:sz="4" w:space="0"/>
                  </w:tcBorders>
                  <w:vAlign w:val="center"/>
                </w:tcPr>
                <w:p w14:paraId="40FAB0EB">
                  <w:pPr>
                    <w:keepNext w:val="0"/>
                    <w:keepLines w:val="0"/>
                    <w:pageBreakBefore w:val="0"/>
                    <w:widowControl w:val="0"/>
                    <w:kinsoku/>
                    <w:wordWrap/>
                    <w:topLinePunct w:val="0"/>
                    <w:autoSpaceDE/>
                    <w:autoSpaceDN/>
                    <w:bidi w:val="0"/>
                    <w:adjustRightInd w:val="0"/>
                    <w:snapToGrid w:val="0"/>
                    <w:ind w:firstLine="0"/>
                    <w:jc w:val="center"/>
                    <w:textAlignment w:val="auto"/>
                    <w:rPr>
                      <w:color w:val="auto"/>
                      <w:szCs w:val="21"/>
                    </w:rPr>
                  </w:pPr>
                  <w:r>
                    <w:rPr>
                      <w:color w:val="auto"/>
                      <w:szCs w:val="21"/>
                    </w:rPr>
                    <w:t>在厂房外设置监控点</w:t>
                  </w:r>
                </w:p>
              </w:tc>
              <w:tc>
                <w:tcPr>
                  <w:tcW w:w="1482" w:type="pct"/>
                  <w:vMerge w:val="restart"/>
                  <w:tcBorders>
                    <w:top w:val="single" w:color="auto" w:sz="4" w:space="0"/>
                    <w:left w:val="single" w:color="auto" w:sz="4" w:space="0"/>
                    <w:bottom w:val="single" w:color="auto" w:sz="4" w:space="0"/>
                    <w:right w:val="nil"/>
                  </w:tcBorders>
                  <w:vAlign w:val="center"/>
                </w:tcPr>
                <w:p w14:paraId="36D276EB">
                  <w:pPr>
                    <w:pStyle w:val="145"/>
                    <w:keepNext w:val="0"/>
                    <w:keepLines w:val="0"/>
                    <w:pageBreakBefore w:val="0"/>
                    <w:widowControl w:val="0"/>
                    <w:tabs>
                      <w:tab w:val="left" w:pos="277"/>
                      <w:tab w:val="left" w:pos="600"/>
                      <w:tab w:val="left" w:pos="780"/>
                      <w:tab w:val="left" w:pos="2517"/>
                      <w:tab w:val="clear" w:pos="560"/>
                    </w:tabs>
                    <w:kinsoku/>
                    <w:wordWrap/>
                    <w:topLinePunct w:val="0"/>
                    <w:autoSpaceDE/>
                    <w:autoSpaceDN/>
                    <w:bidi w:val="0"/>
                    <w:adjustRightInd w:val="0"/>
                    <w:snapToGrid w:val="0"/>
                    <w:spacing w:line="240" w:lineRule="auto"/>
                    <w:ind w:firstLine="0"/>
                    <w:textAlignment w:val="auto"/>
                    <w:rPr>
                      <w:rFonts w:cs="Times New Roman"/>
                      <w:bCs/>
                      <w:color w:val="auto"/>
                    </w:rPr>
                  </w:pPr>
                  <w:r>
                    <w:rPr>
                      <w:rFonts w:hint="eastAsia"/>
                      <w:color w:val="auto"/>
                    </w:rPr>
                    <w:t>《工业涂装工序大气污染物排放标准》（DB32/4439-2022）</w:t>
                  </w:r>
                  <w:r>
                    <w:rPr>
                      <w:rFonts w:hint="eastAsia" w:cs="Times New Roman"/>
                      <w:color w:val="auto"/>
                    </w:rPr>
                    <w:t>表3</w:t>
                  </w:r>
                </w:p>
              </w:tc>
            </w:tr>
            <w:tr w14:paraId="1C64C7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54" w:type="pct"/>
                  <w:vMerge w:val="continue"/>
                  <w:tcBorders>
                    <w:top w:val="single" w:color="auto" w:sz="4" w:space="0"/>
                    <w:left w:val="nil"/>
                    <w:bottom w:val="single" w:color="auto" w:sz="12" w:space="0"/>
                    <w:right w:val="single" w:color="auto" w:sz="4" w:space="0"/>
                  </w:tcBorders>
                  <w:vAlign w:val="center"/>
                </w:tcPr>
                <w:p w14:paraId="7AC5B269">
                  <w:pPr>
                    <w:keepNext w:val="0"/>
                    <w:keepLines w:val="0"/>
                    <w:pageBreakBefore w:val="0"/>
                    <w:widowControl w:val="0"/>
                    <w:kinsoku/>
                    <w:wordWrap/>
                    <w:topLinePunct w:val="0"/>
                    <w:autoSpaceDE/>
                    <w:autoSpaceDN/>
                    <w:bidi w:val="0"/>
                    <w:adjustRightInd w:val="0"/>
                    <w:snapToGrid w:val="0"/>
                    <w:ind w:firstLine="0"/>
                    <w:jc w:val="center"/>
                    <w:textAlignment w:val="auto"/>
                    <w:rPr>
                      <w:color w:val="auto"/>
                      <w:szCs w:val="21"/>
                    </w:rPr>
                  </w:pPr>
                </w:p>
              </w:tc>
              <w:tc>
                <w:tcPr>
                  <w:tcW w:w="686" w:type="pct"/>
                  <w:tcBorders>
                    <w:top w:val="single" w:color="auto" w:sz="4" w:space="0"/>
                    <w:left w:val="single" w:color="auto" w:sz="4" w:space="0"/>
                    <w:bottom w:val="single" w:color="auto" w:sz="12" w:space="0"/>
                    <w:right w:val="single" w:color="auto" w:sz="4" w:space="0"/>
                  </w:tcBorders>
                  <w:vAlign w:val="center"/>
                </w:tcPr>
                <w:p w14:paraId="1161EE85">
                  <w:pPr>
                    <w:keepNext w:val="0"/>
                    <w:keepLines w:val="0"/>
                    <w:pageBreakBefore w:val="0"/>
                    <w:widowControl w:val="0"/>
                    <w:kinsoku/>
                    <w:wordWrap/>
                    <w:topLinePunct w:val="0"/>
                    <w:autoSpaceDE/>
                    <w:autoSpaceDN/>
                    <w:bidi w:val="0"/>
                    <w:adjustRightInd w:val="0"/>
                    <w:snapToGrid w:val="0"/>
                    <w:ind w:firstLine="0"/>
                    <w:jc w:val="center"/>
                    <w:textAlignment w:val="auto"/>
                    <w:rPr>
                      <w:color w:val="auto"/>
                      <w:szCs w:val="21"/>
                    </w:rPr>
                  </w:pPr>
                  <w:r>
                    <w:rPr>
                      <w:color w:val="auto"/>
                      <w:szCs w:val="21"/>
                    </w:rPr>
                    <w:t>20</w:t>
                  </w:r>
                </w:p>
              </w:tc>
              <w:tc>
                <w:tcPr>
                  <w:tcW w:w="1523" w:type="pct"/>
                  <w:tcBorders>
                    <w:top w:val="single" w:color="auto" w:sz="4" w:space="0"/>
                    <w:left w:val="single" w:color="auto" w:sz="4" w:space="0"/>
                    <w:bottom w:val="single" w:color="auto" w:sz="12" w:space="0"/>
                    <w:right w:val="single" w:color="auto" w:sz="4" w:space="0"/>
                  </w:tcBorders>
                  <w:vAlign w:val="center"/>
                </w:tcPr>
                <w:p w14:paraId="7F1D3B51">
                  <w:pPr>
                    <w:keepNext w:val="0"/>
                    <w:keepLines w:val="0"/>
                    <w:pageBreakBefore w:val="0"/>
                    <w:widowControl w:val="0"/>
                    <w:kinsoku/>
                    <w:wordWrap/>
                    <w:topLinePunct w:val="0"/>
                    <w:autoSpaceDE/>
                    <w:autoSpaceDN/>
                    <w:bidi w:val="0"/>
                    <w:adjustRightInd w:val="0"/>
                    <w:snapToGrid w:val="0"/>
                    <w:ind w:firstLine="0"/>
                    <w:jc w:val="center"/>
                    <w:textAlignment w:val="auto"/>
                    <w:rPr>
                      <w:color w:val="auto"/>
                      <w:szCs w:val="21"/>
                    </w:rPr>
                  </w:pPr>
                  <w:r>
                    <w:rPr>
                      <w:color w:val="auto"/>
                      <w:szCs w:val="21"/>
                    </w:rPr>
                    <w:t>监控点处任意一次浓度值</w:t>
                  </w:r>
                </w:p>
              </w:tc>
              <w:tc>
                <w:tcPr>
                  <w:tcW w:w="753" w:type="pct"/>
                  <w:vMerge w:val="continue"/>
                  <w:tcBorders>
                    <w:top w:val="single" w:color="auto" w:sz="4" w:space="0"/>
                    <w:left w:val="single" w:color="auto" w:sz="4" w:space="0"/>
                    <w:bottom w:val="single" w:color="auto" w:sz="12" w:space="0"/>
                    <w:right w:val="single" w:color="auto" w:sz="4" w:space="0"/>
                  </w:tcBorders>
                  <w:vAlign w:val="center"/>
                </w:tcPr>
                <w:p w14:paraId="1EE33410">
                  <w:pPr>
                    <w:keepNext w:val="0"/>
                    <w:keepLines w:val="0"/>
                    <w:pageBreakBefore w:val="0"/>
                    <w:widowControl w:val="0"/>
                    <w:kinsoku/>
                    <w:wordWrap/>
                    <w:topLinePunct w:val="0"/>
                    <w:autoSpaceDE/>
                    <w:autoSpaceDN/>
                    <w:bidi w:val="0"/>
                    <w:adjustRightInd w:val="0"/>
                    <w:snapToGrid w:val="0"/>
                    <w:ind w:firstLine="0"/>
                    <w:jc w:val="center"/>
                    <w:textAlignment w:val="auto"/>
                    <w:rPr>
                      <w:color w:val="auto"/>
                      <w:szCs w:val="21"/>
                    </w:rPr>
                  </w:pPr>
                </w:p>
              </w:tc>
              <w:tc>
                <w:tcPr>
                  <w:tcW w:w="1482" w:type="pct"/>
                  <w:vMerge w:val="continue"/>
                  <w:tcBorders>
                    <w:top w:val="single" w:color="auto" w:sz="4" w:space="0"/>
                    <w:left w:val="single" w:color="auto" w:sz="4" w:space="0"/>
                    <w:bottom w:val="single" w:color="auto" w:sz="12" w:space="0"/>
                    <w:right w:val="nil"/>
                  </w:tcBorders>
                  <w:vAlign w:val="center"/>
                </w:tcPr>
                <w:p w14:paraId="52A35CB3">
                  <w:pPr>
                    <w:keepNext w:val="0"/>
                    <w:keepLines w:val="0"/>
                    <w:pageBreakBefore w:val="0"/>
                    <w:widowControl w:val="0"/>
                    <w:kinsoku/>
                    <w:wordWrap/>
                    <w:topLinePunct w:val="0"/>
                    <w:autoSpaceDE/>
                    <w:autoSpaceDN/>
                    <w:bidi w:val="0"/>
                    <w:adjustRightInd w:val="0"/>
                    <w:snapToGrid w:val="0"/>
                    <w:ind w:firstLine="0"/>
                    <w:jc w:val="center"/>
                    <w:textAlignment w:val="auto"/>
                    <w:rPr>
                      <w:color w:val="auto"/>
                      <w:szCs w:val="21"/>
                    </w:rPr>
                  </w:pPr>
                </w:p>
              </w:tc>
            </w:tr>
          </w:tbl>
          <w:p w14:paraId="6B537712">
            <w:pPr>
              <w:adjustRightInd w:val="0"/>
              <w:snapToGrid w:val="0"/>
              <w:spacing w:beforeLines="50" w:line="360" w:lineRule="auto"/>
              <w:ind w:firstLine="480" w:firstLineChars="200"/>
              <w:rPr>
                <w:b/>
                <w:color w:val="auto"/>
                <w:sz w:val="24"/>
              </w:rPr>
            </w:pPr>
            <w:r>
              <w:rPr>
                <w:rFonts w:hAnsi="宋体"/>
                <w:color w:val="auto"/>
                <w:sz w:val="24"/>
              </w:rPr>
              <w:t>本项目食堂产生的油烟经油烟净化器处理后通过食堂专用烟道排放。本项目共基准灶头</w:t>
            </w:r>
            <w:r>
              <w:rPr>
                <w:rFonts w:hint="eastAsia"/>
                <w:color w:val="auto"/>
                <w:sz w:val="24"/>
                <w:lang w:val="en-US" w:eastAsia="zh-CN"/>
              </w:rPr>
              <w:t>3</w:t>
            </w:r>
            <w:r>
              <w:rPr>
                <w:rFonts w:hAnsi="宋体"/>
                <w:color w:val="auto"/>
                <w:sz w:val="24"/>
              </w:rPr>
              <w:t>个，因此食堂油烟参照执行《饮食业油烟排放标准（试行）》（</w:t>
            </w:r>
            <w:r>
              <w:rPr>
                <w:color w:val="auto"/>
                <w:sz w:val="24"/>
              </w:rPr>
              <w:t>GB18483-2001</w:t>
            </w:r>
            <w:r>
              <w:rPr>
                <w:rFonts w:hAnsi="宋体"/>
                <w:color w:val="auto"/>
                <w:sz w:val="24"/>
              </w:rPr>
              <w:t>）</w:t>
            </w:r>
            <w:r>
              <w:rPr>
                <w:rFonts w:hint="eastAsia" w:hAnsi="宋体"/>
                <w:color w:val="auto"/>
                <w:sz w:val="24"/>
                <w:lang w:eastAsia="zh-CN"/>
              </w:rPr>
              <w:t>中</w:t>
            </w:r>
            <w:r>
              <w:rPr>
                <w:rFonts w:hAnsi="宋体"/>
                <w:color w:val="auto"/>
                <w:sz w:val="24"/>
              </w:rPr>
              <w:t>型规模的排放标准，具体标准见表</w:t>
            </w:r>
            <w:r>
              <w:rPr>
                <w:rFonts w:hint="eastAsia"/>
                <w:color w:val="auto"/>
                <w:sz w:val="24"/>
              </w:rPr>
              <w:t>3-</w:t>
            </w:r>
            <w:r>
              <w:rPr>
                <w:rFonts w:hint="eastAsia"/>
                <w:color w:val="auto"/>
                <w:sz w:val="24"/>
                <w:lang w:val="en-US" w:eastAsia="zh-CN"/>
              </w:rPr>
              <w:t>5</w:t>
            </w:r>
            <w:r>
              <w:rPr>
                <w:rFonts w:hAnsi="宋体"/>
                <w:color w:val="auto"/>
                <w:sz w:val="24"/>
              </w:rPr>
              <w:t>。</w:t>
            </w:r>
          </w:p>
          <w:p w14:paraId="27F09B9C">
            <w:pPr>
              <w:tabs>
                <w:tab w:val="left" w:pos="1800"/>
              </w:tabs>
              <w:ind w:firstLine="482"/>
              <w:jc w:val="center"/>
              <w:rPr>
                <w:color w:val="auto"/>
              </w:rPr>
            </w:pPr>
            <w:r>
              <w:rPr>
                <w:rFonts w:hAnsi="宋体"/>
                <w:b/>
                <w:color w:val="auto"/>
                <w:sz w:val="24"/>
              </w:rPr>
              <w:t>表</w:t>
            </w:r>
            <w:r>
              <w:rPr>
                <w:rFonts w:hint="eastAsia"/>
                <w:b/>
                <w:color w:val="auto"/>
                <w:sz w:val="24"/>
              </w:rPr>
              <w:t>3-</w:t>
            </w:r>
            <w:r>
              <w:rPr>
                <w:rFonts w:hint="eastAsia"/>
                <w:b/>
                <w:color w:val="auto"/>
                <w:sz w:val="24"/>
                <w:lang w:val="en-US" w:eastAsia="zh-CN"/>
              </w:rPr>
              <w:t>5</w:t>
            </w:r>
            <w:r>
              <w:rPr>
                <w:rFonts w:hAnsi="宋体"/>
                <w:b/>
                <w:color w:val="auto"/>
                <w:sz w:val="24"/>
              </w:rPr>
              <w:t>餐饮业油烟排放标准表（试行）</w:t>
            </w:r>
          </w:p>
          <w:tbl>
            <w:tblPr>
              <w:tblStyle w:val="8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67"/>
              <w:gridCol w:w="901"/>
              <w:gridCol w:w="1156"/>
              <w:gridCol w:w="976"/>
              <w:gridCol w:w="2717"/>
            </w:tblGrid>
            <w:tr w14:paraId="551FA9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584" w:type="pct"/>
                  <w:vAlign w:val="center"/>
                </w:tcPr>
                <w:p w14:paraId="2B0D633C">
                  <w:pPr>
                    <w:pStyle w:val="14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规模</w:t>
                  </w:r>
                </w:p>
              </w:tc>
              <w:tc>
                <w:tcPr>
                  <w:tcW w:w="535" w:type="pct"/>
                  <w:vAlign w:val="center"/>
                </w:tcPr>
                <w:p w14:paraId="1E6F0334">
                  <w:pPr>
                    <w:pStyle w:val="14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小型</w:t>
                  </w:r>
                </w:p>
              </w:tc>
              <w:tc>
                <w:tcPr>
                  <w:tcW w:w="687" w:type="pct"/>
                  <w:shd w:val="pct10" w:color="auto" w:fill="E7E6E6" w:themeFill="background2"/>
                  <w:vAlign w:val="center"/>
                </w:tcPr>
                <w:p w14:paraId="2CAFC5E2">
                  <w:pPr>
                    <w:pStyle w:val="14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中型</w:t>
                  </w:r>
                </w:p>
              </w:tc>
              <w:tc>
                <w:tcPr>
                  <w:tcW w:w="580" w:type="pct"/>
                  <w:vAlign w:val="center"/>
                </w:tcPr>
                <w:p w14:paraId="5D976B4B">
                  <w:pPr>
                    <w:pStyle w:val="14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大型</w:t>
                  </w:r>
                </w:p>
              </w:tc>
              <w:tc>
                <w:tcPr>
                  <w:tcW w:w="1614" w:type="pct"/>
                  <w:vAlign w:val="center"/>
                </w:tcPr>
                <w:p w14:paraId="7EAAC14B">
                  <w:pPr>
                    <w:pStyle w:val="14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标准来源</w:t>
                  </w:r>
                </w:p>
              </w:tc>
            </w:tr>
            <w:tr w14:paraId="5A2A55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584" w:type="pct"/>
                  <w:vAlign w:val="center"/>
                </w:tcPr>
                <w:p w14:paraId="24BB0695">
                  <w:pPr>
                    <w:pStyle w:val="14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最高允许排放浓度（mg/m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1801" w:type="pct"/>
                  <w:gridSpan w:val="3"/>
                  <w:vAlign w:val="center"/>
                </w:tcPr>
                <w:p w14:paraId="5B90AE00">
                  <w:pPr>
                    <w:pStyle w:val="143"/>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1614" w:type="pct"/>
                  <w:vMerge w:val="restart"/>
                  <w:vAlign w:val="center"/>
                </w:tcPr>
                <w:p w14:paraId="63267533">
                  <w:pPr>
                    <w:pStyle w:val="143"/>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《饮食业油烟排放标准（试行）》（GB18483-2001）</w:t>
                  </w:r>
                </w:p>
              </w:tc>
            </w:tr>
            <w:tr w14:paraId="0F4506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584" w:type="pct"/>
                  <w:vAlign w:val="center"/>
                </w:tcPr>
                <w:p w14:paraId="55EC73C0">
                  <w:pPr>
                    <w:pStyle w:val="14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净化设施最低去除率（%）</w:t>
                  </w:r>
                </w:p>
              </w:tc>
              <w:tc>
                <w:tcPr>
                  <w:tcW w:w="535" w:type="pct"/>
                  <w:vAlign w:val="center"/>
                </w:tcPr>
                <w:p w14:paraId="19401AFB">
                  <w:pPr>
                    <w:pStyle w:val="143"/>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687" w:type="pct"/>
                  <w:shd w:val="pct10" w:color="auto" w:fill="E7E6E6" w:themeFill="background2"/>
                  <w:vAlign w:val="center"/>
                </w:tcPr>
                <w:p w14:paraId="778E8D13">
                  <w:pPr>
                    <w:pStyle w:val="143"/>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w:t>
                  </w:r>
                </w:p>
              </w:tc>
              <w:tc>
                <w:tcPr>
                  <w:tcW w:w="580" w:type="pct"/>
                  <w:vAlign w:val="center"/>
                </w:tcPr>
                <w:p w14:paraId="5F7614BF">
                  <w:pPr>
                    <w:pStyle w:val="143"/>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85</w:t>
                  </w:r>
                </w:p>
              </w:tc>
              <w:tc>
                <w:tcPr>
                  <w:tcW w:w="1614" w:type="pct"/>
                  <w:vMerge w:val="continue"/>
                </w:tcPr>
                <w:p w14:paraId="434E4451">
                  <w:pPr>
                    <w:pStyle w:val="143"/>
                    <w:adjustRightInd w:val="0"/>
                    <w:snapToGrid w:val="0"/>
                    <w:jc w:val="center"/>
                    <w:rPr>
                      <w:rFonts w:hint="default" w:ascii="Times New Roman" w:hAnsi="Times New Roman" w:cs="Times New Roman"/>
                      <w:color w:val="auto"/>
                      <w:sz w:val="21"/>
                      <w:szCs w:val="21"/>
                    </w:rPr>
                  </w:pPr>
                </w:p>
              </w:tc>
            </w:tr>
          </w:tbl>
          <w:p w14:paraId="0135C793">
            <w:pPr>
              <w:adjustRightInd w:val="0"/>
              <w:snapToGrid w:val="0"/>
              <w:spacing w:before="120" w:beforeLines="50" w:line="360" w:lineRule="auto"/>
              <w:ind w:firstLine="482" w:firstLineChars="200"/>
              <w:rPr>
                <w:b/>
                <w:color w:val="auto"/>
                <w:sz w:val="24"/>
              </w:rPr>
            </w:pPr>
            <w:r>
              <w:rPr>
                <w:b/>
                <w:color w:val="auto"/>
                <w:sz w:val="24"/>
              </w:rPr>
              <w:t>2、水污染排放标准</w:t>
            </w:r>
          </w:p>
          <w:p w14:paraId="3F881E0A">
            <w:pPr>
              <w:pStyle w:val="81"/>
              <w:adjustRightInd w:val="0"/>
              <w:snapToGrid w:val="0"/>
              <w:spacing w:before="0" w:beforeAutospacing="0" w:after="0" w:afterAutospacing="0" w:line="360" w:lineRule="auto"/>
              <w:ind w:firstLine="480" w:firstLineChars="200"/>
              <w:rPr>
                <w:rFonts w:ascii="Times New Roman" w:hAnsi="Times New Roman"/>
                <w:color w:val="auto"/>
                <w:kern w:val="2"/>
                <w:szCs w:val="24"/>
                <w:lang w:val="en-US"/>
              </w:rPr>
            </w:pPr>
            <w:r>
              <w:rPr>
                <w:rFonts w:hint="eastAsia" w:ascii="Times New Roman" w:hAnsi="Times New Roman"/>
                <w:color w:val="auto"/>
                <w:kern w:val="2"/>
                <w:szCs w:val="24"/>
                <w:lang w:val="en-US"/>
              </w:rPr>
              <w:t>项目无生产废水产生及排放，</w:t>
            </w:r>
            <w:r>
              <w:rPr>
                <w:rFonts w:hint="eastAsia"/>
                <w:color w:val="auto"/>
              </w:rPr>
              <w:t>产生的食堂废水经隔油池处理后，与生活污水一并经化粪池处理</w:t>
            </w:r>
            <w:r>
              <w:rPr>
                <w:rFonts w:hint="eastAsia"/>
                <w:color w:val="auto"/>
                <w:lang w:eastAsia="zh-CN"/>
              </w:rPr>
              <w:t>达</w:t>
            </w:r>
            <w:r>
              <w:rPr>
                <w:rFonts w:hint="eastAsia" w:ascii="Times New Roman" w:hAnsi="Times New Roman"/>
                <w:color w:val="auto"/>
                <w:kern w:val="2"/>
                <w:szCs w:val="24"/>
                <w:lang w:val="en-US"/>
              </w:rPr>
              <w:t>涟水经济开发区西区污水处理厂</w:t>
            </w:r>
            <w:r>
              <w:rPr>
                <w:rFonts w:hint="eastAsia" w:ascii="Times New Roman" w:hAnsi="Times New Roman"/>
                <w:color w:val="auto"/>
                <w:kern w:val="2"/>
                <w:szCs w:val="24"/>
                <w:lang w:val="en-US" w:eastAsia="zh-CN"/>
              </w:rPr>
              <w:t>接管标准后，接管至</w:t>
            </w:r>
            <w:r>
              <w:rPr>
                <w:rFonts w:hint="eastAsia" w:ascii="Times New Roman" w:hAnsi="Times New Roman"/>
                <w:color w:val="auto"/>
                <w:kern w:val="2"/>
                <w:szCs w:val="24"/>
                <w:lang w:val="en-US"/>
              </w:rPr>
              <w:t>涟水经济开发区西区污水处理厂</w:t>
            </w:r>
            <w:r>
              <w:rPr>
                <w:rFonts w:hint="eastAsia" w:ascii="Times New Roman" w:hAnsi="Times New Roman"/>
                <w:color w:val="auto"/>
                <w:kern w:val="2"/>
                <w:szCs w:val="24"/>
                <w:lang w:val="en-US" w:eastAsia="zh-CN"/>
              </w:rPr>
              <w:t>深度处理</w:t>
            </w:r>
            <w:r>
              <w:rPr>
                <w:rFonts w:hint="eastAsia" w:ascii="Times New Roman" w:hAnsi="Times New Roman"/>
                <w:color w:val="auto"/>
                <w:kern w:val="2"/>
                <w:szCs w:val="24"/>
                <w:lang w:val="en-US"/>
              </w:rPr>
              <w:t>，</w:t>
            </w:r>
            <w:r>
              <w:rPr>
                <w:rFonts w:hint="eastAsia" w:ascii="Times New Roman" w:hAnsi="Times New Roman"/>
                <w:color w:val="auto"/>
                <w:kern w:val="2"/>
                <w:szCs w:val="24"/>
                <w:lang w:val="en-US" w:eastAsia="zh-CN"/>
              </w:rPr>
              <w:t>处理达</w:t>
            </w:r>
            <w:r>
              <w:rPr>
                <w:rFonts w:hint="eastAsia" w:ascii="Times New Roman" w:hAnsi="Times New Roman"/>
                <w:color w:val="auto"/>
                <w:kern w:val="2"/>
                <w:szCs w:val="24"/>
              </w:rPr>
              <w:t>《城镇污水处理厂污染物排放标准》（GB18918-2002）中一级</w:t>
            </w:r>
            <w:r>
              <w:rPr>
                <w:rFonts w:hint="eastAsia" w:ascii="Times New Roman" w:hAnsi="Times New Roman"/>
                <w:color w:val="auto"/>
                <w:kern w:val="2"/>
                <w:szCs w:val="24"/>
                <w:lang w:val="en-US"/>
              </w:rPr>
              <w:t>A</w:t>
            </w:r>
            <w:r>
              <w:rPr>
                <w:rFonts w:hint="eastAsia" w:ascii="Times New Roman" w:hAnsi="Times New Roman"/>
                <w:color w:val="auto"/>
                <w:kern w:val="2"/>
                <w:szCs w:val="24"/>
              </w:rPr>
              <w:t>标准</w:t>
            </w:r>
            <w:r>
              <w:rPr>
                <w:rFonts w:hint="eastAsia" w:ascii="Times New Roman" w:hAnsi="Times New Roman"/>
                <w:color w:val="auto"/>
                <w:kern w:val="2"/>
                <w:szCs w:val="24"/>
                <w:lang w:eastAsia="zh-CN"/>
              </w:rPr>
              <w:t>后</w:t>
            </w:r>
            <w:r>
              <w:rPr>
                <w:rFonts w:hint="eastAsia" w:ascii="Times New Roman" w:hAnsi="Times New Roman"/>
                <w:color w:val="auto"/>
                <w:kern w:val="2"/>
                <w:szCs w:val="24"/>
              </w:rPr>
              <w:t>，尾水排入公兴河</w:t>
            </w:r>
            <w:r>
              <w:rPr>
                <w:rFonts w:hint="eastAsia" w:ascii="Times New Roman" w:hAnsi="Times New Roman"/>
                <w:color w:val="auto"/>
                <w:kern w:val="2"/>
                <w:szCs w:val="24"/>
                <w:lang w:val="en-US"/>
              </w:rPr>
              <w:t>。废水排放标准具体见下表。</w:t>
            </w:r>
          </w:p>
          <w:p w14:paraId="06CD073B">
            <w:pPr>
              <w:widowControl/>
              <w:adjustRightInd w:val="0"/>
              <w:snapToGrid w:val="0"/>
              <w:jc w:val="center"/>
              <w:rPr>
                <w:b/>
                <w:color w:val="auto"/>
                <w:kern w:val="0"/>
                <w:sz w:val="24"/>
                <w:szCs w:val="20"/>
              </w:rPr>
            </w:pPr>
            <w:r>
              <w:rPr>
                <w:b/>
                <w:color w:val="auto"/>
                <w:kern w:val="0"/>
                <w:sz w:val="24"/>
                <w:szCs w:val="20"/>
              </w:rPr>
              <w:t>表3</w:t>
            </w:r>
            <w:r>
              <w:rPr>
                <w:rFonts w:hint="eastAsia"/>
                <w:b/>
                <w:color w:val="auto"/>
                <w:kern w:val="0"/>
                <w:sz w:val="24"/>
                <w:szCs w:val="20"/>
              </w:rPr>
              <w:t>-</w:t>
            </w:r>
            <w:r>
              <w:rPr>
                <w:rFonts w:hint="eastAsia"/>
                <w:b/>
                <w:color w:val="auto"/>
                <w:kern w:val="0"/>
                <w:sz w:val="24"/>
                <w:szCs w:val="20"/>
                <w:lang w:val="en-US" w:eastAsia="zh-CN"/>
              </w:rPr>
              <w:t>6</w:t>
            </w:r>
            <w:r>
              <w:rPr>
                <w:rFonts w:hint="eastAsia"/>
                <w:b/>
                <w:color w:val="auto"/>
                <w:kern w:val="0"/>
                <w:sz w:val="24"/>
                <w:szCs w:val="20"/>
              </w:rPr>
              <w:t>涟水经济开发区西区污水处理厂接管标准和</w:t>
            </w:r>
            <w:r>
              <w:rPr>
                <w:b/>
                <w:color w:val="auto"/>
                <w:kern w:val="0"/>
                <w:sz w:val="24"/>
                <w:szCs w:val="20"/>
              </w:rPr>
              <w:t>尾水排放标准</w:t>
            </w:r>
            <w:r>
              <w:rPr>
                <w:rFonts w:hint="eastAsia"/>
                <w:b/>
                <w:color w:val="auto"/>
                <w:kern w:val="0"/>
                <w:sz w:val="24"/>
                <w:szCs w:val="20"/>
              </w:rPr>
              <w:t xml:space="preserve">  </w:t>
            </w:r>
            <w:r>
              <w:rPr>
                <w:rFonts w:hint="eastAsia"/>
                <w:b/>
                <w:bCs/>
                <w:color w:val="auto"/>
                <w:kern w:val="0"/>
                <w:szCs w:val="21"/>
              </w:rPr>
              <w:t>单位</w:t>
            </w:r>
            <w:r>
              <w:rPr>
                <w:b/>
                <w:bCs/>
                <w:color w:val="auto"/>
                <w:kern w:val="0"/>
                <w:szCs w:val="21"/>
              </w:rPr>
              <w:t>：</w:t>
            </w:r>
            <w:r>
              <w:rPr>
                <w:rFonts w:hint="eastAsia"/>
                <w:b/>
                <w:bCs/>
                <w:color w:val="auto"/>
                <w:kern w:val="0"/>
                <w:szCs w:val="21"/>
              </w:rPr>
              <w:t>mg/L</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7" w:type="dxa"/>
                <w:bottom w:w="0" w:type="dxa"/>
                <w:right w:w="17" w:type="dxa"/>
              </w:tblCellMar>
            </w:tblPr>
            <w:tblGrid>
              <w:gridCol w:w="1826"/>
              <w:gridCol w:w="780"/>
              <w:gridCol w:w="915"/>
              <w:gridCol w:w="975"/>
              <w:gridCol w:w="1231"/>
              <w:gridCol w:w="960"/>
              <w:gridCol w:w="853"/>
              <w:gridCol w:w="877"/>
            </w:tblGrid>
            <w:tr w14:paraId="296855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1083" w:type="pct"/>
                  <w:vAlign w:val="center"/>
                </w:tcPr>
                <w:p w14:paraId="720867C0">
                  <w:pPr>
                    <w:keepNext w:val="0"/>
                    <w:keepLines w:val="0"/>
                    <w:pageBreakBefore w:val="0"/>
                    <w:widowControl/>
                    <w:kinsoku/>
                    <w:wordWrap/>
                    <w:overflowPunct/>
                    <w:topLinePunct w:val="0"/>
                    <w:autoSpaceDE/>
                    <w:autoSpaceDN/>
                    <w:bidi w:val="0"/>
                    <w:adjustRightInd w:val="0"/>
                    <w:snapToGrid w:val="0"/>
                    <w:ind w:firstLine="0"/>
                    <w:jc w:val="center"/>
                    <w:textAlignment w:val="auto"/>
                    <w:rPr>
                      <w:b/>
                      <w:color w:val="auto"/>
                      <w:kern w:val="0"/>
                      <w:szCs w:val="21"/>
                    </w:rPr>
                  </w:pPr>
                  <w:r>
                    <w:rPr>
                      <w:b/>
                      <w:color w:val="auto"/>
                      <w:kern w:val="0"/>
                      <w:szCs w:val="21"/>
                    </w:rPr>
                    <w:t>项目</w:t>
                  </w:r>
                </w:p>
              </w:tc>
              <w:tc>
                <w:tcPr>
                  <w:tcW w:w="463" w:type="pct"/>
                  <w:vAlign w:val="center"/>
                </w:tcPr>
                <w:p w14:paraId="2C6D871E">
                  <w:pPr>
                    <w:keepNext w:val="0"/>
                    <w:keepLines w:val="0"/>
                    <w:pageBreakBefore w:val="0"/>
                    <w:widowControl/>
                    <w:kinsoku/>
                    <w:wordWrap/>
                    <w:overflowPunct/>
                    <w:topLinePunct w:val="0"/>
                    <w:autoSpaceDE/>
                    <w:autoSpaceDN/>
                    <w:bidi w:val="0"/>
                    <w:adjustRightInd w:val="0"/>
                    <w:snapToGrid w:val="0"/>
                    <w:ind w:firstLine="0"/>
                    <w:jc w:val="center"/>
                    <w:textAlignment w:val="auto"/>
                    <w:rPr>
                      <w:b/>
                      <w:color w:val="auto"/>
                      <w:kern w:val="0"/>
                      <w:szCs w:val="21"/>
                    </w:rPr>
                  </w:pPr>
                  <w:r>
                    <w:rPr>
                      <w:b/>
                      <w:color w:val="auto"/>
                      <w:kern w:val="0"/>
                      <w:szCs w:val="21"/>
                    </w:rPr>
                    <w:t>pH</w:t>
                  </w:r>
                </w:p>
              </w:tc>
              <w:tc>
                <w:tcPr>
                  <w:tcW w:w="543" w:type="pct"/>
                  <w:vAlign w:val="center"/>
                </w:tcPr>
                <w:p w14:paraId="09927774">
                  <w:pPr>
                    <w:keepNext w:val="0"/>
                    <w:keepLines w:val="0"/>
                    <w:pageBreakBefore w:val="0"/>
                    <w:widowControl/>
                    <w:kinsoku/>
                    <w:wordWrap/>
                    <w:overflowPunct/>
                    <w:topLinePunct w:val="0"/>
                    <w:autoSpaceDE/>
                    <w:autoSpaceDN/>
                    <w:bidi w:val="0"/>
                    <w:adjustRightInd w:val="0"/>
                    <w:snapToGrid w:val="0"/>
                    <w:ind w:firstLine="0"/>
                    <w:jc w:val="center"/>
                    <w:textAlignment w:val="auto"/>
                    <w:rPr>
                      <w:b/>
                      <w:color w:val="auto"/>
                      <w:kern w:val="0"/>
                      <w:szCs w:val="21"/>
                    </w:rPr>
                  </w:pPr>
                  <w:r>
                    <w:rPr>
                      <w:b/>
                      <w:color w:val="auto"/>
                      <w:kern w:val="0"/>
                      <w:szCs w:val="21"/>
                    </w:rPr>
                    <w:t>COD</w:t>
                  </w:r>
                </w:p>
              </w:tc>
              <w:tc>
                <w:tcPr>
                  <w:tcW w:w="579" w:type="pct"/>
                  <w:vAlign w:val="center"/>
                </w:tcPr>
                <w:p w14:paraId="0ABCCCB4">
                  <w:pPr>
                    <w:keepNext w:val="0"/>
                    <w:keepLines w:val="0"/>
                    <w:pageBreakBefore w:val="0"/>
                    <w:widowControl/>
                    <w:kinsoku/>
                    <w:wordWrap/>
                    <w:overflowPunct/>
                    <w:topLinePunct w:val="0"/>
                    <w:autoSpaceDE/>
                    <w:autoSpaceDN/>
                    <w:bidi w:val="0"/>
                    <w:adjustRightInd w:val="0"/>
                    <w:snapToGrid w:val="0"/>
                    <w:ind w:firstLine="0"/>
                    <w:jc w:val="center"/>
                    <w:textAlignment w:val="auto"/>
                    <w:rPr>
                      <w:b/>
                      <w:color w:val="auto"/>
                      <w:kern w:val="0"/>
                      <w:szCs w:val="21"/>
                    </w:rPr>
                  </w:pPr>
                  <w:r>
                    <w:rPr>
                      <w:b/>
                      <w:color w:val="auto"/>
                      <w:kern w:val="0"/>
                      <w:szCs w:val="21"/>
                    </w:rPr>
                    <w:t>SS</w:t>
                  </w:r>
                </w:p>
              </w:tc>
              <w:tc>
                <w:tcPr>
                  <w:tcW w:w="730" w:type="pct"/>
                  <w:vAlign w:val="center"/>
                </w:tcPr>
                <w:p w14:paraId="269C635E">
                  <w:pPr>
                    <w:keepNext w:val="0"/>
                    <w:keepLines w:val="0"/>
                    <w:pageBreakBefore w:val="0"/>
                    <w:widowControl/>
                    <w:kinsoku/>
                    <w:wordWrap/>
                    <w:overflowPunct/>
                    <w:topLinePunct w:val="0"/>
                    <w:autoSpaceDE/>
                    <w:autoSpaceDN/>
                    <w:bidi w:val="0"/>
                    <w:adjustRightInd w:val="0"/>
                    <w:snapToGrid w:val="0"/>
                    <w:ind w:firstLine="0"/>
                    <w:jc w:val="center"/>
                    <w:textAlignment w:val="auto"/>
                    <w:rPr>
                      <w:b/>
                      <w:color w:val="auto"/>
                      <w:kern w:val="0"/>
                      <w:szCs w:val="21"/>
                    </w:rPr>
                  </w:pPr>
                  <w:r>
                    <w:rPr>
                      <w:b/>
                      <w:color w:val="auto"/>
                      <w:kern w:val="0"/>
                      <w:szCs w:val="21"/>
                    </w:rPr>
                    <w:t>氨氮</w:t>
                  </w:r>
                </w:p>
              </w:tc>
              <w:tc>
                <w:tcPr>
                  <w:tcW w:w="570" w:type="pct"/>
                  <w:vAlign w:val="center"/>
                </w:tcPr>
                <w:p w14:paraId="790DF78C">
                  <w:pPr>
                    <w:keepNext w:val="0"/>
                    <w:keepLines w:val="0"/>
                    <w:pageBreakBefore w:val="0"/>
                    <w:widowControl/>
                    <w:kinsoku/>
                    <w:wordWrap/>
                    <w:overflowPunct/>
                    <w:topLinePunct w:val="0"/>
                    <w:autoSpaceDE/>
                    <w:autoSpaceDN/>
                    <w:bidi w:val="0"/>
                    <w:adjustRightInd w:val="0"/>
                    <w:snapToGrid w:val="0"/>
                    <w:ind w:firstLine="0"/>
                    <w:jc w:val="center"/>
                    <w:textAlignment w:val="auto"/>
                    <w:rPr>
                      <w:b/>
                      <w:color w:val="auto"/>
                      <w:kern w:val="0"/>
                      <w:szCs w:val="21"/>
                    </w:rPr>
                  </w:pPr>
                  <w:r>
                    <w:rPr>
                      <w:b/>
                      <w:color w:val="auto"/>
                      <w:kern w:val="0"/>
                      <w:szCs w:val="21"/>
                    </w:rPr>
                    <w:t>总磷</w:t>
                  </w:r>
                </w:p>
              </w:tc>
              <w:tc>
                <w:tcPr>
                  <w:tcW w:w="507" w:type="pct"/>
                  <w:vAlign w:val="center"/>
                </w:tcPr>
                <w:p w14:paraId="4EE83D41">
                  <w:pPr>
                    <w:keepNext w:val="0"/>
                    <w:keepLines w:val="0"/>
                    <w:pageBreakBefore w:val="0"/>
                    <w:widowControl/>
                    <w:kinsoku/>
                    <w:wordWrap/>
                    <w:overflowPunct/>
                    <w:topLinePunct w:val="0"/>
                    <w:autoSpaceDE/>
                    <w:autoSpaceDN/>
                    <w:bidi w:val="0"/>
                    <w:adjustRightInd w:val="0"/>
                    <w:snapToGrid w:val="0"/>
                    <w:ind w:firstLine="0"/>
                    <w:jc w:val="center"/>
                    <w:textAlignment w:val="auto"/>
                    <w:rPr>
                      <w:b/>
                      <w:color w:val="auto"/>
                      <w:kern w:val="0"/>
                      <w:szCs w:val="21"/>
                    </w:rPr>
                  </w:pPr>
                  <w:r>
                    <w:rPr>
                      <w:b/>
                      <w:color w:val="auto"/>
                      <w:kern w:val="0"/>
                      <w:szCs w:val="21"/>
                    </w:rPr>
                    <w:t>总氮</w:t>
                  </w:r>
                </w:p>
              </w:tc>
              <w:tc>
                <w:tcPr>
                  <w:tcW w:w="521" w:type="pct"/>
                  <w:vAlign w:val="center"/>
                </w:tcPr>
                <w:p w14:paraId="37C947AF">
                  <w:pPr>
                    <w:keepNext w:val="0"/>
                    <w:keepLines w:val="0"/>
                    <w:pageBreakBefore w:val="0"/>
                    <w:widowControl/>
                    <w:kinsoku/>
                    <w:wordWrap/>
                    <w:overflowPunct/>
                    <w:topLinePunct w:val="0"/>
                    <w:autoSpaceDE/>
                    <w:autoSpaceDN/>
                    <w:bidi w:val="0"/>
                    <w:adjustRightInd w:val="0"/>
                    <w:snapToGrid w:val="0"/>
                    <w:ind w:firstLine="0"/>
                    <w:jc w:val="center"/>
                    <w:textAlignment w:val="auto"/>
                    <w:rPr>
                      <w:b/>
                      <w:color w:val="auto"/>
                      <w:kern w:val="0"/>
                      <w:szCs w:val="21"/>
                    </w:rPr>
                  </w:pPr>
                  <w:r>
                    <w:rPr>
                      <w:rFonts w:hint="eastAsia"/>
                      <w:b/>
                      <w:color w:val="auto"/>
                      <w:kern w:val="0"/>
                      <w:szCs w:val="21"/>
                    </w:rPr>
                    <w:t>动植物油</w:t>
                  </w:r>
                </w:p>
              </w:tc>
            </w:tr>
            <w:tr w14:paraId="23B11A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1083" w:type="pct"/>
                  <w:vAlign w:val="center"/>
                </w:tcPr>
                <w:p w14:paraId="09525028">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接管标准</w:t>
                  </w:r>
                </w:p>
              </w:tc>
              <w:tc>
                <w:tcPr>
                  <w:tcW w:w="463" w:type="pct"/>
                  <w:vAlign w:val="center"/>
                </w:tcPr>
                <w:p w14:paraId="722123B4">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6-9</w:t>
                  </w:r>
                </w:p>
              </w:tc>
              <w:tc>
                <w:tcPr>
                  <w:tcW w:w="543" w:type="pct"/>
                  <w:vAlign w:val="center"/>
                </w:tcPr>
                <w:p w14:paraId="5EDB1B52">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≤50</w:t>
                  </w:r>
                  <w:r>
                    <w:rPr>
                      <w:color w:val="auto"/>
                      <w:kern w:val="0"/>
                      <w:szCs w:val="21"/>
                    </w:rPr>
                    <w:t>0</w:t>
                  </w:r>
                </w:p>
              </w:tc>
              <w:tc>
                <w:tcPr>
                  <w:tcW w:w="579" w:type="pct"/>
                  <w:vAlign w:val="center"/>
                </w:tcPr>
                <w:p w14:paraId="4E1A57F8">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≤4</w:t>
                  </w:r>
                  <w:r>
                    <w:rPr>
                      <w:color w:val="auto"/>
                      <w:kern w:val="0"/>
                      <w:szCs w:val="21"/>
                    </w:rPr>
                    <w:t>00</w:t>
                  </w:r>
                </w:p>
              </w:tc>
              <w:tc>
                <w:tcPr>
                  <w:tcW w:w="730" w:type="pct"/>
                  <w:vAlign w:val="center"/>
                </w:tcPr>
                <w:p w14:paraId="023342D5">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w:t>
                  </w:r>
                  <w:r>
                    <w:rPr>
                      <w:color w:val="auto"/>
                      <w:kern w:val="0"/>
                      <w:szCs w:val="21"/>
                    </w:rPr>
                    <w:t>3</w:t>
                  </w:r>
                  <w:r>
                    <w:rPr>
                      <w:rFonts w:hint="eastAsia"/>
                      <w:color w:val="auto"/>
                      <w:kern w:val="0"/>
                      <w:szCs w:val="21"/>
                    </w:rPr>
                    <w:t>0</w:t>
                  </w:r>
                </w:p>
              </w:tc>
              <w:tc>
                <w:tcPr>
                  <w:tcW w:w="570" w:type="pct"/>
                  <w:vAlign w:val="center"/>
                </w:tcPr>
                <w:p w14:paraId="7858B9D3">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≤8.0</w:t>
                  </w:r>
                </w:p>
              </w:tc>
              <w:tc>
                <w:tcPr>
                  <w:tcW w:w="507" w:type="pct"/>
                  <w:vAlign w:val="center"/>
                </w:tcPr>
                <w:p w14:paraId="140DC208">
                  <w:pPr>
                    <w:keepNext w:val="0"/>
                    <w:keepLines w:val="0"/>
                    <w:pageBreakBefore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≤45</w:t>
                  </w:r>
                </w:p>
              </w:tc>
              <w:tc>
                <w:tcPr>
                  <w:tcW w:w="521" w:type="pct"/>
                  <w:vAlign w:val="center"/>
                </w:tcPr>
                <w:p w14:paraId="430D3D16">
                  <w:pPr>
                    <w:keepNext w:val="0"/>
                    <w:keepLines w:val="0"/>
                    <w:pageBreakBefore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≤100</w:t>
                  </w:r>
                </w:p>
              </w:tc>
            </w:tr>
            <w:tr w14:paraId="6C60A0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1083" w:type="pct"/>
                  <w:vAlign w:val="center"/>
                </w:tcPr>
                <w:p w14:paraId="25656517">
                  <w:pPr>
                    <w:keepNext w:val="0"/>
                    <w:keepLines w:val="0"/>
                    <w:pageBreakBefore w:val="0"/>
                    <w:widowControl/>
                    <w:kinsoku/>
                    <w:wordWrap/>
                    <w:overflowPunct/>
                    <w:topLinePunct w:val="0"/>
                    <w:autoSpaceDE/>
                    <w:autoSpaceDN/>
                    <w:bidi w:val="0"/>
                    <w:adjustRightInd w:val="0"/>
                    <w:snapToGrid w:val="0"/>
                    <w:ind w:firstLine="0"/>
                    <w:jc w:val="center"/>
                    <w:textAlignment w:val="auto"/>
                    <w:rPr>
                      <w:bCs/>
                      <w:color w:val="auto"/>
                      <w:kern w:val="0"/>
                      <w:szCs w:val="21"/>
                    </w:rPr>
                  </w:pPr>
                  <w:r>
                    <w:rPr>
                      <w:bCs/>
                      <w:color w:val="auto"/>
                      <w:kern w:val="0"/>
                      <w:szCs w:val="21"/>
                    </w:rPr>
                    <w:t>尾水排放标准</w:t>
                  </w:r>
                </w:p>
              </w:tc>
              <w:tc>
                <w:tcPr>
                  <w:tcW w:w="463" w:type="pct"/>
                  <w:vAlign w:val="center"/>
                </w:tcPr>
                <w:p w14:paraId="28D39C9D">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6-9</w:t>
                  </w:r>
                </w:p>
              </w:tc>
              <w:tc>
                <w:tcPr>
                  <w:tcW w:w="543" w:type="pct"/>
                  <w:vAlign w:val="center"/>
                </w:tcPr>
                <w:p w14:paraId="3E7176D8">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w:t>
                  </w:r>
                  <w:r>
                    <w:rPr>
                      <w:color w:val="auto"/>
                      <w:kern w:val="0"/>
                      <w:szCs w:val="21"/>
                    </w:rPr>
                    <w:t>50</w:t>
                  </w:r>
                </w:p>
              </w:tc>
              <w:tc>
                <w:tcPr>
                  <w:tcW w:w="579" w:type="pct"/>
                  <w:vAlign w:val="center"/>
                </w:tcPr>
                <w:p w14:paraId="26AE3170">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w:t>
                  </w:r>
                  <w:r>
                    <w:rPr>
                      <w:color w:val="auto"/>
                      <w:kern w:val="0"/>
                      <w:szCs w:val="21"/>
                    </w:rPr>
                    <w:t>10</w:t>
                  </w:r>
                </w:p>
              </w:tc>
              <w:tc>
                <w:tcPr>
                  <w:tcW w:w="730" w:type="pct"/>
                  <w:vAlign w:val="center"/>
                </w:tcPr>
                <w:p w14:paraId="07CB6781">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w:t>
                  </w:r>
                  <w:r>
                    <w:rPr>
                      <w:color w:val="auto"/>
                      <w:kern w:val="0"/>
                      <w:szCs w:val="21"/>
                    </w:rPr>
                    <w:t>5</w:t>
                  </w:r>
                  <w:r>
                    <w:rPr>
                      <w:rFonts w:hint="eastAsia"/>
                      <w:color w:val="auto"/>
                      <w:kern w:val="0"/>
                      <w:szCs w:val="21"/>
                      <w:lang w:eastAsia="zh-CN"/>
                    </w:rPr>
                    <w:t>(</w:t>
                  </w:r>
                  <w:r>
                    <w:rPr>
                      <w:color w:val="auto"/>
                      <w:kern w:val="0"/>
                      <w:szCs w:val="21"/>
                    </w:rPr>
                    <w:t>8</w:t>
                  </w:r>
                  <w:r>
                    <w:rPr>
                      <w:rFonts w:hint="eastAsia"/>
                      <w:color w:val="auto"/>
                      <w:kern w:val="0"/>
                      <w:szCs w:val="21"/>
                      <w:lang w:eastAsia="zh-CN"/>
                    </w:rPr>
                    <w:t>)</w:t>
                  </w:r>
                </w:p>
              </w:tc>
              <w:tc>
                <w:tcPr>
                  <w:tcW w:w="570" w:type="pct"/>
                  <w:vAlign w:val="center"/>
                </w:tcPr>
                <w:p w14:paraId="217D0F92">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w:t>
                  </w:r>
                  <w:r>
                    <w:rPr>
                      <w:color w:val="auto"/>
                      <w:kern w:val="0"/>
                      <w:szCs w:val="21"/>
                    </w:rPr>
                    <w:t>0.5</w:t>
                  </w:r>
                </w:p>
              </w:tc>
              <w:tc>
                <w:tcPr>
                  <w:tcW w:w="507" w:type="pct"/>
                  <w:vAlign w:val="center"/>
                </w:tcPr>
                <w:p w14:paraId="5CD97030">
                  <w:pPr>
                    <w:keepNext w:val="0"/>
                    <w:keepLines w:val="0"/>
                    <w:pageBreakBefore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w:t>
                  </w:r>
                  <w:r>
                    <w:rPr>
                      <w:color w:val="auto"/>
                      <w:kern w:val="0"/>
                      <w:szCs w:val="21"/>
                    </w:rPr>
                    <w:t>15</w:t>
                  </w:r>
                </w:p>
              </w:tc>
              <w:tc>
                <w:tcPr>
                  <w:tcW w:w="521" w:type="pct"/>
                  <w:vAlign w:val="center"/>
                </w:tcPr>
                <w:p w14:paraId="612E200B">
                  <w:pPr>
                    <w:keepNext w:val="0"/>
                    <w:keepLines w:val="0"/>
                    <w:pageBreakBefore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≤1</w:t>
                  </w:r>
                </w:p>
              </w:tc>
            </w:tr>
          </w:tbl>
          <w:p w14:paraId="147EE7A8">
            <w:pPr>
              <w:widowControl/>
              <w:adjustRightInd w:val="0"/>
              <w:snapToGrid w:val="0"/>
              <w:ind w:firstLine="420" w:firstLineChars="200"/>
              <w:jc w:val="left"/>
              <w:rPr>
                <w:rFonts w:hAnsi="宋体"/>
                <w:color w:val="auto"/>
                <w:kern w:val="0"/>
                <w:szCs w:val="21"/>
              </w:rPr>
            </w:pPr>
            <w:r>
              <w:rPr>
                <w:rFonts w:hint="eastAsia" w:hAnsi="宋体"/>
                <w:color w:val="auto"/>
                <w:kern w:val="0"/>
                <w:szCs w:val="21"/>
              </w:rPr>
              <w:t>注</w:t>
            </w:r>
            <w:r>
              <w:rPr>
                <w:rFonts w:hAnsi="宋体"/>
                <w:color w:val="auto"/>
                <w:kern w:val="0"/>
                <w:szCs w:val="21"/>
              </w:rPr>
              <w:t>：</w:t>
            </w:r>
            <w:r>
              <w:rPr>
                <w:bCs/>
                <w:color w:val="auto"/>
                <w:szCs w:val="21"/>
              </w:rPr>
              <w:t>括号外数值为水温＞12</w:t>
            </w:r>
            <w:r>
              <w:rPr>
                <w:rFonts w:hint="eastAsia" w:ascii="宋体" w:hAnsi="宋体" w:cs="宋体"/>
                <w:bCs/>
                <w:color w:val="auto"/>
                <w:szCs w:val="21"/>
                <w:lang w:eastAsia="ja-JP"/>
              </w:rPr>
              <w:t>℃</w:t>
            </w:r>
            <w:r>
              <w:rPr>
                <w:bCs/>
                <w:color w:val="auto"/>
                <w:szCs w:val="21"/>
              </w:rPr>
              <w:t>时的控制指标，括号内数值为水温≤12</w:t>
            </w:r>
            <w:r>
              <w:rPr>
                <w:rFonts w:hint="eastAsia" w:ascii="宋体" w:hAnsi="宋体" w:cs="宋体"/>
                <w:bCs/>
                <w:color w:val="auto"/>
                <w:szCs w:val="21"/>
                <w:lang w:eastAsia="ja-JP"/>
              </w:rPr>
              <w:t>℃</w:t>
            </w:r>
            <w:r>
              <w:rPr>
                <w:bCs/>
                <w:color w:val="auto"/>
                <w:szCs w:val="21"/>
              </w:rPr>
              <w:t>时的控制指标。</w:t>
            </w:r>
          </w:p>
          <w:p w14:paraId="629563A1">
            <w:pPr>
              <w:adjustRightInd w:val="0"/>
              <w:snapToGrid w:val="0"/>
              <w:spacing w:before="120" w:beforeLines="50" w:line="360" w:lineRule="auto"/>
              <w:ind w:firstLine="482" w:firstLineChars="200"/>
              <w:rPr>
                <w:b/>
                <w:color w:val="auto"/>
                <w:sz w:val="24"/>
              </w:rPr>
            </w:pPr>
            <w:r>
              <w:rPr>
                <w:b/>
                <w:color w:val="auto"/>
                <w:sz w:val="24"/>
              </w:rPr>
              <w:t>3.噪声排放标准</w:t>
            </w:r>
          </w:p>
          <w:p w14:paraId="4277A49A">
            <w:pPr>
              <w:pStyle w:val="81"/>
              <w:adjustRightInd w:val="0"/>
              <w:snapToGrid w:val="0"/>
              <w:spacing w:before="0" w:beforeAutospacing="0" w:after="0" w:afterAutospacing="0" w:line="360" w:lineRule="auto"/>
              <w:ind w:firstLine="480" w:firstLineChars="200"/>
              <w:rPr>
                <w:rFonts w:ascii="Times New Roman" w:hAnsi="Times New Roman"/>
                <w:color w:val="auto"/>
                <w:kern w:val="2"/>
                <w:szCs w:val="24"/>
                <w:lang w:val="en-US"/>
              </w:rPr>
            </w:pPr>
            <w:r>
              <w:rPr>
                <w:rFonts w:hint="eastAsia" w:ascii="Times New Roman" w:hAnsi="Times New Roman"/>
                <w:color w:val="auto"/>
                <w:kern w:val="2"/>
                <w:szCs w:val="24"/>
                <w:lang w:val="en-US"/>
              </w:rPr>
              <w:t>项目施工期场界噪声排放标准执行《建筑施工场界环境噪声排放标准》（GB12523-2011）标准，运营期间</w:t>
            </w:r>
            <w:r>
              <w:rPr>
                <w:rFonts w:ascii="Times New Roman" w:hAnsi="Times New Roman"/>
                <w:color w:val="auto"/>
                <w:kern w:val="2"/>
                <w:szCs w:val="24"/>
                <w:lang w:val="en-US"/>
              </w:rPr>
              <w:t>厂界</w:t>
            </w:r>
            <w:r>
              <w:rPr>
                <w:rFonts w:hint="eastAsia" w:ascii="Times New Roman" w:hAnsi="Times New Roman"/>
                <w:color w:val="auto"/>
                <w:kern w:val="2"/>
                <w:szCs w:val="24"/>
                <w:lang w:val="en-US"/>
              </w:rPr>
              <w:t>四周</w:t>
            </w:r>
            <w:r>
              <w:rPr>
                <w:rFonts w:ascii="Times New Roman" w:hAnsi="Times New Roman"/>
                <w:color w:val="auto"/>
                <w:kern w:val="2"/>
                <w:szCs w:val="24"/>
                <w:lang w:val="en-US"/>
              </w:rPr>
              <w:t>噪声执行《工业企业厂界环境噪声排放标准》（GB12348-2008）</w:t>
            </w:r>
            <w:r>
              <w:rPr>
                <w:rFonts w:hint="eastAsia" w:ascii="Times New Roman" w:hAnsi="Times New Roman"/>
                <w:color w:val="auto"/>
                <w:kern w:val="2"/>
                <w:szCs w:val="24"/>
                <w:lang w:val="en-US"/>
              </w:rPr>
              <w:t>3</w:t>
            </w:r>
            <w:r>
              <w:rPr>
                <w:rFonts w:ascii="Times New Roman" w:hAnsi="Times New Roman"/>
                <w:color w:val="auto"/>
                <w:kern w:val="2"/>
                <w:szCs w:val="24"/>
                <w:lang w:val="en-US"/>
              </w:rPr>
              <w:t>类标准，具体见表</w:t>
            </w:r>
            <w:r>
              <w:rPr>
                <w:rFonts w:hint="eastAsia" w:ascii="Times New Roman" w:hAnsi="Times New Roman"/>
                <w:color w:val="auto"/>
                <w:kern w:val="2"/>
                <w:szCs w:val="24"/>
                <w:lang w:val="en-US"/>
              </w:rPr>
              <w:t>3-</w:t>
            </w:r>
            <w:r>
              <w:rPr>
                <w:rFonts w:hint="eastAsia" w:ascii="Times New Roman" w:hAnsi="Times New Roman"/>
                <w:color w:val="auto"/>
                <w:kern w:val="2"/>
                <w:szCs w:val="24"/>
                <w:lang w:val="en-US" w:eastAsia="zh-CN"/>
              </w:rPr>
              <w:t>7</w:t>
            </w:r>
            <w:r>
              <w:rPr>
                <w:rFonts w:hint="eastAsia" w:ascii="Times New Roman" w:hAnsi="Times New Roman"/>
                <w:color w:val="auto"/>
                <w:kern w:val="2"/>
                <w:szCs w:val="24"/>
                <w:lang w:val="en-US"/>
              </w:rPr>
              <w:t>、</w:t>
            </w:r>
            <w:r>
              <w:rPr>
                <w:rFonts w:ascii="Times New Roman" w:hAnsi="Times New Roman"/>
                <w:color w:val="auto"/>
                <w:kern w:val="2"/>
                <w:szCs w:val="24"/>
                <w:lang w:val="en-US"/>
              </w:rPr>
              <w:t>3-</w:t>
            </w:r>
            <w:r>
              <w:rPr>
                <w:rFonts w:hint="eastAsia" w:ascii="Times New Roman" w:hAnsi="Times New Roman"/>
                <w:color w:val="auto"/>
                <w:kern w:val="2"/>
                <w:szCs w:val="24"/>
                <w:lang w:val="en-US" w:eastAsia="zh-CN"/>
              </w:rPr>
              <w:t>8</w:t>
            </w:r>
            <w:r>
              <w:rPr>
                <w:rFonts w:ascii="Times New Roman" w:hAnsi="Times New Roman"/>
                <w:color w:val="auto"/>
                <w:kern w:val="2"/>
                <w:szCs w:val="24"/>
                <w:lang w:val="en-US"/>
              </w:rPr>
              <w:t>。</w:t>
            </w:r>
          </w:p>
          <w:p w14:paraId="7042F9DC">
            <w:pPr>
              <w:ind w:firstLine="482"/>
              <w:jc w:val="center"/>
              <w:rPr>
                <w:b/>
                <w:color w:val="auto"/>
                <w:sz w:val="24"/>
              </w:rPr>
            </w:pPr>
          </w:p>
          <w:p w14:paraId="60A16C01">
            <w:pPr>
              <w:ind w:firstLine="482"/>
              <w:jc w:val="center"/>
              <w:rPr>
                <w:b/>
                <w:color w:val="auto"/>
                <w:sz w:val="24"/>
              </w:rPr>
            </w:pPr>
            <w:r>
              <w:rPr>
                <w:b/>
                <w:color w:val="auto"/>
                <w:sz w:val="24"/>
              </w:rPr>
              <w:t>表3-</w:t>
            </w:r>
            <w:r>
              <w:rPr>
                <w:rFonts w:hint="eastAsia"/>
                <w:b/>
                <w:color w:val="auto"/>
                <w:sz w:val="24"/>
                <w:lang w:val="en-US" w:eastAsia="zh-CN"/>
              </w:rPr>
              <w:t>7</w:t>
            </w:r>
            <w:r>
              <w:rPr>
                <w:b/>
                <w:color w:val="auto"/>
                <w:sz w:val="24"/>
              </w:rPr>
              <w:t>施工期场界噪声排放标准</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04"/>
              <w:gridCol w:w="2805"/>
              <w:gridCol w:w="2805"/>
            </w:tblGrid>
            <w:tr w14:paraId="65E03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0" w:type="dxa"/>
                  <w:tcBorders>
                    <w:tl2br w:val="nil"/>
                    <w:tr2bl w:val="nil"/>
                  </w:tcBorders>
                  <w:vAlign w:val="center"/>
                </w:tcPr>
                <w:p w14:paraId="2643B5C2">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工段</w:t>
                  </w:r>
                </w:p>
              </w:tc>
              <w:tc>
                <w:tcPr>
                  <w:tcW w:w="2802" w:type="dxa"/>
                  <w:tcBorders>
                    <w:tl2br w:val="nil"/>
                    <w:tr2bl w:val="nil"/>
                  </w:tcBorders>
                  <w:vAlign w:val="center"/>
                </w:tcPr>
                <w:p w14:paraId="26E2BAB9">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昼间dB（A）</w:t>
                  </w:r>
                </w:p>
              </w:tc>
              <w:tc>
                <w:tcPr>
                  <w:tcW w:w="2802" w:type="dxa"/>
                  <w:tcBorders>
                    <w:tl2br w:val="nil"/>
                    <w:tr2bl w:val="nil"/>
                  </w:tcBorders>
                  <w:vAlign w:val="center"/>
                </w:tcPr>
                <w:p w14:paraId="4D836B29">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夜间dB（A）</w:t>
                  </w:r>
                </w:p>
              </w:tc>
            </w:tr>
            <w:tr w14:paraId="36897E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0" w:type="dxa"/>
                  <w:tcBorders>
                    <w:tl2br w:val="nil"/>
                    <w:tr2bl w:val="nil"/>
                  </w:tcBorders>
                  <w:vAlign w:val="center"/>
                </w:tcPr>
                <w:p w14:paraId="75B14180">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施工期</w:t>
                  </w:r>
                </w:p>
              </w:tc>
              <w:tc>
                <w:tcPr>
                  <w:tcW w:w="2802" w:type="dxa"/>
                  <w:tcBorders>
                    <w:tl2br w:val="nil"/>
                    <w:tr2bl w:val="nil"/>
                  </w:tcBorders>
                  <w:vAlign w:val="center"/>
                </w:tcPr>
                <w:p w14:paraId="2E4CCA1E">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70</w:t>
                  </w:r>
                </w:p>
              </w:tc>
              <w:tc>
                <w:tcPr>
                  <w:tcW w:w="2802" w:type="dxa"/>
                  <w:tcBorders>
                    <w:tl2br w:val="nil"/>
                    <w:tr2bl w:val="nil"/>
                  </w:tcBorders>
                  <w:vAlign w:val="center"/>
                </w:tcPr>
                <w:p w14:paraId="1FFA9A74">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55</w:t>
                  </w:r>
                </w:p>
              </w:tc>
            </w:tr>
          </w:tbl>
          <w:p w14:paraId="36ED6F69">
            <w:pPr>
              <w:adjustRightInd w:val="0"/>
              <w:snapToGrid w:val="0"/>
              <w:spacing w:before="120" w:beforeLines="50"/>
              <w:ind w:firstLine="482"/>
              <w:jc w:val="center"/>
              <w:rPr>
                <w:color w:val="auto"/>
                <w:sz w:val="24"/>
              </w:rPr>
            </w:pPr>
            <w:r>
              <w:rPr>
                <w:b/>
                <w:color w:val="auto"/>
                <w:sz w:val="24"/>
              </w:rPr>
              <w:t>表3-</w:t>
            </w:r>
            <w:r>
              <w:rPr>
                <w:rFonts w:hint="eastAsia"/>
                <w:b/>
                <w:color w:val="auto"/>
                <w:sz w:val="24"/>
                <w:lang w:val="en-US" w:eastAsia="zh-CN"/>
              </w:rPr>
              <w:t>8运营期</w:t>
            </w:r>
            <w:r>
              <w:rPr>
                <w:b/>
                <w:color w:val="auto"/>
                <w:sz w:val="24"/>
              </w:rPr>
              <w:t>工业企业厂界环境噪声排放标准</w:t>
            </w:r>
            <w:r>
              <w:rPr>
                <w:rFonts w:hint="eastAsia"/>
                <w:b/>
                <w:color w:val="auto"/>
                <w:sz w:val="24"/>
              </w:rPr>
              <w:t xml:space="preserve">   </w:t>
            </w:r>
            <w:r>
              <w:rPr>
                <w:b/>
                <w:bCs/>
                <w:color w:val="auto"/>
                <w:szCs w:val="21"/>
              </w:rPr>
              <w:t>单位：dB</w:t>
            </w:r>
            <w:r>
              <w:rPr>
                <w:rFonts w:hint="eastAsia"/>
                <w:b/>
                <w:bCs/>
                <w:color w:val="auto"/>
                <w:szCs w:val="21"/>
              </w:rPr>
              <w:t>（</w:t>
            </w:r>
            <w:r>
              <w:rPr>
                <w:b/>
                <w:bCs/>
                <w:color w:val="auto"/>
                <w:szCs w:val="21"/>
              </w:rPr>
              <w:t>A</w:t>
            </w:r>
            <w:r>
              <w:rPr>
                <w:rFonts w:hint="eastAsia"/>
                <w:b/>
                <w:bCs/>
                <w:color w:val="auto"/>
                <w:szCs w:val="21"/>
              </w:rPr>
              <w:t>）</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159"/>
              <w:gridCol w:w="939"/>
              <w:gridCol w:w="5156"/>
            </w:tblGrid>
            <w:tr w14:paraId="283E51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tcBorders>
                    <w:tl2br w:val="nil"/>
                    <w:tr2bl w:val="nil"/>
                  </w:tcBorders>
                  <w:vAlign w:val="center"/>
                </w:tcPr>
                <w:p w14:paraId="4EA57994">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类别</w:t>
                  </w:r>
                </w:p>
              </w:tc>
              <w:tc>
                <w:tcPr>
                  <w:tcW w:w="1158" w:type="dxa"/>
                  <w:tcBorders>
                    <w:tl2br w:val="nil"/>
                    <w:tr2bl w:val="nil"/>
                  </w:tcBorders>
                  <w:vAlign w:val="center"/>
                </w:tcPr>
                <w:p w14:paraId="073A2EBF">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昼间</w:t>
                  </w:r>
                </w:p>
              </w:tc>
              <w:tc>
                <w:tcPr>
                  <w:tcW w:w="938" w:type="dxa"/>
                  <w:tcBorders>
                    <w:tl2br w:val="nil"/>
                    <w:tr2bl w:val="nil"/>
                  </w:tcBorders>
                  <w:vAlign w:val="center"/>
                </w:tcPr>
                <w:p w14:paraId="4AC83760">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夜间</w:t>
                  </w:r>
                </w:p>
              </w:tc>
              <w:tc>
                <w:tcPr>
                  <w:tcW w:w="5150" w:type="dxa"/>
                  <w:tcBorders>
                    <w:tl2br w:val="nil"/>
                    <w:tr2bl w:val="nil"/>
                  </w:tcBorders>
                  <w:vAlign w:val="center"/>
                </w:tcPr>
                <w:p w14:paraId="356579F5">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auto"/>
                      <w:szCs w:val="21"/>
                    </w:rPr>
                  </w:pPr>
                  <w:r>
                    <w:rPr>
                      <w:rFonts w:hint="eastAsia"/>
                      <w:b/>
                      <w:color w:val="auto"/>
                      <w:szCs w:val="21"/>
                    </w:rPr>
                    <w:t>标准来源</w:t>
                  </w:r>
                </w:p>
              </w:tc>
            </w:tr>
            <w:tr w14:paraId="58E75A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tcBorders>
                    <w:tl2br w:val="nil"/>
                    <w:tr2bl w:val="nil"/>
                  </w:tcBorders>
                  <w:shd w:val="clear" w:color="auto" w:fill="auto"/>
                  <w:vAlign w:val="center"/>
                </w:tcPr>
                <w:p w14:paraId="09CE2292">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3</w:t>
                  </w:r>
                  <w:r>
                    <w:rPr>
                      <w:color w:val="auto"/>
                      <w:szCs w:val="21"/>
                    </w:rPr>
                    <w:t>类</w:t>
                  </w:r>
                </w:p>
              </w:tc>
              <w:tc>
                <w:tcPr>
                  <w:tcW w:w="1158" w:type="dxa"/>
                  <w:tcBorders>
                    <w:tl2br w:val="nil"/>
                    <w:tr2bl w:val="nil"/>
                  </w:tcBorders>
                  <w:shd w:val="clear" w:color="auto" w:fill="auto"/>
                  <w:vAlign w:val="center"/>
                </w:tcPr>
                <w:p w14:paraId="6595107F">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6</w:t>
                  </w:r>
                  <w:r>
                    <w:rPr>
                      <w:rFonts w:hint="eastAsia"/>
                      <w:color w:val="auto"/>
                      <w:szCs w:val="21"/>
                    </w:rPr>
                    <w:t>5</w:t>
                  </w:r>
                </w:p>
              </w:tc>
              <w:tc>
                <w:tcPr>
                  <w:tcW w:w="938" w:type="dxa"/>
                  <w:tcBorders>
                    <w:tl2br w:val="nil"/>
                    <w:tr2bl w:val="nil"/>
                  </w:tcBorders>
                  <w:shd w:val="clear" w:color="auto" w:fill="auto"/>
                  <w:vAlign w:val="center"/>
                </w:tcPr>
                <w:p w14:paraId="00E2BC19">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5</w:t>
                  </w:r>
                  <w:r>
                    <w:rPr>
                      <w:rFonts w:hint="eastAsia"/>
                      <w:color w:val="auto"/>
                      <w:szCs w:val="21"/>
                    </w:rPr>
                    <w:t>5</w:t>
                  </w:r>
                </w:p>
              </w:tc>
              <w:tc>
                <w:tcPr>
                  <w:tcW w:w="5150" w:type="dxa"/>
                  <w:tcBorders>
                    <w:tl2br w:val="nil"/>
                    <w:tr2bl w:val="nil"/>
                  </w:tcBorders>
                  <w:shd w:val="clear" w:color="auto" w:fill="auto"/>
                  <w:vAlign w:val="center"/>
                </w:tcPr>
                <w:p w14:paraId="36F6A26E">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《工业企业厂界环境噪声排放标准》（GB12348-2008）</w:t>
                  </w:r>
                </w:p>
              </w:tc>
            </w:tr>
          </w:tbl>
          <w:p w14:paraId="72041B32">
            <w:pPr>
              <w:pStyle w:val="81"/>
              <w:adjustRightInd w:val="0"/>
              <w:snapToGrid w:val="0"/>
              <w:spacing w:before="120" w:beforeLines="50" w:beforeAutospacing="0" w:after="0" w:afterAutospacing="0" w:line="360" w:lineRule="auto"/>
              <w:ind w:firstLine="482" w:firstLineChars="200"/>
              <w:jc w:val="both"/>
              <w:rPr>
                <w:rFonts w:ascii="Times New Roman" w:hAnsi="Times New Roman"/>
                <w:b/>
                <w:color w:val="auto"/>
                <w:kern w:val="2"/>
                <w:szCs w:val="24"/>
                <w:lang w:val="en-US"/>
              </w:rPr>
            </w:pPr>
            <w:r>
              <w:rPr>
                <w:rFonts w:ascii="Times New Roman" w:hAnsi="Times New Roman"/>
                <w:b/>
                <w:color w:val="auto"/>
                <w:kern w:val="2"/>
                <w:szCs w:val="24"/>
                <w:lang w:val="en-US"/>
              </w:rPr>
              <w:t>4.固废</w:t>
            </w:r>
          </w:p>
          <w:p w14:paraId="25DE85AC">
            <w:pPr>
              <w:adjustRightInd w:val="0"/>
              <w:snapToGrid w:val="0"/>
              <w:spacing w:line="360" w:lineRule="auto"/>
              <w:ind w:firstLine="480" w:firstLineChars="200"/>
              <w:rPr>
                <w:color w:val="auto"/>
                <w:sz w:val="24"/>
                <w:lang w:val="zh-CN"/>
              </w:rPr>
            </w:pPr>
            <w:r>
              <w:rPr>
                <w:color w:val="auto"/>
                <w:sz w:val="24"/>
                <w:lang w:val="zh-CN"/>
              </w:rPr>
              <w:t>生活垃圾的储存与处置参照执行《城市生活垃圾管理办法（2015年修正）》（住房和城乡建设部令第24号）。</w:t>
            </w:r>
          </w:p>
          <w:p w14:paraId="137E5521">
            <w:pPr>
              <w:adjustRightInd w:val="0"/>
              <w:snapToGrid w:val="0"/>
              <w:spacing w:line="360" w:lineRule="auto"/>
              <w:ind w:firstLine="480" w:firstLineChars="200"/>
              <w:rPr>
                <w:color w:val="auto"/>
                <w:sz w:val="24"/>
                <w:lang w:val="zh-CN"/>
              </w:rPr>
            </w:pPr>
            <w:r>
              <w:rPr>
                <w:color w:val="auto"/>
                <w:sz w:val="24"/>
                <w:lang w:val="zh-CN"/>
              </w:rPr>
              <w:t>一般工业固废执行《一般工业固体废物贮存和填埋污染控制标准》（GB18599-2020）、《固体废物鉴别标准通则》（GB34330-2017）中相关规定</w:t>
            </w:r>
            <w:r>
              <w:rPr>
                <w:rFonts w:hint="eastAsia"/>
                <w:color w:val="auto"/>
                <w:sz w:val="24"/>
                <w:lang w:val="zh-CN"/>
              </w:rPr>
              <w:t>。</w:t>
            </w:r>
          </w:p>
          <w:p w14:paraId="349A02A0">
            <w:pPr>
              <w:adjustRightInd w:val="0"/>
              <w:snapToGrid w:val="0"/>
              <w:spacing w:line="360" w:lineRule="auto"/>
              <w:ind w:firstLine="480" w:firstLineChars="200"/>
              <w:rPr>
                <w:color w:val="auto"/>
                <w:kern w:val="0"/>
                <w:sz w:val="24"/>
              </w:rPr>
            </w:pPr>
            <w:r>
              <w:rPr>
                <w:color w:val="auto"/>
                <w:sz w:val="24"/>
                <w:lang w:val="zh-CN"/>
              </w:rPr>
              <w:t>危险废物执行《危险废物贮存污染控制标准》（GB18597-2023）、《危险废物鉴别标准通则》（GB5085.7-2019）、《危险废物鉴别技术规范》（HJ/T298-2019）、《危险废物收集贮存运输技术规范》（HJ2025-2012）、</w:t>
            </w:r>
            <w:r>
              <w:rPr>
                <w:rFonts w:hint="eastAsia"/>
                <w:color w:val="auto"/>
                <w:sz w:val="24"/>
                <w:lang w:val="zh-CN"/>
              </w:rPr>
              <w:t>《</w:t>
            </w:r>
            <w:r>
              <w:rPr>
                <w:rFonts w:hint="eastAsia"/>
                <w:color w:val="auto"/>
                <w:sz w:val="24"/>
              </w:rPr>
              <w:t>省生态环境厅关于做好</w:t>
            </w:r>
            <w:r>
              <w:rPr>
                <w:rFonts w:hint="eastAsia"/>
                <w:color w:val="auto"/>
                <w:sz w:val="24"/>
                <w:lang w:eastAsia="zh-CN"/>
              </w:rPr>
              <w:t>〈</w:t>
            </w:r>
            <w:r>
              <w:rPr>
                <w:rFonts w:hint="eastAsia"/>
                <w:color w:val="auto"/>
                <w:sz w:val="24"/>
              </w:rPr>
              <w:t>危险废物贮存污染控制标准</w:t>
            </w:r>
            <w:r>
              <w:rPr>
                <w:rFonts w:hint="eastAsia"/>
                <w:color w:val="auto"/>
                <w:sz w:val="24"/>
                <w:lang w:eastAsia="zh-CN"/>
              </w:rPr>
              <w:t>〉</w:t>
            </w:r>
            <w:r>
              <w:rPr>
                <w:rFonts w:hint="eastAsia"/>
                <w:color w:val="auto"/>
                <w:sz w:val="24"/>
              </w:rPr>
              <w:t>等标准规范实施后危险废物环境管理衔接工作的通知》（苏环办</w:t>
            </w:r>
            <w:r>
              <w:rPr>
                <w:rFonts w:hint="eastAsia"/>
                <w:color w:val="auto"/>
                <w:sz w:val="24"/>
                <w:lang w:eastAsia="zh-CN"/>
              </w:rPr>
              <w:t>〔2023〕154号</w:t>
            </w:r>
            <w:r>
              <w:rPr>
                <w:rFonts w:hint="eastAsia"/>
                <w:color w:val="auto"/>
                <w:sz w:val="24"/>
              </w:rPr>
              <w:t>）、《江苏省固体废物全过程环境监管工作意见》（苏环办</w:t>
            </w:r>
            <w:r>
              <w:rPr>
                <w:rFonts w:hint="eastAsia"/>
                <w:color w:val="auto"/>
                <w:sz w:val="24"/>
                <w:lang w:eastAsia="zh-CN"/>
              </w:rPr>
              <w:t>〔2024〕16号</w:t>
            </w:r>
            <w:r>
              <w:rPr>
                <w:rFonts w:hint="eastAsia"/>
                <w:color w:val="auto"/>
                <w:sz w:val="24"/>
              </w:rPr>
              <w:t>）</w:t>
            </w:r>
            <w:r>
              <w:rPr>
                <w:color w:val="auto"/>
                <w:sz w:val="24"/>
                <w:lang w:val="zh-CN"/>
              </w:rPr>
              <w:t>；固废贮存场所标志执行《环境保护图形标志固体废物贮存（处置）场》（GB15562.2-1995）及修改单，《危险废物识别标志设置技术规范》</w:t>
            </w:r>
            <w:r>
              <w:rPr>
                <w:rFonts w:hint="eastAsia"/>
                <w:color w:val="auto"/>
                <w:sz w:val="24"/>
                <w:lang w:val="zh-CN"/>
              </w:rPr>
              <w:t>（</w:t>
            </w:r>
            <w:r>
              <w:rPr>
                <w:color w:val="auto"/>
                <w:sz w:val="24"/>
                <w:lang w:val="zh-CN"/>
              </w:rPr>
              <w:t>HJ1276-2022</w:t>
            </w:r>
            <w:r>
              <w:rPr>
                <w:rFonts w:hint="eastAsia"/>
                <w:color w:val="auto"/>
                <w:sz w:val="24"/>
                <w:lang w:val="zh-CN"/>
              </w:rPr>
              <w:t>）</w:t>
            </w:r>
            <w:r>
              <w:rPr>
                <w:color w:val="auto"/>
                <w:sz w:val="24"/>
                <w:lang w:val="zh-CN"/>
              </w:rPr>
              <w:t>及《江苏省危险废物集中收集体系建设工作方案（试行）》（苏环办</w:t>
            </w:r>
            <w:r>
              <w:rPr>
                <w:rFonts w:hint="eastAsia"/>
                <w:color w:val="auto"/>
                <w:sz w:val="24"/>
                <w:lang w:val="zh-CN"/>
              </w:rPr>
              <w:t>〔2021〕290号</w:t>
            </w:r>
            <w:r>
              <w:rPr>
                <w:color w:val="auto"/>
                <w:sz w:val="24"/>
                <w:lang w:val="zh-CN"/>
              </w:rPr>
              <w:t>）相关规定。</w:t>
            </w:r>
          </w:p>
        </w:tc>
      </w:tr>
      <w:tr w14:paraId="04BD44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16" w:type="dxa"/>
            <w:vAlign w:val="center"/>
          </w:tcPr>
          <w:p w14:paraId="3B1BE44F">
            <w:pPr>
              <w:adjustRightInd w:val="0"/>
              <w:snapToGrid w:val="0"/>
              <w:jc w:val="center"/>
              <w:rPr>
                <w:color w:val="auto"/>
                <w:kern w:val="0"/>
                <w:sz w:val="24"/>
              </w:rPr>
            </w:pPr>
            <w:r>
              <w:rPr>
                <w:color w:val="auto"/>
                <w:kern w:val="0"/>
                <w:sz w:val="24"/>
              </w:rPr>
              <w:t>总量</w:t>
            </w:r>
          </w:p>
          <w:p w14:paraId="137077A5">
            <w:pPr>
              <w:adjustRightInd w:val="0"/>
              <w:snapToGrid w:val="0"/>
              <w:jc w:val="center"/>
              <w:rPr>
                <w:color w:val="auto"/>
                <w:kern w:val="0"/>
                <w:sz w:val="24"/>
              </w:rPr>
            </w:pPr>
            <w:r>
              <w:rPr>
                <w:color w:val="auto"/>
                <w:kern w:val="0"/>
                <w:sz w:val="24"/>
              </w:rPr>
              <w:t>控制</w:t>
            </w:r>
          </w:p>
          <w:p w14:paraId="29587FDD">
            <w:pPr>
              <w:adjustRightInd w:val="0"/>
              <w:snapToGrid w:val="0"/>
              <w:jc w:val="center"/>
              <w:rPr>
                <w:color w:val="auto"/>
                <w:kern w:val="0"/>
                <w:sz w:val="24"/>
              </w:rPr>
            </w:pPr>
            <w:r>
              <w:rPr>
                <w:color w:val="auto"/>
                <w:kern w:val="0"/>
                <w:sz w:val="24"/>
              </w:rPr>
              <w:t>指标</w:t>
            </w:r>
          </w:p>
        </w:tc>
        <w:tc>
          <w:tcPr>
            <w:tcW w:w="8408" w:type="dxa"/>
            <w:vAlign w:val="center"/>
          </w:tcPr>
          <w:p w14:paraId="7B289E3D">
            <w:pPr>
              <w:pStyle w:val="143"/>
              <w:adjustRightInd w:val="0"/>
              <w:snapToGrid w:val="0"/>
              <w:ind w:firstLine="482" w:firstLineChars="200"/>
              <w:rPr>
                <w:rFonts w:ascii="Times New Roman" w:hAnsi="Times New Roman" w:cs="Times New Roman"/>
                <w:b/>
                <w:bCs/>
                <w:color w:val="auto"/>
                <w:kern w:val="2"/>
              </w:rPr>
            </w:pPr>
            <w:r>
              <w:rPr>
                <w:rFonts w:ascii="Times New Roman" w:hAnsi="Times New Roman" w:cs="Times New Roman"/>
                <w:b/>
                <w:bCs/>
                <w:color w:val="auto"/>
                <w:kern w:val="2"/>
              </w:rPr>
              <w:t>总量控制指标</w:t>
            </w:r>
          </w:p>
          <w:p w14:paraId="6EBB8E13">
            <w:pPr>
              <w:pStyle w:val="143"/>
              <w:adjustRightInd w:val="0"/>
              <w:snapToGrid w:val="0"/>
              <w:ind w:firstLine="482"/>
              <w:jc w:val="center"/>
              <w:rPr>
                <w:rFonts w:ascii="Times New Roman" w:hAnsi="Times New Roman" w:cs="Times New Roman"/>
                <w:bCs/>
                <w:color w:val="auto"/>
                <w:kern w:val="2"/>
              </w:rPr>
            </w:pPr>
            <w:r>
              <w:rPr>
                <w:rFonts w:ascii="Times New Roman" w:hAnsi="Times New Roman" w:cs="Times New Roman"/>
                <w:b/>
                <w:bCs/>
                <w:color w:val="auto"/>
                <w:kern w:val="2"/>
              </w:rPr>
              <w:t>表3-</w:t>
            </w:r>
            <w:r>
              <w:rPr>
                <w:rFonts w:hint="eastAsia" w:ascii="Times New Roman" w:hAnsi="Times New Roman" w:cs="Times New Roman"/>
                <w:b/>
                <w:bCs/>
                <w:color w:val="auto"/>
                <w:kern w:val="2"/>
                <w:lang w:val="en-US" w:eastAsia="zh-CN"/>
              </w:rPr>
              <w:t>9</w:t>
            </w:r>
            <w:r>
              <w:rPr>
                <w:rFonts w:ascii="Times New Roman" w:hAnsi="Times New Roman" w:cs="Times New Roman"/>
                <w:b/>
                <w:bCs/>
                <w:color w:val="auto"/>
                <w:kern w:val="2"/>
              </w:rPr>
              <w:t>建设项目</w:t>
            </w:r>
            <w:r>
              <w:rPr>
                <w:rFonts w:hint="eastAsia" w:ascii="Times New Roman" w:hAnsi="Times New Roman" w:cs="Times New Roman"/>
                <w:b/>
                <w:bCs/>
                <w:color w:val="auto"/>
                <w:kern w:val="2"/>
              </w:rPr>
              <w:t>全厂</w:t>
            </w:r>
            <w:r>
              <w:rPr>
                <w:rFonts w:ascii="Times New Roman" w:hAnsi="Times New Roman" w:cs="Times New Roman"/>
                <w:b/>
                <w:bCs/>
                <w:color w:val="auto"/>
                <w:kern w:val="2"/>
              </w:rPr>
              <w:t>污染物排放情况一览表</w:t>
            </w:r>
            <w:r>
              <w:rPr>
                <w:rFonts w:hint="eastAsia" w:ascii="Times New Roman" w:hAnsi="Times New Roman" w:cs="Times New Roman"/>
                <w:b/>
                <w:bCs/>
                <w:color w:val="auto"/>
                <w:kern w:val="2"/>
              </w:rPr>
              <w:t xml:space="preserve">  </w:t>
            </w:r>
            <w:r>
              <w:rPr>
                <w:rFonts w:ascii="Times New Roman" w:hAnsi="Times New Roman" w:cs="Times New Roman"/>
                <w:bCs/>
                <w:color w:val="auto"/>
                <w:kern w:val="2"/>
                <w:sz w:val="21"/>
                <w:szCs w:val="21"/>
              </w:rPr>
              <w:t>单位：t/a</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7"/>
              <w:gridCol w:w="685"/>
              <w:gridCol w:w="1590"/>
              <w:gridCol w:w="1310"/>
              <w:gridCol w:w="1363"/>
              <w:gridCol w:w="1391"/>
              <w:gridCol w:w="1401"/>
            </w:tblGrid>
            <w:tr w14:paraId="1A4D3F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shd w:val="clear" w:color="auto" w:fill="auto"/>
                  <w:vAlign w:val="center"/>
                </w:tcPr>
                <w:p w14:paraId="59885FE7">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
                      <w:color w:val="auto"/>
                      <w:sz w:val="21"/>
                      <w:szCs w:val="21"/>
                    </w:rPr>
                  </w:pPr>
                  <w:r>
                    <w:rPr>
                      <w:rFonts w:ascii="Times New Roman" w:hAnsi="Times New Roman" w:cs="Times New Roman"/>
                      <w:b/>
                      <w:color w:val="auto"/>
                      <w:sz w:val="21"/>
                      <w:szCs w:val="21"/>
                    </w:rPr>
                    <w:t>种类</w:t>
                  </w:r>
                </w:p>
              </w:tc>
              <w:tc>
                <w:tcPr>
                  <w:tcW w:w="2275" w:type="dxa"/>
                  <w:gridSpan w:val="2"/>
                  <w:shd w:val="clear" w:color="auto" w:fill="auto"/>
                  <w:vAlign w:val="center"/>
                </w:tcPr>
                <w:p w14:paraId="13DB25BD">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
                      <w:color w:val="auto"/>
                      <w:sz w:val="21"/>
                      <w:szCs w:val="21"/>
                    </w:rPr>
                  </w:pPr>
                  <w:r>
                    <w:rPr>
                      <w:rFonts w:ascii="Times New Roman" w:hAnsi="Times New Roman" w:cs="Times New Roman"/>
                      <w:b/>
                      <w:color w:val="auto"/>
                      <w:sz w:val="21"/>
                      <w:szCs w:val="21"/>
                    </w:rPr>
                    <w:t>污染物名称</w:t>
                  </w:r>
                </w:p>
              </w:tc>
              <w:tc>
                <w:tcPr>
                  <w:tcW w:w="1310" w:type="dxa"/>
                  <w:shd w:val="clear" w:color="auto" w:fill="auto"/>
                  <w:vAlign w:val="center"/>
                </w:tcPr>
                <w:p w14:paraId="0A2619D5">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
                      <w:color w:val="auto"/>
                      <w:sz w:val="21"/>
                      <w:szCs w:val="21"/>
                    </w:rPr>
                  </w:pPr>
                  <w:r>
                    <w:rPr>
                      <w:rFonts w:ascii="Times New Roman" w:hAnsi="Times New Roman" w:cs="Times New Roman"/>
                      <w:b/>
                      <w:color w:val="auto"/>
                      <w:sz w:val="21"/>
                      <w:szCs w:val="21"/>
                    </w:rPr>
                    <w:t>项目产生量</w:t>
                  </w:r>
                </w:p>
              </w:tc>
              <w:tc>
                <w:tcPr>
                  <w:tcW w:w="1363" w:type="dxa"/>
                  <w:shd w:val="clear" w:color="auto" w:fill="auto"/>
                  <w:vAlign w:val="center"/>
                </w:tcPr>
                <w:p w14:paraId="1BBEE3F1">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
                      <w:color w:val="auto"/>
                      <w:sz w:val="21"/>
                      <w:szCs w:val="21"/>
                    </w:rPr>
                  </w:pPr>
                  <w:r>
                    <w:rPr>
                      <w:rFonts w:ascii="Times New Roman" w:hAnsi="Times New Roman" w:cs="Times New Roman"/>
                      <w:b/>
                      <w:color w:val="auto"/>
                      <w:sz w:val="21"/>
                      <w:szCs w:val="21"/>
                    </w:rPr>
                    <w:t>项目削减量</w:t>
                  </w:r>
                </w:p>
              </w:tc>
              <w:tc>
                <w:tcPr>
                  <w:tcW w:w="1391" w:type="dxa"/>
                  <w:shd w:val="clear" w:color="auto" w:fill="auto"/>
                  <w:vAlign w:val="center"/>
                </w:tcPr>
                <w:p w14:paraId="7C058A73">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
                      <w:color w:val="auto"/>
                      <w:sz w:val="21"/>
                      <w:szCs w:val="21"/>
                    </w:rPr>
                  </w:pPr>
                  <w:r>
                    <w:rPr>
                      <w:rFonts w:ascii="Times New Roman" w:hAnsi="Times New Roman" w:cs="Times New Roman"/>
                      <w:b/>
                      <w:color w:val="auto"/>
                      <w:sz w:val="21"/>
                      <w:szCs w:val="21"/>
                    </w:rPr>
                    <w:t>项目接管量</w:t>
                  </w:r>
                </w:p>
              </w:tc>
              <w:tc>
                <w:tcPr>
                  <w:tcW w:w="1401" w:type="dxa"/>
                  <w:shd w:val="clear" w:color="auto" w:fill="auto"/>
                  <w:vAlign w:val="center"/>
                </w:tcPr>
                <w:p w14:paraId="3768EF01">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
                      <w:color w:val="auto"/>
                      <w:sz w:val="21"/>
                      <w:szCs w:val="21"/>
                    </w:rPr>
                  </w:pPr>
                  <w:r>
                    <w:rPr>
                      <w:rFonts w:ascii="Times New Roman" w:hAnsi="Times New Roman" w:cs="Times New Roman"/>
                      <w:b/>
                      <w:color w:val="auto"/>
                      <w:sz w:val="21"/>
                      <w:szCs w:val="21"/>
                    </w:rPr>
                    <w:t>环境排放量</w:t>
                  </w:r>
                </w:p>
              </w:tc>
            </w:tr>
            <w:tr w14:paraId="03B395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restart"/>
                  <w:shd w:val="clear" w:color="auto" w:fill="auto"/>
                  <w:vAlign w:val="center"/>
                </w:tcPr>
                <w:p w14:paraId="0C6CCF8D">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ascii="Times New Roman" w:hAnsi="Times New Roman" w:cs="Times New Roman"/>
                      <w:bCs/>
                      <w:color w:val="auto"/>
                      <w:sz w:val="21"/>
                      <w:szCs w:val="21"/>
                    </w:rPr>
                    <w:t>废气</w:t>
                  </w:r>
                </w:p>
              </w:tc>
              <w:tc>
                <w:tcPr>
                  <w:tcW w:w="685" w:type="dxa"/>
                  <w:vMerge w:val="restart"/>
                  <w:shd w:val="clear" w:color="auto" w:fill="auto"/>
                  <w:vAlign w:val="center"/>
                </w:tcPr>
                <w:p w14:paraId="542564F2">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ascii="Times New Roman" w:hAnsi="Times New Roman" w:cs="Times New Roman"/>
                      <w:bCs/>
                      <w:color w:val="auto"/>
                      <w:sz w:val="21"/>
                      <w:szCs w:val="21"/>
                    </w:rPr>
                    <w:t>有组织</w:t>
                  </w:r>
                </w:p>
              </w:tc>
              <w:tc>
                <w:tcPr>
                  <w:tcW w:w="1590" w:type="dxa"/>
                  <w:shd w:val="clear" w:color="auto" w:fill="auto"/>
                  <w:vAlign w:val="center"/>
                </w:tcPr>
                <w:p w14:paraId="5F69403E">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hint="eastAsia" w:ascii="Times New Roman" w:hAnsi="Times New Roman" w:cs="Times New Roman"/>
                      <w:bCs/>
                      <w:color w:val="auto"/>
                      <w:sz w:val="21"/>
                      <w:szCs w:val="21"/>
                    </w:rPr>
                    <w:t>颗粒物</w:t>
                  </w:r>
                </w:p>
              </w:tc>
              <w:tc>
                <w:tcPr>
                  <w:tcW w:w="1310" w:type="dxa"/>
                  <w:shd w:val="clear" w:color="auto" w:fill="auto"/>
                  <w:vAlign w:val="center"/>
                </w:tcPr>
                <w:p w14:paraId="7D1A81F4">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1.353</w:t>
                  </w:r>
                </w:p>
              </w:tc>
              <w:tc>
                <w:tcPr>
                  <w:tcW w:w="1363" w:type="dxa"/>
                  <w:shd w:val="clear" w:color="auto" w:fill="auto"/>
                  <w:vAlign w:val="center"/>
                </w:tcPr>
                <w:p w14:paraId="7BA6E8CA">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1.294</w:t>
                  </w:r>
                </w:p>
              </w:tc>
              <w:tc>
                <w:tcPr>
                  <w:tcW w:w="1391" w:type="dxa"/>
                  <w:shd w:val="clear" w:color="auto" w:fill="auto"/>
                  <w:vAlign w:val="center"/>
                </w:tcPr>
                <w:p w14:paraId="514DD230">
                  <w:pPr>
                    <w:keepNext w:val="0"/>
                    <w:keepLines w:val="0"/>
                    <w:pageBreakBefore w:val="0"/>
                    <w:kinsoku/>
                    <w:wordWrap/>
                    <w:overflowPunct/>
                    <w:topLinePunct w:val="0"/>
                    <w:autoSpaceDE/>
                    <w:autoSpaceDN/>
                    <w:bidi w:val="0"/>
                    <w:adjustRightInd w:val="0"/>
                    <w:snapToGrid w:val="0"/>
                    <w:ind w:firstLine="0"/>
                    <w:jc w:val="center"/>
                    <w:textAlignment w:val="auto"/>
                    <w:rPr>
                      <w:bCs/>
                      <w:color w:val="auto"/>
                      <w:szCs w:val="21"/>
                    </w:rPr>
                  </w:pPr>
                  <w:r>
                    <w:rPr>
                      <w:bCs/>
                      <w:color w:val="auto"/>
                      <w:szCs w:val="21"/>
                    </w:rPr>
                    <w:t>/</w:t>
                  </w:r>
                </w:p>
              </w:tc>
              <w:tc>
                <w:tcPr>
                  <w:tcW w:w="1401" w:type="dxa"/>
                  <w:shd w:val="clear" w:color="auto" w:fill="auto"/>
                  <w:vAlign w:val="center"/>
                </w:tcPr>
                <w:p w14:paraId="7988DACC">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0.059</w:t>
                  </w:r>
                </w:p>
              </w:tc>
            </w:tr>
            <w:tr w14:paraId="7B4DE8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3CEDEA4E">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685" w:type="dxa"/>
                  <w:vMerge w:val="continue"/>
                  <w:shd w:val="clear" w:color="auto" w:fill="auto"/>
                  <w:vAlign w:val="center"/>
                </w:tcPr>
                <w:p w14:paraId="2BAF6086">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1590" w:type="dxa"/>
                  <w:shd w:val="clear" w:color="auto" w:fill="auto"/>
                  <w:vAlign w:val="center"/>
                </w:tcPr>
                <w:p w14:paraId="0E32979D">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hint="eastAsia" w:ascii="Times New Roman" w:hAnsi="Times New Roman" w:cs="Times New Roman"/>
                      <w:bCs/>
                      <w:color w:val="auto"/>
                      <w:sz w:val="21"/>
                      <w:szCs w:val="21"/>
                    </w:rPr>
                    <w:t>NMHC</w:t>
                  </w:r>
                </w:p>
              </w:tc>
              <w:tc>
                <w:tcPr>
                  <w:tcW w:w="1310" w:type="dxa"/>
                  <w:shd w:val="clear" w:color="auto" w:fill="auto"/>
                  <w:vAlign w:val="center"/>
                </w:tcPr>
                <w:p w14:paraId="79FBC4D2">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0.2138</w:t>
                  </w:r>
                </w:p>
              </w:tc>
              <w:tc>
                <w:tcPr>
                  <w:tcW w:w="1363" w:type="dxa"/>
                  <w:shd w:val="clear" w:color="auto" w:fill="auto"/>
                  <w:vAlign w:val="center"/>
                </w:tcPr>
                <w:p w14:paraId="5D7A090F">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0.1924</w:t>
                  </w:r>
                </w:p>
              </w:tc>
              <w:tc>
                <w:tcPr>
                  <w:tcW w:w="1391" w:type="dxa"/>
                  <w:shd w:val="clear" w:color="auto" w:fill="auto"/>
                  <w:vAlign w:val="center"/>
                </w:tcPr>
                <w:p w14:paraId="6415CA5A">
                  <w:pPr>
                    <w:keepNext w:val="0"/>
                    <w:keepLines w:val="0"/>
                    <w:pageBreakBefore w:val="0"/>
                    <w:kinsoku/>
                    <w:wordWrap/>
                    <w:overflowPunct/>
                    <w:topLinePunct w:val="0"/>
                    <w:autoSpaceDE/>
                    <w:autoSpaceDN/>
                    <w:bidi w:val="0"/>
                    <w:adjustRightInd w:val="0"/>
                    <w:snapToGrid w:val="0"/>
                    <w:ind w:firstLine="0"/>
                    <w:jc w:val="center"/>
                    <w:textAlignment w:val="auto"/>
                    <w:rPr>
                      <w:bCs/>
                      <w:color w:val="auto"/>
                      <w:szCs w:val="21"/>
                    </w:rPr>
                  </w:pPr>
                  <w:r>
                    <w:rPr>
                      <w:bCs/>
                      <w:color w:val="auto"/>
                      <w:szCs w:val="21"/>
                    </w:rPr>
                    <w:t>/</w:t>
                  </w:r>
                </w:p>
              </w:tc>
              <w:tc>
                <w:tcPr>
                  <w:tcW w:w="1401" w:type="dxa"/>
                  <w:shd w:val="clear" w:color="auto" w:fill="auto"/>
                  <w:vAlign w:val="center"/>
                </w:tcPr>
                <w:p w14:paraId="1818A864">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0.0214</w:t>
                  </w:r>
                </w:p>
              </w:tc>
            </w:tr>
            <w:tr w14:paraId="1E8948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2CE769E7">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685" w:type="dxa"/>
                  <w:vMerge w:val="restart"/>
                  <w:shd w:val="clear" w:color="auto" w:fill="auto"/>
                  <w:vAlign w:val="center"/>
                </w:tcPr>
                <w:p w14:paraId="4BEF7229">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ascii="Times New Roman" w:hAnsi="Times New Roman" w:cs="Times New Roman"/>
                      <w:bCs/>
                      <w:color w:val="auto"/>
                      <w:sz w:val="21"/>
                      <w:szCs w:val="21"/>
                    </w:rPr>
                    <w:t>无组织</w:t>
                  </w:r>
                </w:p>
              </w:tc>
              <w:tc>
                <w:tcPr>
                  <w:tcW w:w="1590" w:type="dxa"/>
                  <w:shd w:val="clear" w:color="auto" w:fill="auto"/>
                  <w:vAlign w:val="center"/>
                </w:tcPr>
                <w:p w14:paraId="1456C0F3">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hint="eastAsia" w:ascii="Times New Roman" w:hAnsi="Times New Roman" w:cs="Times New Roman"/>
                      <w:bCs/>
                      <w:color w:val="auto"/>
                      <w:sz w:val="21"/>
                      <w:szCs w:val="21"/>
                    </w:rPr>
                    <w:t>颗粒物</w:t>
                  </w:r>
                </w:p>
              </w:tc>
              <w:tc>
                <w:tcPr>
                  <w:tcW w:w="1310" w:type="dxa"/>
                  <w:shd w:val="clear" w:color="auto" w:fill="auto"/>
                  <w:vAlign w:val="center"/>
                </w:tcPr>
                <w:p w14:paraId="49E83962">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0.127</w:t>
                  </w:r>
                </w:p>
              </w:tc>
              <w:tc>
                <w:tcPr>
                  <w:tcW w:w="1363" w:type="dxa"/>
                  <w:shd w:val="clear" w:color="auto" w:fill="auto"/>
                  <w:vAlign w:val="center"/>
                </w:tcPr>
                <w:p w14:paraId="7F75E921">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bCs/>
                      <w:color w:val="auto"/>
                      <w:szCs w:val="21"/>
                    </w:rPr>
                    <w:t>/</w:t>
                  </w:r>
                </w:p>
              </w:tc>
              <w:tc>
                <w:tcPr>
                  <w:tcW w:w="1391" w:type="dxa"/>
                  <w:shd w:val="clear" w:color="auto" w:fill="auto"/>
                  <w:vAlign w:val="center"/>
                </w:tcPr>
                <w:p w14:paraId="5DDFFEB4">
                  <w:pPr>
                    <w:keepNext w:val="0"/>
                    <w:keepLines w:val="0"/>
                    <w:pageBreakBefore w:val="0"/>
                    <w:kinsoku/>
                    <w:wordWrap/>
                    <w:overflowPunct/>
                    <w:topLinePunct w:val="0"/>
                    <w:autoSpaceDE/>
                    <w:autoSpaceDN/>
                    <w:bidi w:val="0"/>
                    <w:adjustRightInd w:val="0"/>
                    <w:snapToGrid w:val="0"/>
                    <w:ind w:firstLine="0"/>
                    <w:jc w:val="center"/>
                    <w:textAlignment w:val="auto"/>
                    <w:rPr>
                      <w:bCs/>
                      <w:color w:val="auto"/>
                      <w:szCs w:val="21"/>
                    </w:rPr>
                  </w:pPr>
                  <w:r>
                    <w:rPr>
                      <w:bCs/>
                      <w:color w:val="auto"/>
                      <w:szCs w:val="21"/>
                    </w:rPr>
                    <w:t>/</w:t>
                  </w:r>
                </w:p>
              </w:tc>
              <w:tc>
                <w:tcPr>
                  <w:tcW w:w="1401" w:type="dxa"/>
                  <w:shd w:val="clear" w:color="auto" w:fill="auto"/>
                  <w:vAlign w:val="center"/>
                </w:tcPr>
                <w:p w14:paraId="0E8C130D">
                  <w:pPr>
                    <w:pStyle w:val="143"/>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cs="Times New Roman"/>
                      <w:bCs/>
                      <w:color w:val="auto"/>
                      <w:sz w:val="21"/>
                      <w:szCs w:val="21"/>
                      <w:lang w:val="en-US" w:eastAsia="zh-CN"/>
                    </w:rPr>
                    <w:t>0.127</w:t>
                  </w:r>
                </w:p>
              </w:tc>
            </w:tr>
            <w:tr w14:paraId="72B9BE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58BA0AD8">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685" w:type="dxa"/>
                  <w:vMerge w:val="continue"/>
                  <w:shd w:val="clear" w:color="auto" w:fill="auto"/>
                  <w:vAlign w:val="center"/>
                </w:tcPr>
                <w:p w14:paraId="14CCA8B2">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1590" w:type="dxa"/>
                  <w:shd w:val="clear" w:color="auto" w:fill="auto"/>
                  <w:vAlign w:val="center"/>
                </w:tcPr>
                <w:p w14:paraId="2BA9B252">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hint="eastAsia" w:ascii="Times New Roman" w:hAnsi="Times New Roman" w:cs="Times New Roman"/>
                      <w:bCs/>
                      <w:color w:val="auto"/>
                      <w:sz w:val="21"/>
                      <w:szCs w:val="21"/>
                    </w:rPr>
                    <w:t>NMHC</w:t>
                  </w:r>
                </w:p>
              </w:tc>
              <w:tc>
                <w:tcPr>
                  <w:tcW w:w="1310" w:type="dxa"/>
                  <w:shd w:val="clear" w:color="auto" w:fill="auto"/>
                  <w:vAlign w:val="center"/>
                </w:tcPr>
                <w:p w14:paraId="5737DA1F">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0.0112</w:t>
                  </w:r>
                </w:p>
              </w:tc>
              <w:tc>
                <w:tcPr>
                  <w:tcW w:w="1363" w:type="dxa"/>
                  <w:shd w:val="clear" w:color="auto" w:fill="auto"/>
                  <w:vAlign w:val="center"/>
                </w:tcPr>
                <w:p w14:paraId="3314AE26">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bCs/>
                      <w:color w:val="auto"/>
                      <w:szCs w:val="21"/>
                    </w:rPr>
                    <w:t>/</w:t>
                  </w:r>
                </w:p>
              </w:tc>
              <w:tc>
                <w:tcPr>
                  <w:tcW w:w="1391" w:type="dxa"/>
                  <w:shd w:val="clear" w:color="auto" w:fill="auto"/>
                  <w:vAlign w:val="center"/>
                </w:tcPr>
                <w:p w14:paraId="06A5078E">
                  <w:pPr>
                    <w:keepNext w:val="0"/>
                    <w:keepLines w:val="0"/>
                    <w:pageBreakBefore w:val="0"/>
                    <w:kinsoku/>
                    <w:wordWrap/>
                    <w:overflowPunct/>
                    <w:topLinePunct w:val="0"/>
                    <w:autoSpaceDE/>
                    <w:autoSpaceDN/>
                    <w:bidi w:val="0"/>
                    <w:adjustRightInd w:val="0"/>
                    <w:snapToGrid w:val="0"/>
                    <w:ind w:firstLine="0"/>
                    <w:jc w:val="center"/>
                    <w:textAlignment w:val="auto"/>
                    <w:rPr>
                      <w:bCs/>
                      <w:color w:val="auto"/>
                      <w:szCs w:val="21"/>
                    </w:rPr>
                  </w:pPr>
                  <w:r>
                    <w:rPr>
                      <w:bCs/>
                      <w:color w:val="auto"/>
                      <w:szCs w:val="21"/>
                    </w:rPr>
                    <w:t>/</w:t>
                  </w:r>
                </w:p>
              </w:tc>
              <w:tc>
                <w:tcPr>
                  <w:tcW w:w="1401" w:type="dxa"/>
                  <w:shd w:val="clear" w:color="auto" w:fill="auto"/>
                  <w:vAlign w:val="center"/>
                </w:tcPr>
                <w:p w14:paraId="273C392B">
                  <w:pPr>
                    <w:pStyle w:val="143"/>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cs="Times New Roman"/>
                      <w:bCs/>
                      <w:color w:val="auto"/>
                      <w:sz w:val="21"/>
                      <w:szCs w:val="21"/>
                      <w:lang w:val="en-US" w:eastAsia="zh-CN"/>
                    </w:rPr>
                    <w:t>0.0112</w:t>
                  </w:r>
                </w:p>
              </w:tc>
            </w:tr>
            <w:tr w14:paraId="5232AB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restart"/>
                  <w:shd w:val="clear" w:color="auto" w:fill="auto"/>
                  <w:vAlign w:val="center"/>
                </w:tcPr>
                <w:p w14:paraId="6DAEEEFE">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ascii="Times New Roman" w:hAnsi="Times New Roman" w:cs="Times New Roman"/>
                      <w:bCs/>
                      <w:color w:val="auto"/>
                      <w:sz w:val="21"/>
                      <w:szCs w:val="21"/>
                    </w:rPr>
                    <w:t>废水</w:t>
                  </w:r>
                </w:p>
              </w:tc>
              <w:tc>
                <w:tcPr>
                  <w:tcW w:w="685" w:type="dxa"/>
                  <w:vMerge w:val="restart"/>
                  <w:shd w:val="clear" w:color="auto" w:fill="auto"/>
                  <w:vAlign w:val="center"/>
                </w:tcPr>
                <w:p w14:paraId="0D2BE4D0">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ascii="Times New Roman" w:hAnsi="Times New Roman" w:cs="Times New Roman"/>
                      <w:bCs/>
                      <w:color w:val="auto"/>
                      <w:sz w:val="21"/>
                      <w:szCs w:val="21"/>
                    </w:rPr>
                    <w:t>生活</w:t>
                  </w:r>
                </w:p>
                <w:p w14:paraId="1AE5C6E4">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ascii="Times New Roman" w:hAnsi="Times New Roman" w:cs="Times New Roman"/>
                      <w:bCs/>
                      <w:color w:val="auto"/>
                      <w:sz w:val="21"/>
                      <w:szCs w:val="21"/>
                    </w:rPr>
                    <w:t>废水</w:t>
                  </w:r>
                </w:p>
              </w:tc>
              <w:tc>
                <w:tcPr>
                  <w:tcW w:w="1590" w:type="dxa"/>
                  <w:shd w:val="clear" w:color="auto" w:fill="auto"/>
                  <w:vAlign w:val="center"/>
                </w:tcPr>
                <w:p w14:paraId="3FC625C0">
                  <w:pPr>
                    <w:keepNext w:val="0"/>
                    <w:keepLines w:val="0"/>
                    <w:pageBreakBefore w:val="0"/>
                    <w:kinsoku/>
                    <w:wordWrap/>
                    <w:overflowPunct/>
                    <w:topLinePunct w:val="0"/>
                    <w:autoSpaceDE/>
                    <w:autoSpaceDN/>
                    <w:bidi w:val="0"/>
                    <w:adjustRightInd w:val="0"/>
                    <w:snapToGrid w:val="0"/>
                    <w:ind w:firstLine="0"/>
                    <w:jc w:val="center"/>
                    <w:textAlignment w:val="auto"/>
                    <w:rPr>
                      <w:bCs/>
                      <w:color w:val="auto"/>
                      <w:szCs w:val="21"/>
                    </w:rPr>
                  </w:pPr>
                  <w:r>
                    <w:rPr>
                      <w:bCs/>
                      <w:color w:val="auto"/>
                      <w:szCs w:val="21"/>
                    </w:rPr>
                    <w:t>水量</w:t>
                  </w:r>
                  <w:r>
                    <w:rPr>
                      <w:rFonts w:hint="eastAsia"/>
                      <w:bCs/>
                      <w:color w:val="auto"/>
                      <w:szCs w:val="21"/>
                    </w:rPr>
                    <w:t>（</w:t>
                  </w:r>
                  <w:r>
                    <w:rPr>
                      <w:bCs/>
                      <w:color w:val="auto"/>
                      <w:szCs w:val="21"/>
                    </w:rPr>
                    <w:t>m</w:t>
                  </w:r>
                  <w:r>
                    <w:rPr>
                      <w:bCs/>
                      <w:color w:val="auto"/>
                      <w:szCs w:val="21"/>
                      <w:vertAlign w:val="superscript"/>
                    </w:rPr>
                    <w:t>3</w:t>
                  </w:r>
                  <w:r>
                    <w:rPr>
                      <w:bCs/>
                      <w:color w:val="auto"/>
                      <w:szCs w:val="21"/>
                    </w:rPr>
                    <w:t>/a</w:t>
                  </w:r>
                  <w:r>
                    <w:rPr>
                      <w:rFonts w:hint="eastAsia"/>
                      <w:bCs/>
                      <w:color w:val="auto"/>
                      <w:szCs w:val="21"/>
                    </w:rPr>
                    <w:t>）</w:t>
                  </w:r>
                </w:p>
              </w:tc>
              <w:tc>
                <w:tcPr>
                  <w:tcW w:w="1310" w:type="dxa"/>
                  <w:shd w:val="clear" w:color="auto" w:fill="auto"/>
                  <w:vAlign w:val="center"/>
                </w:tcPr>
                <w:p w14:paraId="12691152">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2280</w:t>
                  </w:r>
                </w:p>
              </w:tc>
              <w:tc>
                <w:tcPr>
                  <w:tcW w:w="1363" w:type="dxa"/>
                  <w:shd w:val="clear" w:color="auto" w:fill="auto"/>
                  <w:vAlign w:val="center"/>
                </w:tcPr>
                <w:p w14:paraId="47C1C526">
                  <w:pPr>
                    <w:keepNext w:val="0"/>
                    <w:keepLines w:val="0"/>
                    <w:pageBreakBefore w:val="0"/>
                    <w:widowControl/>
                    <w:kinsoku/>
                    <w:wordWrap/>
                    <w:overflowPunct/>
                    <w:topLinePunct w:val="0"/>
                    <w:autoSpaceDE/>
                    <w:autoSpaceDN/>
                    <w:bidi w:val="0"/>
                    <w:adjustRightInd w:val="0"/>
                    <w:snapToGrid w:val="0"/>
                    <w:ind w:firstLine="0"/>
                    <w:jc w:val="center"/>
                    <w:textAlignment w:val="auto"/>
                    <w:rPr>
                      <w:bCs/>
                      <w:color w:val="auto"/>
                      <w:kern w:val="0"/>
                      <w:szCs w:val="21"/>
                    </w:rPr>
                  </w:pPr>
                  <w:r>
                    <w:rPr>
                      <w:bCs/>
                      <w:color w:val="auto"/>
                      <w:kern w:val="0"/>
                      <w:szCs w:val="21"/>
                    </w:rPr>
                    <w:t>/</w:t>
                  </w:r>
                </w:p>
              </w:tc>
              <w:tc>
                <w:tcPr>
                  <w:tcW w:w="1391" w:type="dxa"/>
                  <w:shd w:val="clear" w:color="auto" w:fill="auto"/>
                  <w:vAlign w:val="center"/>
                </w:tcPr>
                <w:p w14:paraId="30A8D285">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eastAsia="宋体"/>
                      <w:bCs/>
                      <w:color w:val="auto"/>
                      <w:kern w:val="0"/>
                      <w:szCs w:val="21"/>
                      <w:lang w:val="en-US" w:eastAsia="zh-CN"/>
                    </w:rPr>
                  </w:pPr>
                  <w:r>
                    <w:rPr>
                      <w:rFonts w:hint="eastAsia"/>
                      <w:bCs/>
                      <w:color w:val="auto"/>
                      <w:szCs w:val="21"/>
                      <w:lang w:val="en-US" w:eastAsia="zh-CN"/>
                    </w:rPr>
                    <w:t>2280</w:t>
                  </w:r>
                </w:p>
              </w:tc>
              <w:tc>
                <w:tcPr>
                  <w:tcW w:w="1401" w:type="dxa"/>
                  <w:shd w:val="clear" w:color="auto" w:fill="auto"/>
                  <w:vAlign w:val="center"/>
                </w:tcPr>
                <w:p w14:paraId="29F9DA33">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eastAsia="宋体"/>
                      <w:bCs/>
                      <w:color w:val="auto"/>
                      <w:kern w:val="0"/>
                      <w:szCs w:val="21"/>
                      <w:lang w:val="en-US" w:eastAsia="zh-CN"/>
                    </w:rPr>
                  </w:pPr>
                  <w:r>
                    <w:rPr>
                      <w:rFonts w:hint="eastAsia"/>
                      <w:bCs/>
                      <w:color w:val="auto"/>
                      <w:szCs w:val="21"/>
                      <w:lang w:val="en-US" w:eastAsia="zh-CN"/>
                    </w:rPr>
                    <w:t>2280</w:t>
                  </w:r>
                </w:p>
              </w:tc>
            </w:tr>
            <w:tr w14:paraId="24F2DC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0F5D5301">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685" w:type="dxa"/>
                  <w:vMerge w:val="continue"/>
                  <w:shd w:val="clear" w:color="auto" w:fill="auto"/>
                  <w:vAlign w:val="center"/>
                </w:tcPr>
                <w:p w14:paraId="2908648D">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1590" w:type="dxa"/>
                  <w:shd w:val="clear" w:color="auto" w:fill="auto"/>
                  <w:vAlign w:val="center"/>
                </w:tcPr>
                <w:p w14:paraId="1F42113C">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COD</w:t>
                  </w:r>
                </w:p>
              </w:tc>
              <w:tc>
                <w:tcPr>
                  <w:tcW w:w="1310" w:type="dxa"/>
                  <w:shd w:val="clear" w:color="auto" w:fill="auto"/>
                  <w:vAlign w:val="center"/>
                </w:tcPr>
                <w:p w14:paraId="42988040">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val="en-US" w:eastAsia="zh-CN"/>
                    </w:rPr>
                    <w:t>0.798</w:t>
                  </w:r>
                </w:p>
              </w:tc>
              <w:tc>
                <w:tcPr>
                  <w:tcW w:w="1363" w:type="dxa"/>
                  <w:shd w:val="clear" w:color="auto" w:fill="auto"/>
                  <w:vAlign w:val="center"/>
                </w:tcPr>
                <w:p w14:paraId="0BB1FCC9">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eastAsia="宋体"/>
                      <w:bCs/>
                      <w:color w:val="auto"/>
                      <w:kern w:val="0"/>
                      <w:szCs w:val="21"/>
                      <w:lang w:val="en-US" w:eastAsia="zh-CN"/>
                    </w:rPr>
                  </w:pPr>
                  <w:r>
                    <w:rPr>
                      <w:rFonts w:hint="eastAsia"/>
                      <w:bCs/>
                      <w:color w:val="auto"/>
                      <w:kern w:val="0"/>
                      <w:szCs w:val="21"/>
                      <w:lang w:val="en-US" w:eastAsia="zh-CN"/>
                    </w:rPr>
                    <w:t>0.1596</w:t>
                  </w:r>
                </w:p>
              </w:tc>
              <w:tc>
                <w:tcPr>
                  <w:tcW w:w="1391" w:type="dxa"/>
                  <w:shd w:val="clear" w:color="auto" w:fill="auto"/>
                  <w:vAlign w:val="center"/>
                </w:tcPr>
                <w:p w14:paraId="3EE00641">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val="en-US" w:eastAsia="zh-CN"/>
                    </w:rPr>
                    <w:t>0.6384</w:t>
                  </w:r>
                </w:p>
              </w:tc>
              <w:tc>
                <w:tcPr>
                  <w:tcW w:w="1401" w:type="dxa"/>
                  <w:shd w:val="clear" w:color="auto" w:fill="auto"/>
                  <w:vAlign w:val="center"/>
                </w:tcPr>
                <w:p w14:paraId="156CB2DB">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eastAsia="宋体"/>
                      <w:bCs/>
                      <w:color w:val="auto"/>
                      <w:kern w:val="0"/>
                      <w:szCs w:val="21"/>
                      <w:lang w:val="en-US" w:eastAsia="zh-CN"/>
                    </w:rPr>
                  </w:pPr>
                  <w:r>
                    <w:rPr>
                      <w:rFonts w:hint="eastAsia"/>
                      <w:bCs/>
                      <w:color w:val="auto"/>
                      <w:kern w:val="0"/>
                      <w:szCs w:val="21"/>
                      <w:lang w:val="en-US" w:eastAsia="zh-CN"/>
                    </w:rPr>
                    <w:t>0.114</w:t>
                  </w:r>
                </w:p>
              </w:tc>
            </w:tr>
            <w:tr w14:paraId="3D1A0D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2D524EB7">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685" w:type="dxa"/>
                  <w:vMerge w:val="continue"/>
                  <w:shd w:val="clear" w:color="auto" w:fill="auto"/>
                  <w:vAlign w:val="center"/>
                </w:tcPr>
                <w:p w14:paraId="6CAACFAE">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1590" w:type="dxa"/>
                  <w:shd w:val="clear" w:color="auto" w:fill="auto"/>
                  <w:vAlign w:val="center"/>
                </w:tcPr>
                <w:p w14:paraId="7AAA7A18">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SS</w:t>
                  </w:r>
                </w:p>
              </w:tc>
              <w:tc>
                <w:tcPr>
                  <w:tcW w:w="1310" w:type="dxa"/>
                  <w:shd w:val="clear" w:color="auto" w:fill="auto"/>
                  <w:vAlign w:val="center"/>
                </w:tcPr>
                <w:p w14:paraId="3CCC38A4">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val="en-US" w:eastAsia="zh-CN"/>
                    </w:rPr>
                    <w:t>0.456</w:t>
                  </w:r>
                </w:p>
              </w:tc>
              <w:tc>
                <w:tcPr>
                  <w:tcW w:w="1363" w:type="dxa"/>
                  <w:shd w:val="clear" w:color="auto" w:fill="auto"/>
                  <w:vAlign w:val="center"/>
                </w:tcPr>
                <w:p w14:paraId="4AB021D0">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Cs/>
                      <w:color w:val="auto"/>
                      <w:kern w:val="0"/>
                      <w:szCs w:val="21"/>
                      <w:lang w:val="en-US" w:eastAsia="zh-CN"/>
                    </w:rPr>
                  </w:pPr>
                  <w:r>
                    <w:rPr>
                      <w:rFonts w:hint="eastAsia"/>
                      <w:bCs/>
                      <w:color w:val="auto"/>
                      <w:kern w:val="0"/>
                      <w:szCs w:val="21"/>
                      <w:lang w:val="en-US" w:eastAsia="zh-CN"/>
                    </w:rPr>
                    <w:t>0.288</w:t>
                  </w:r>
                </w:p>
              </w:tc>
              <w:tc>
                <w:tcPr>
                  <w:tcW w:w="1391" w:type="dxa"/>
                  <w:shd w:val="clear" w:color="auto" w:fill="auto"/>
                  <w:vAlign w:val="center"/>
                </w:tcPr>
                <w:p w14:paraId="21433F59">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val="en-US" w:eastAsia="zh-CN"/>
                    </w:rPr>
                    <w:t>0.228</w:t>
                  </w:r>
                </w:p>
              </w:tc>
              <w:tc>
                <w:tcPr>
                  <w:tcW w:w="1401" w:type="dxa"/>
                  <w:shd w:val="clear" w:color="auto" w:fill="auto"/>
                  <w:vAlign w:val="center"/>
                </w:tcPr>
                <w:p w14:paraId="079643B8">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Cs/>
                      <w:color w:val="auto"/>
                      <w:kern w:val="0"/>
                      <w:szCs w:val="21"/>
                      <w:lang w:val="en-US" w:eastAsia="zh-CN"/>
                    </w:rPr>
                  </w:pPr>
                  <w:r>
                    <w:rPr>
                      <w:rFonts w:hint="eastAsia"/>
                      <w:bCs/>
                      <w:color w:val="auto"/>
                      <w:kern w:val="0"/>
                      <w:szCs w:val="21"/>
                      <w:lang w:val="en-US" w:eastAsia="zh-CN"/>
                    </w:rPr>
                    <w:t>0.0228</w:t>
                  </w:r>
                </w:p>
              </w:tc>
            </w:tr>
            <w:tr w14:paraId="431696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323DDA1E">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685" w:type="dxa"/>
                  <w:vMerge w:val="continue"/>
                  <w:shd w:val="clear" w:color="auto" w:fill="auto"/>
                  <w:vAlign w:val="center"/>
                </w:tcPr>
                <w:p w14:paraId="6B6CA024">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1590" w:type="dxa"/>
                  <w:shd w:val="clear" w:color="auto" w:fill="auto"/>
                  <w:vAlign w:val="center"/>
                </w:tcPr>
                <w:p w14:paraId="26CDBEB9">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NH</w:t>
                  </w:r>
                  <w:r>
                    <w:rPr>
                      <w:color w:val="auto"/>
                      <w:szCs w:val="21"/>
                      <w:vertAlign w:val="subscript"/>
                    </w:rPr>
                    <w:t>3</w:t>
                  </w:r>
                  <w:r>
                    <w:rPr>
                      <w:color w:val="auto"/>
                      <w:szCs w:val="21"/>
                    </w:rPr>
                    <w:t>-N</w:t>
                  </w:r>
                </w:p>
              </w:tc>
              <w:tc>
                <w:tcPr>
                  <w:tcW w:w="1310" w:type="dxa"/>
                  <w:shd w:val="clear" w:color="auto" w:fill="auto"/>
                  <w:vAlign w:val="center"/>
                </w:tcPr>
                <w:p w14:paraId="1DEF7510">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val="en-US" w:eastAsia="zh-CN"/>
                    </w:rPr>
                    <w:t>0.0684</w:t>
                  </w:r>
                </w:p>
              </w:tc>
              <w:tc>
                <w:tcPr>
                  <w:tcW w:w="1363" w:type="dxa"/>
                  <w:shd w:val="clear" w:color="auto" w:fill="auto"/>
                  <w:vAlign w:val="center"/>
                </w:tcPr>
                <w:p w14:paraId="30389E3B">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bCs/>
                      <w:color w:val="auto"/>
                      <w:kern w:val="0"/>
                      <w:szCs w:val="21"/>
                      <w:lang w:val="en-US" w:eastAsia="zh-CN"/>
                    </w:rPr>
                  </w:pPr>
                  <w:r>
                    <w:rPr>
                      <w:rFonts w:hint="eastAsia"/>
                      <w:bCs/>
                      <w:color w:val="auto"/>
                      <w:kern w:val="0"/>
                      <w:szCs w:val="21"/>
                      <w:lang w:val="en-US" w:eastAsia="zh-CN"/>
                    </w:rPr>
                    <w:t>0</w:t>
                  </w:r>
                </w:p>
              </w:tc>
              <w:tc>
                <w:tcPr>
                  <w:tcW w:w="1391" w:type="dxa"/>
                  <w:shd w:val="clear" w:color="auto" w:fill="auto"/>
                  <w:vAlign w:val="center"/>
                </w:tcPr>
                <w:p w14:paraId="7A8AC2E6">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val="en-US" w:eastAsia="zh-CN"/>
                    </w:rPr>
                    <w:t>0.0684</w:t>
                  </w:r>
                </w:p>
              </w:tc>
              <w:tc>
                <w:tcPr>
                  <w:tcW w:w="1401" w:type="dxa"/>
                  <w:shd w:val="clear" w:color="auto" w:fill="auto"/>
                  <w:vAlign w:val="center"/>
                </w:tcPr>
                <w:p w14:paraId="5CCFB1D5">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eastAsia="宋体"/>
                      <w:bCs/>
                      <w:color w:val="auto"/>
                      <w:kern w:val="0"/>
                      <w:szCs w:val="21"/>
                      <w:lang w:val="en-US" w:eastAsia="zh-CN"/>
                    </w:rPr>
                  </w:pPr>
                  <w:r>
                    <w:rPr>
                      <w:rFonts w:hint="eastAsia"/>
                      <w:bCs/>
                      <w:color w:val="auto"/>
                      <w:kern w:val="0"/>
                      <w:szCs w:val="21"/>
                      <w:lang w:val="en-US" w:eastAsia="zh-CN"/>
                    </w:rPr>
                    <w:t>0.01824</w:t>
                  </w:r>
                </w:p>
              </w:tc>
            </w:tr>
            <w:tr w14:paraId="3BE5FF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698D91B8">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685" w:type="dxa"/>
                  <w:vMerge w:val="continue"/>
                  <w:shd w:val="clear" w:color="auto" w:fill="auto"/>
                  <w:vAlign w:val="center"/>
                </w:tcPr>
                <w:p w14:paraId="315B2765">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1590" w:type="dxa"/>
                  <w:shd w:val="clear" w:color="auto" w:fill="auto"/>
                  <w:vAlign w:val="center"/>
                </w:tcPr>
                <w:p w14:paraId="117A851F">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TN</w:t>
                  </w:r>
                </w:p>
              </w:tc>
              <w:tc>
                <w:tcPr>
                  <w:tcW w:w="1310" w:type="dxa"/>
                  <w:shd w:val="clear" w:color="auto" w:fill="auto"/>
                  <w:vAlign w:val="center"/>
                </w:tcPr>
                <w:p w14:paraId="62D2E9D6">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val="en-US" w:eastAsia="zh-CN"/>
                    </w:rPr>
                    <w:t>0.0798</w:t>
                  </w:r>
                </w:p>
              </w:tc>
              <w:tc>
                <w:tcPr>
                  <w:tcW w:w="1363" w:type="dxa"/>
                  <w:shd w:val="clear" w:color="auto" w:fill="auto"/>
                  <w:vAlign w:val="center"/>
                </w:tcPr>
                <w:p w14:paraId="6641B568">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bCs/>
                      <w:color w:val="auto"/>
                      <w:kern w:val="0"/>
                      <w:szCs w:val="21"/>
                      <w:lang w:val="en-US" w:eastAsia="zh-CN"/>
                    </w:rPr>
                  </w:pPr>
                  <w:r>
                    <w:rPr>
                      <w:rFonts w:hint="eastAsia"/>
                      <w:bCs/>
                      <w:color w:val="auto"/>
                      <w:kern w:val="0"/>
                      <w:szCs w:val="21"/>
                      <w:lang w:val="en-US" w:eastAsia="zh-CN"/>
                    </w:rPr>
                    <w:t>0</w:t>
                  </w:r>
                </w:p>
              </w:tc>
              <w:tc>
                <w:tcPr>
                  <w:tcW w:w="1391" w:type="dxa"/>
                  <w:shd w:val="clear" w:color="auto" w:fill="auto"/>
                  <w:vAlign w:val="center"/>
                </w:tcPr>
                <w:p w14:paraId="12C26E3F">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val="en-US" w:eastAsia="zh-CN"/>
                    </w:rPr>
                    <w:t>0.0798</w:t>
                  </w:r>
                </w:p>
              </w:tc>
              <w:tc>
                <w:tcPr>
                  <w:tcW w:w="1401" w:type="dxa"/>
                  <w:shd w:val="clear" w:color="auto" w:fill="auto"/>
                  <w:vAlign w:val="center"/>
                </w:tcPr>
                <w:p w14:paraId="38C7DBEB">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Cs/>
                      <w:color w:val="auto"/>
                      <w:kern w:val="0"/>
                      <w:szCs w:val="21"/>
                      <w:lang w:val="en-US" w:eastAsia="zh-CN"/>
                    </w:rPr>
                  </w:pPr>
                  <w:r>
                    <w:rPr>
                      <w:rFonts w:hint="eastAsia"/>
                      <w:bCs/>
                      <w:color w:val="auto"/>
                      <w:kern w:val="0"/>
                      <w:szCs w:val="21"/>
                      <w:lang w:val="en-US" w:eastAsia="zh-CN"/>
                    </w:rPr>
                    <w:t>0.0342</w:t>
                  </w:r>
                </w:p>
              </w:tc>
            </w:tr>
            <w:tr w14:paraId="3BDA52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26AD5FCB">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685" w:type="dxa"/>
                  <w:vMerge w:val="continue"/>
                  <w:shd w:val="clear" w:color="auto" w:fill="auto"/>
                  <w:vAlign w:val="center"/>
                </w:tcPr>
                <w:p w14:paraId="6CA281B3">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1590" w:type="dxa"/>
                  <w:shd w:val="clear" w:color="auto" w:fill="auto"/>
                  <w:vAlign w:val="center"/>
                </w:tcPr>
                <w:p w14:paraId="1121209F">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TP</w:t>
                  </w:r>
                </w:p>
              </w:tc>
              <w:tc>
                <w:tcPr>
                  <w:tcW w:w="1310" w:type="dxa"/>
                  <w:shd w:val="clear" w:color="auto" w:fill="auto"/>
                  <w:vAlign w:val="center"/>
                </w:tcPr>
                <w:p w14:paraId="7F626A78">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val="en-US" w:eastAsia="zh-CN"/>
                    </w:rPr>
                    <w:t>0.00912</w:t>
                  </w:r>
                </w:p>
              </w:tc>
              <w:tc>
                <w:tcPr>
                  <w:tcW w:w="1363" w:type="dxa"/>
                  <w:shd w:val="clear" w:color="auto" w:fill="auto"/>
                  <w:vAlign w:val="center"/>
                </w:tcPr>
                <w:p w14:paraId="0E419C61">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bCs/>
                      <w:color w:val="auto"/>
                      <w:kern w:val="0"/>
                      <w:szCs w:val="21"/>
                      <w:lang w:val="en-US" w:eastAsia="zh-CN"/>
                    </w:rPr>
                  </w:pPr>
                  <w:r>
                    <w:rPr>
                      <w:rFonts w:hint="eastAsia"/>
                      <w:bCs/>
                      <w:color w:val="auto"/>
                      <w:kern w:val="0"/>
                      <w:szCs w:val="21"/>
                      <w:lang w:val="en-US" w:eastAsia="zh-CN"/>
                    </w:rPr>
                    <w:t>0</w:t>
                  </w:r>
                </w:p>
              </w:tc>
              <w:tc>
                <w:tcPr>
                  <w:tcW w:w="1391" w:type="dxa"/>
                  <w:shd w:val="clear" w:color="auto" w:fill="auto"/>
                  <w:vAlign w:val="center"/>
                </w:tcPr>
                <w:p w14:paraId="4AEDDFC1">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val="en-US" w:eastAsia="zh-CN"/>
                    </w:rPr>
                    <w:t>0.00912</w:t>
                  </w:r>
                </w:p>
              </w:tc>
              <w:tc>
                <w:tcPr>
                  <w:tcW w:w="1401" w:type="dxa"/>
                  <w:shd w:val="clear" w:color="auto" w:fill="auto"/>
                  <w:vAlign w:val="center"/>
                </w:tcPr>
                <w:p w14:paraId="54F62225">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eastAsia="宋体"/>
                      <w:bCs/>
                      <w:color w:val="auto"/>
                      <w:kern w:val="0"/>
                      <w:szCs w:val="21"/>
                      <w:lang w:val="en-US" w:eastAsia="zh-CN"/>
                    </w:rPr>
                  </w:pPr>
                  <w:r>
                    <w:rPr>
                      <w:rFonts w:hint="eastAsia"/>
                      <w:bCs/>
                      <w:color w:val="auto"/>
                      <w:kern w:val="0"/>
                      <w:szCs w:val="21"/>
                      <w:lang w:val="en-US" w:eastAsia="zh-CN"/>
                    </w:rPr>
                    <w:t>0.00114</w:t>
                  </w:r>
                </w:p>
              </w:tc>
            </w:tr>
            <w:tr w14:paraId="61CA38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3641F7E2">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685" w:type="dxa"/>
                  <w:vMerge w:val="continue"/>
                  <w:shd w:val="clear" w:color="auto" w:fill="auto"/>
                  <w:vAlign w:val="center"/>
                </w:tcPr>
                <w:p w14:paraId="20DF0ED6">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1590" w:type="dxa"/>
                  <w:shd w:val="clear" w:color="auto" w:fill="auto"/>
                  <w:vAlign w:val="center"/>
                </w:tcPr>
                <w:p w14:paraId="6B2FAB75">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动植物油</w:t>
                  </w:r>
                </w:p>
              </w:tc>
              <w:tc>
                <w:tcPr>
                  <w:tcW w:w="1310" w:type="dxa"/>
                  <w:shd w:val="clear" w:color="auto" w:fill="auto"/>
                  <w:vAlign w:val="center"/>
                </w:tcPr>
                <w:p w14:paraId="48A58B7F">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val="en-US" w:eastAsia="zh-CN"/>
                    </w:rPr>
                    <w:t>0.0576</w:t>
                  </w:r>
                </w:p>
              </w:tc>
              <w:tc>
                <w:tcPr>
                  <w:tcW w:w="1363" w:type="dxa"/>
                  <w:shd w:val="clear" w:color="auto" w:fill="auto"/>
                  <w:vAlign w:val="center"/>
                </w:tcPr>
                <w:p w14:paraId="7BE77D2D">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Cs/>
                      <w:color w:val="auto"/>
                      <w:kern w:val="0"/>
                      <w:szCs w:val="21"/>
                      <w:lang w:val="en-US" w:eastAsia="zh-CN"/>
                    </w:rPr>
                  </w:pPr>
                  <w:r>
                    <w:rPr>
                      <w:rFonts w:hint="eastAsia"/>
                      <w:bCs/>
                      <w:color w:val="auto"/>
                      <w:kern w:val="0"/>
                      <w:szCs w:val="21"/>
                      <w:lang w:val="en-US" w:eastAsia="zh-CN"/>
                    </w:rPr>
                    <w:t>0.0288</w:t>
                  </w:r>
                </w:p>
              </w:tc>
              <w:tc>
                <w:tcPr>
                  <w:tcW w:w="1391" w:type="dxa"/>
                  <w:shd w:val="clear" w:color="auto" w:fill="auto"/>
                  <w:vAlign w:val="center"/>
                </w:tcPr>
                <w:p w14:paraId="5C776BF5">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val="en-US" w:eastAsia="zh-CN"/>
                    </w:rPr>
                    <w:t>0.0288</w:t>
                  </w:r>
                </w:p>
              </w:tc>
              <w:tc>
                <w:tcPr>
                  <w:tcW w:w="1401" w:type="dxa"/>
                  <w:shd w:val="clear" w:color="auto" w:fill="auto"/>
                  <w:vAlign w:val="center"/>
                </w:tcPr>
                <w:p w14:paraId="50D0B8E3">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Cs/>
                      <w:color w:val="auto"/>
                      <w:kern w:val="0"/>
                      <w:szCs w:val="21"/>
                      <w:lang w:val="en-US" w:eastAsia="zh-CN"/>
                    </w:rPr>
                  </w:pPr>
                  <w:r>
                    <w:rPr>
                      <w:rFonts w:hint="eastAsia"/>
                      <w:bCs/>
                      <w:color w:val="auto"/>
                      <w:kern w:val="0"/>
                      <w:szCs w:val="21"/>
                      <w:lang w:val="en-US" w:eastAsia="zh-CN"/>
                    </w:rPr>
                    <w:t>0.00228</w:t>
                  </w:r>
                </w:p>
              </w:tc>
            </w:tr>
            <w:tr w14:paraId="1F35BE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restart"/>
                  <w:shd w:val="clear" w:color="auto" w:fill="auto"/>
                  <w:vAlign w:val="center"/>
                </w:tcPr>
                <w:p w14:paraId="7BF2D541">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ascii="Times New Roman" w:hAnsi="Times New Roman" w:cs="Times New Roman"/>
                      <w:bCs/>
                      <w:color w:val="auto"/>
                      <w:sz w:val="21"/>
                      <w:szCs w:val="21"/>
                    </w:rPr>
                    <w:t>固废</w:t>
                  </w:r>
                </w:p>
              </w:tc>
              <w:tc>
                <w:tcPr>
                  <w:tcW w:w="685" w:type="dxa"/>
                  <w:vMerge w:val="restart"/>
                  <w:shd w:val="clear" w:color="auto" w:fill="auto"/>
                  <w:vAlign w:val="center"/>
                </w:tcPr>
                <w:p w14:paraId="02C2542F">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hint="eastAsia" w:ascii="Times New Roman" w:hAnsi="Times New Roman" w:cs="Times New Roman"/>
                      <w:bCs/>
                      <w:color w:val="auto"/>
                      <w:sz w:val="21"/>
                      <w:szCs w:val="21"/>
                    </w:rPr>
                    <w:t>一般工业固废</w:t>
                  </w:r>
                </w:p>
              </w:tc>
              <w:tc>
                <w:tcPr>
                  <w:tcW w:w="1590" w:type="dxa"/>
                  <w:shd w:val="clear" w:color="auto" w:fill="auto"/>
                  <w:vAlign w:val="center"/>
                </w:tcPr>
                <w:p w14:paraId="53D3744A">
                  <w:pPr>
                    <w:pStyle w:val="134"/>
                    <w:keepNext w:val="0"/>
                    <w:keepLines w:val="0"/>
                    <w:pageBreakBefore w:val="0"/>
                    <w:kinsoku/>
                    <w:wordWrap/>
                    <w:overflowPunct/>
                    <w:topLinePunct w:val="0"/>
                    <w:autoSpaceDE/>
                    <w:autoSpaceDN/>
                    <w:bidi w:val="0"/>
                    <w:adjustRightInd w:val="0"/>
                    <w:snapToGrid w:val="0"/>
                    <w:spacing w:beforeLines="0" w:afterLines="0" w:line="240" w:lineRule="auto"/>
                    <w:ind w:firstLine="0"/>
                    <w:textAlignment w:val="auto"/>
                    <w:rPr>
                      <w:rFonts w:ascii="Times New Roman"/>
                      <w:snapToGrid w:val="0"/>
                      <w:color w:val="auto"/>
                      <w:szCs w:val="21"/>
                      <w:lang w:val="en-US"/>
                    </w:rPr>
                  </w:pPr>
                  <w:r>
                    <w:rPr>
                      <w:rFonts w:hint="eastAsia" w:ascii="Times New Roman"/>
                      <w:snapToGrid w:val="0"/>
                      <w:color w:val="auto"/>
                      <w:szCs w:val="21"/>
                      <w:lang w:val="en-US"/>
                    </w:rPr>
                    <w:t>废边角料</w:t>
                  </w:r>
                </w:p>
              </w:tc>
              <w:tc>
                <w:tcPr>
                  <w:tcW w:w="1310" w:type="dxa"/>
                  <w:shd w:val="clear" w:color="auto" w:fill="auto"/>
                  <w:vAlign w:val="center"/>
                </w:tcPr>
                <w:p w14:paraId="483F4BE4">
                  <w:pPr>
                    <w:keepNext w:val="0"/>
                    <w:keepLines w:val="0"/>
                    <w:pageBreakBefore w:val="0"/>
                    <w:kinsoku/>
                    <w:wordWrap/>
                    <w:overflowPunct/>
                    <w:topLinePunct w:val="0"/>
                    <w:autoSpaceDE/>
                    <w:autoSpaceDN/>
                    <w:bidi w:val="0"/>
                    <w:adjustRightInd w:val="0"/>
                    <w:snapToGrid w:val="0"/>
                    <w:ind w:firstLine="0"/>
                    <w:jc w:val="center"/>
                    <w:textAlignment w:val="auto"/>
                    <w:rPr>
                      <w:snapToGrid w:val="0"/>
                      <w:color w:val="auto"/>
                      <w:szCs w:val="21"/>
                    </w:rPr>
                  </w:pPr>
                  <w:r>
                    <w:rPr>
                      <w:rFonts w:hint="eastAsia"/>
                      <w:color w:val="auto"/>
                      <w:szCs w:val="21"/>
                    </w:rPr>
                    <w:t>1.2</w:t>
                  </w:r>
                </w:p>
              </w:tc>
              <w:tc>
                <w:tcPr>
                  <w:tcW w:w="1363" w:type="dxa"/>
                  <w:shd w:val="clear" w:color="auto" w:fill="auto"/>
                  <w:vAlign w:val="center"/>
                </w:tcPr>
                <w:p w14:paraId="4C0AF5D9">
                  <w:pPr>
                    <w:keepNext w:val="0"/>
                    <w:keepLines w:val="0"/>
                    <w:pageBreakBefore w:val="0"/>
                    <w:kinsoku/>
                    <w:wordWrap/>
                    <w:overflowPunct/>
                    <w:topLinePunct w:val="0"/>
                    <w:autoSpaceDE/>
                    <w:autoSpaceDN/>
                    <w:bidi w:val="0"/>
                    <w:adjustRightInd w:val="0"/>
                    <w:snapToGrid w:val="0"/>
                    <w:ind w:firstLine="0"/>
                    <w:jc w:val="center"/>
                    <w:textAlignment w:val="auto"/>
                    <w:rPr>
                      <w:snapToGrid w:val="0"/>
                      <w:color w:val="auto"/>
                      <w:szCs w:val="21"/>
                    </w:rPr>
                  </w:pPr>
                  <w:r>
                    <w:rPr>
                      <w:rFonts w:hint="eastAsia"/>
                      <w:color w:val="auto"/>
                      <w:szCs w:val="21"/>
                    </w:rPr>
                    <w:t>1.2</w:t>
                  </w:r>
                </w:p>
              </w:tc>
              <w:tc>
                <w:tcPr>
                  <w:tcW w:w="1391" w:type="dxa"/>
                  <w:shd w:val="clear" w:color="auto" w:fill="auto"/>
                  <w:vAlign w:val="center"/>
                </w:tcPr>
                <w:p w14:paraId="420673CA">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ascii="Times New Roman" w:hAnsi="Times New Roman" w:cs="Times New Roman"/>
                      <w:bCs/>
                      <w:color w:val="auto"/>
                      <w:sz w:val="21"/>
                      <w:szCs w:val="21"/>
                    </w:rPr>
                    <w:t>0</w:t>
                  </w:r>
                </w:p>
              </w:tc>
              <w:tc>
                <w:tcPr>
                  <w:tcW w:w="1401" w:type="dxa"/>
                  <w:shd w:val="clear" w:color="auto" w:fill="auto"/>
                  <w:vAlign w:val="center"/>
                </w:tcPr>
                <w:p w14:paraId="435D90C6">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ascii="Times New Roman" w:hAnsi="Times New Roman" w:cs="Times New Roman"/>
                      <w:bCs/>
                      <w:color w:val="auto"/>
                      <w:sz w:val="21"/>
                      <w:szCs w:val="21"/>
                    </w:rPr>
                    <w:t>0</w:t>
                  </w:r>
                </w:p>
              </w:tc>
            </w:tr>
            <w:tr w14:paraId="4EE68D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25C2A899">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685" w:type="dxa"/>
                  <w:vMerge w:val="continue"/>
                  <w:shd w:val="clear" w:color="auto" w:fill="auto"/>
                  <w:vAlign w:val="center"/>
                </w:tcPr>
                <w:p w14:paraId="0A2745D9">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1590" w:type="dxa"/>
                  <w:shd w:val="clear" w:color="auto" w:fill="auto"/>
                  <w:vAlign w:val="center"/>
                </w:tcPr>
                <w:p w14:paraId="373BADA3">
                  <w:pPr>
                    <w:pStyle w:val="134"/>
                    <w:keepNext w:val="0"/>
                    <w:keepLines w:val="0"/>
                    <w:pageBreakBefore w:val="0"/>
                    <w:kinsoku/>
                    <w:wordWrap/>
                    <w:overflowPunct/>
                    <w:topLinePunct w:val="0"/>
                    <w:autoSpaceDE/>
                    <w:autoSpaceDN/>
                    <w:bidi w:val="0"/>
                    <w:adjustRightInd w:val="0"/>
                    <w:snapToGrid w:val="0"/>
                    <w:spacing w:beforeLines="0" w:afterLines="0" w:line="240" w:lineRule="auto"/>
                    <w:ind w:firstLine="0"/>
                    <w:textAlignment w:val="auto"/>
                    <w:rPr>
                      <w:rFonts w:ascii="Times New Roman"/>
                      <w:snapToGrid w:val="0"/>
                      <w:color w:val="auto"/>
                      <w:szCs w:val="21"/>
                      <w:lang w:val="en-US"/>
                    </w:rPr>
                  </w:pPr>
                  <w:r>
                    <w:rPr>
                      <w:rFonts w:hint="eastAsia" w:ascii="Times New Roman"/>
                      <w:snapToGrid w:val="0"/>
                      <w:color w:val="auto"/>
                      <w:szCs w:val="21"/>
                      <w:lang w:val="en-US"/>
                    </w:rPr>
                    <w:t>测试不合格品</w:t>
                  </w:r>
                </w:p>
              </w:tc>
              <w:tc>
                <w:tcPr>
                  <w:tcW w:w="1310" w:type="dxa"/>
                  <w:shd w:val="clear" w:color="auto" w:fill="auto"/>
                  <w:vAlign w:val="center"/>
                </w:tcPr>
                <w:p w14:paraId="6F617B00">
                  <w:pPr>
                    <w:keepNext w:val="0"/>
                    <w:keepLines w:val="0"/>
                    <w:pageBreakBefore w:val="0"/>
                    <w:kinsoku/>
                    <w:wordWrap/>
                    <w:overflowPunct/>
                    <w:topLinePunct w:val="0"/>
                    <w:autoSpaceDE/>
                    <w:autoSpaceDN/>
                    <w:bidi w:val="0"/>
                    <w:adjustRightInd w:val="0"/>
                    <w:snapToGrid w:val="0"/>
                    <w:ind w:firstLine="0"/>
                    <w:jc w:val="center"/>
                    <w:textAlignment w:val="auto"/>
                    <w:rPr>
                      <w:snapToGrid w:val="0"/>
                      <w:color w:val="auto"/>
                      <w:szCs w:val="21"/>
                    </w:rPr>
                  </w:pPr>
                  <w:r>
                    <w:rPr>
                      <w:rFonts w:hint="eastAsia"/>
                      <w:color w:val="auto"/>
                      <w:szCs w:val="21"/>
                    </w:rPr>
                    <w:t>0.6</w:t>
                  </w:r>
                </w:p>
              </w:tc>
              <w:tc>
                <w:tcPr>
                  <w:tcW w:w="1363" w:type="dxa"/>
                  <w:shd w:val="clear" w:color="auto" w:fill="auto"/>
                  <w:vAlign w:val="center"/>
                </w:tcPr>
                <w:p w14:paraId="52A28597">
                  <w:pPr>
                    <w:keepNext w:val="0"/>
                    <w:keepLines w:val="0"/>
                    <w:pageBreakBefore w:val="0"/>
                    <w:kinsoku/>
                    <w:wordWrap/>
                    <w:overflowPunct/>
                    <w:topLinePunct w:val="0"/>
                    <w:autoSpaceDE/>
                    <w:autoSpaceDN/>
                    <w:bidi w:val="0"/>
                    <w:adjustRightInd w:val="0"/>
                    <w:snapToGrid w:val="0"/>
                    <w:ind w:firstLine="0"/>
                    <w:jc w:val="center"/>
                    <w:textAlignment w:val="auto"/>
                    <w:rPr>
                      <w:snapToGrid w:val="0"/>
                      <w:color w:val="auto"/>
                      <w:szCs w:val="21"/>
                    </w:rPr>
                  </w:pPr>
                  <w:r>
                    <w:rPr>
                      <w:rFonts w:hint="eastAsia"/>
                      <w:color w:val="auto"/>
                      <w:szCs w:val="21"/>
                    </w:rPr>
                    <w:t>0.6</w:t>
                  </w:r>
                </w:p>
              </w:tc>
              <w:tc>
                <w:tcPr>
                  <w:tcW w:w="1391" w:type="dxa"/>
                  <w:shd w:val="clear" w:color="auto" w:fill="auto"/>
                  <w:vAlign w:val="center"/>
                </w:tcPr>
                <w:p w14:paraId="5B86B288">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ascii="Times New Roman" w:hAnsi="Times New Roman" w:cs="Times New Roman"/>
                      <w:bCs/>
                      <w:color w:val="auto"/>
                      <w:sz w:val="21"/>
                      <w:szCs w:val="21"/>
                    </w:rPr>
                    <w:t>0</w:t>
                  </w:r>
                </w:p>
              </w:tc>
              <w:tc>
                <w:tcPr>
                  <w:tcW w:w="1401" w:type="dxa"/>
                  <w:shd w:val="clear" w:color="auto" w:fill="auto"/>
                  <w:vAlign w:val="center"/>
                </w:tcPr>
                <w:p w14:paraId="00ABDF2E">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ascii="Times New Roman" w:hAnsi="Times New Roman" w:cs="Times New Roman"/>
                      <w:bCs/>
                      <w:color w:val="auto"/>
                      <w:sz w:val="21"/>
                      <w:szCs w:val="21"/>
                    </w:rPr>
                    <w:t>0</w:t>
                  </w:r>
                </w:p>
              </w:tc>
            </w:tr>
            <w:tr w14:paraId="736BC1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16F2358B">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685" w:type="dxa"/>
                  <w:vMerge w:val="continue"/>
                  <w:shd w:val="clear" w:color="auto" w:fill="auto"/>
                  <w:vAlign w:val="center"/>
                </w:tcPr>
                <w:p w14:paraId="10EA513A">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1590" w:type="dxa"/>
                  <w:shd w:val="clear" w:color="auto" w:fill="auto"/>
                  <w:vAlign w:val="center"/>
                </w:tcPr>
                <w:p w14:paraId="1AE1D996">
                  <w:pPr>
                    <w:pStyle w:val="134"/>
                    <w:keepNext w:val="0"/>
                    <w:keepLines w:val="0"/>
                    <w:pageBreakBefore w:val="0"/>
                    <w:kinsoku/>
                    <w:wordWrap/>
                    <w:overflowPunct/>
                    <w:topLinePunct w:val="0"/>
                    <w:autoSpaceDE/>
                    <w:autoSpaceDN/>
                    <w:bidi w:val="0"/>
                    <w:adjustRightInd w:val="0"/>
                    <w:snapToGrid w:val="0"/>
                    <w:spacing w:beforeLines="0" w:afterLines="0" w:line="240" w:lineRule="auto"/>
                    <w:ind w:firstLine="0"/>
                    <w:textAlignment w:val="auto"/>
                    <w:rPr>
                      <w:rFonts w:ascii="Times New Roman"/>
                      <w:snapToGrid w:val="0"/>
                      <w:color w:val="auto"/>
                      <w:szCs w:val="21"/>
                      <w:lang w:val="en-US"/>
                    </w:rPr>
                  </w:pPr>
                  <w:r>
                    <w:rPr>
                      <w:rFonts w:hint="eastAsia" w:ascii="Times New Roman"/>
                      <w:snapToGrid w:val="0"/>
                      <w:color w:val="auto"/>
                      <w:szCs w:val="21"/>
                      <w:lang w:val="en-US"/>
                    </w:rPr>
                    <w:t>废漆包线</w:t>
                  </w:r>
                </w:p>
              </w:tc>
              <w:tc>
                <w:tcPr>
                  <w:tcW w:w="1310" w:type="dxa"/>
                  <w:shd w:val="clear" w:color="auto" w:fill="auto"/>
                  <w:vAlign w:val="center"/>
                </w:tcPr>
                <w:p w14:paraId="1DB4D02B">
                  <w:pPr>
                    <w:keepNext w:val="0"/>
                    <w:keepLines w:val="0"/>
                    <w:pageBreakBefore w:val="0"/>
                    <w:kinsoku/>
                    <w:wordWrap/>
                    <w:overflowPunct/>
                    <w:topLinePunct w:val="0"/>
                    <w:autoSpaceDE/>
                    <w:autoSpaceDN/>
                    <w:bidi w:val="0"/>
                    <w:adjustRightInd w:val="0"/>
                    <w:snapToGrid w:val="0"/>
                    <w:ind w:firstLine="0"/>
                    <w:jc w:val="center"/>
                    <w:textAlignment w:val="auto"/>
                    <w:rPr>
                      <w:snapToGrid w:val="0"/>
                      <w:color w:val="auto"/>
                      <w:szCs w:val="21"/>
                    </w:rPr>
                  </w:pPr>
                  <w:r>
                    <w:rPr>
                      <w:rFonts w:hint="eastAsia"/>
                      <w:color w:val="auto"/>
                      <w:szCs w:val="21"/>
                      <w:lang w:bidi="ar"/>
                    </w:rPr>
                    <w:t>0.5</w:t>
                  </w:r>
                </w:p>
              </w:tc>
              <w:tc>
                <w:tcPr>
                  <w:tcW w:w="1363" w:type="dxa"/>
                  <w:shd w:val="clear" w:color="auto" w:fill="auto"/>
                  <w:vAlign w:val="center"/>
                </w:tcPr>
                <w:p w14:paraId="070F671C">
                  <w:pPr>
                    <w:keepNext w:val="0"/>
                    <w:keepLines w:val="0"/>
                    <w:pageBreakBefore w:val="0"/>
                    <w:kinsoku/>
                    <w:wordWrap/>
                    <w:overflowPunct/>
                    <w:topLinePunct w:val="0"/>
                    <w:autoSpaceDE/>
                    <w:autoSpaceDN/>
                    <w:bidi w:val="0"/>
                    <w:adjustRightInd w:val="0"/>
                    <w:snapToGrid w:val="0"/>
                    <w:ind w:firstLine="0"/>
                    <w:jc w:val="center"/>
                    <w:textAlignment w:val="auto"/>
                    <w:rPr>
                      <w:snapToGrid w:val="0"/>
                      <w:color w:val="auto"/>
                      <w:szCs w:val="21"/>
                    </w:rPr>
                  </w:pPr>
                  <w:r>
                    <w:rPr>
                      <w:rFonts w:hint="eastAsia"/>
                      <w:color w:val="auto"/>
                      <w:szCs w:val="21"/>
                      <w:lang w:bidi="ar"/>
                    </w:rPr>
                    <w:t>0.5</w:t>
                  </w:r>
                </w:p>
              </w:tc>
              <w:tc>
                <w:tcPr>
                  <w:tcW w:w="1391" w:type="dxa"/>
                  <w:shd w:val="clear" w:color="auto" w:fill="auto"/>
                  <w:vAlign w:val="center"/>
                </w:tcPr>
                <w:p w14:paraId="4A1A0257">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ascii="Times New Roman" w:hAnsi="Times New Roman" w:cs="Times New Roman"/>
                      <w:bCs/>
                      <w:color w:val="auto"/>
                      <w:sz w:val="21"/>
                      <w:szCs w:val="21"/>
                    </w:rPr>
                    <w:t>0</w:t>
                  </w:r>
                </w:p>
              </w:tc>
              <w:tc>
                <w:tcPr>
                  <w:tcW w:w="1401" w:type="dxa"/>
                  <w:shd w:val="clear" w:color="auto" w:fill="auto"/>
                  <w:vAlign w:val="center"/>
                </w:tcPr>
                <w:p w14:paraId="2774A763">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ascii="Times New Roman" w:hAnsi="Times New Roman" w:cs="Times New Roman"/>
                      <w:bCs/>
                      <w:color w:val="auto"/>
                      <w:sz w:val="21"/>
                      <w:szCs w:val="21"/>
                    </w:rPr>
                    <w:t>0</w:t>
                  </w:r>
                </w:p>
              </w:tc>
            </w:tr>
            <w:tr w14:paraId="7C2B94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77" w:type="dxa"/>
                  <w:vMerge w:val="continue"/>
                  <w:shd w:val="clear" w:color="auto" w:fill="auto"/>
                  <w:vAlign w:val="center"/>
                </w:tcPr>
                <w:p w14:paraId="2EEFB661">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685" w:type="dxa"/>
                  <w:vMerge w:val="continue"/>
                  <w:shd w:val="clear" w:color="auto" w:fill="auto"/>
                  <w:vAlign w:val="center"/>
                </w:tcPr>
                <w:p w14:paraId="2C75EC5F">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1590" w:type="dxa"/>
                  <w:shd w:val="clear" w:color="auto" w:fill="auto"/>
                  <w:vAlign w:val="center"/>
                </w:tcPr>
                <w:p w14:paraId="03C83A63">
                  <w:pPr>
                    <w:pStyle w:val="134"/>
                    <w:keepNext w:val="0"/>
                    <w:keepLines w:val="0"/>
                    <w:pageBreakBefore w:val="0"/>
                    <w:kinsoku/>
                    <w:wordWrap/>
                    <w:overflowPunct/>
                    <w:topLinePunct w:val="0"/>
                    <w:autoSpaceDE/>
                    <w:autoSpaceDN/>
                    <w:bidi w:val="0"/>
                    <w:adjustRightInd w:val="0"/>
                    <w:snapToGrid w:val="0"/>
                    <w:spacing w:beforeLines="0" w:afterLines="0" w:line="240" w:lineRule="auto"/>
                    <w:ind w:firstLine="0"/>
                    <w:textAlignment w:val="auto"/>
                    <w:rPr>
                      <w:rFonts w:ascii="Times New Roman"/>
                      <w:snapToGrid w:val="0"/>
                      <w:color w:val="auto"/>
                      <w:szCs w:val="21"/>
                      <w:lang w:val="en-US"/>
                    </w:rPr>
                  </w:pPr>
                  <w:r>
                    <w:rPr>
                      <w:rFonts w:hint="eastAsia" w:ascii="Times New Roman"/>
                      <w:snapToGrid w:val="0"/>
                      <w:color w:val="auto"/>
                      <w:szCs w:val="21"/>
                      <w:lang w:val="en-US"/>
                    </w:rPr>
                    <w:t>质量检测不合格品</w:t>
                  </w:r>
                </w:p>
              </w:tc>
              <w:tc>
                <w:tcPr>
                  <w:tcW w:w="1310" w:type="dxa"/>
                  <w:shd w:val="clear" w:color="auto" w:fill="auto"/>
                  <w:vAlign w:val="center"/>
                </w:tcPr>
                <w:p w14:paraId="3A176B23">
                  <w:pPr>
                    <w:keepNext w:val="0"/>
                    <w:keepLines w:val="0"/>
                    <w:pageBreakBefore w:val="0"/>
                    <w:kinsoku/>
                    <w:wordWrap/>
                    <w:overflowPunct/>
                    <w:topLinePunct w:val="0"/>
                    <w:autoSpaceDE/>
                    <w:autoSpaceDN/>
                    <w:bidi w:val="0"/>
                    <w:adjustRightInd w:val="0"/>
                    <w:snapToGrid w:val="0"/>
                    <w:ind w:firstLine="0"/>
                    <w:jc w:val="center"/>
                    <w:textAlignment w:val="auto"/>
                    <w:rPr>
                      <w:snapToGrid w:val="0"/>
                      <w:color w:val="auto"/>
                      <w:szCs w:val="21"/>
                    </w:rPr>
                  </w:pPr>
                  <w:r>
                    <w:rPr>
                      <w:rFonts w:hint="eastAsia"/>
                      <w:color w:val="auto"/>
                      <w:szCs w:val="21"/>
                      <w:lang w:bidi="ar"/>
                    </w:rPr>
                    <w:t>0.6</w:t>
                  </w:r>
                </w:p>
              </w:tc>
              <w:tc>
                <w:tcPr>
                  <w:tcW w:w="1363" w:type="dxa"/>
                  <w:shd w:val="clear" w:color="auto" w:fill="auto"/>
                  <w:vAlign w:val="center"/>
                </w:tcPr>
                <w:p w14:paraId="22B2FD85">
                  <w:pPr>
                    <w:keepNext w:val="0"/>
                    <w:keepLines w:val="0"/>
                    <w:pageBreakBefore w:val="0"/>
                    <w:kinsoku/>
                    <w:wordWrap/>
                    <w:overflowPunct/>
                    <w:topLinePunct w:val="0"/>
                    <w:autoSpaceDE/>
                    <w:autoSpaceDN/>
                    <w:bidi w:val="0"/>
                    <w:adjustRightInd w:val="0"/>
                    <w:snapToGrid w:val="0"/>
                    <w:ind w:firstLine="0"/>
                    <w:jc w:val="center"/>
                    <w:textAlignment w:val="auto"/>
                    <w:rPr>
                      <w:snapToGrid w:val="0"/>
                      <w:color w:val="auto"/>
                      <w:szCs w:val="21"/>
                    </w:rPr>
                  </w:pPr>
                  <w:r>
                    <w:rPr>
                      <w:rFonts w:hint="eastAsia"/>
                      <w:color w:val="auto"/>
                      <w:szCs w:val="21"/>
                      <w:lang w:bidi="ar"/>
                    </w:rPr>
                    <w:t>0.6</w:t>
                  </w:r>
                </w:p>
              </w:tc>
              <w:tc>
                <w:tcPr>
                  <w:tcW w:w="1391" w:type="dxa"/>
                  <w:shd w:val="clear" w:color="auto" w:fill="auto"/>
                  <w:vAlign w:val="center"/>
                </w:tcPr>
                <w:p w14:paraId="5EACD0C0">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ascii="Times New Roman" w:hAnsi="Times New Roman" w:cs="Times New Roman"/>
                      <w:bCs/>
                      <w:color w:val="auto"/>
                      <w:sz w:val="21"/>
                      <w:szCs w:val="21"/>
                    </w:rPr>
                    <w:t>0</w:t>
                  </w:r>
                </w:p>
              </w:tc>
              <w:tc>
                <w:tcPr>
                  <w:tcW w:w="1401" w:type="dxa"/>
                  <w:shd w:val="clear" w:color="auto" w:fill="auto"/>
                  <w:vAlign w:val="center"/>
                </w:tcPr>
                <w:p w14:paraId="1F618FF8">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ascii="Times New Roman" w:hAnsi="Times New Roman" w:cs="Times New Roman"/>
                      <w:bCs/>
                      <w:color w:val="auto"/>
                      <w:sz w:val="21"/>
                      <w:szCs w:val="21"/>
                    </w:rPr>
                    <w:t>0</w:t>
                  </w:r>
                </w:p>
              </w:tc>
            </w:tr>
            <w:tr w14:paraId="003933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29C3AA21">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685" w:type="dxa"/>
                  <w:vMerge w:val="continue"/>
                  <w:shd w:val="clear" w:color="auto" w:fill="auto"/>
                  <w:vAlign w:val="center"/>
                </w:tcPr>
                <w:p w14:paraId="603574C0">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1590" w:type="dxa"/>
                  <w:shd w:val="clear" w:color="auto" w:fill="auto"/>
                  <w:vAlign w:val="center"/>
                </w:tcPr>
                <w:p w14:paraId="4FD3A6A6">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hint="eastAsia" w:ascii="Times New Roman"/>
                      <w:snapToGrid w:val="0"/>
                      <w:color w:val="auto"/>
                      <w:sz w:val="21"/>
                      <w:szCs w:val="21"/>
                    </w:rPr>
                    <w:t>废包装材料</w:t>
                  </w:r>
                </w:p>
              </w:tc>
              <w:tc>
                <w:tcPr>
                  <w:tcW w:w="1310" w:type="dxa"/>
                  <w:shd w:val="clear" w:color="auto" w:fill="auto"/>
                  <w:vAlign w:val="center"/>
                </w:tcPr>
                <w:p w14:paraId="0E7136AE">
                  <w:pPr>
                    <w:keepNext w:val="0"/>
                    <w:keepLines w:val="0"/>
                    <w:pageBreakBefore w:val="0"/>
                    <w:kinsoku/>
                    <w:wordWrap/>
                    <w:overflowPunct/>
                    <w:topLinePunct w:val="0"/>
                    <w:autoSpaceDE/>
                    <w:autoSpaceDN/>
                    <w:bidi w:val="0"/>
                    <w:adjustRightInd w:val="0"/>
                    <w:snapToGrid w:val="0"/>
                    <w:ind w:firstLine="0"/>
                    <w:jc w:val="center"/>
                    <w:textAlignment w:val="auto"/>
                    <w:rPr>
                      <w:snapToGrid w:val="0"/>
                      <w:color w:val="auto"/>
                      <w:szCs w:val="21"/>
                    </w:rPr>
                  </w:pPr>
                  <w:r>
                    <w:rPr>
                      <w:rFonts w:hint="eastAsia"/>
                      <w:color w:val="auto"/>
                      <w:szCs w:val="21"/>
                      <w:lang w:bidi="ar"/>
                    </w:rPr>
                    <w:t>0.3</w:t>
                  </w:r>
                </w:p>
              </w:tc>
              <w:tc>
                <w:tcPr>
                  <w:tcW w:w="1363" w:type="dxa"/>
                  <w:shd w:val="clear" w:color="auto" w:fill="auto"/>
                  <w:vAlign w:val="center"/>
                </w:tcPr>
                <w:p w14:paraId="6AF5966C">
                  <w:pPr>
                    <w:keepNext w:val="0"/>
                    <w:keepLines w:val="0"/>
                    <w:pageBreakBefore w:val="0"/>
                    <w:kinsoku/>
                    <w:wordWrap/>
                    <w:overflowPunct/>
                    <w:topLinePunct w:val="0"/>
                    <w:autoSpaceDE/>
                    <w:autoSpaceDN/>
                    <w:bidi w:val="0"/>
                    <w:adjustRightInd w:val="0"/>
                    <w:snapToGrid w:val="0"/>
                    <w:ind w:firstLine="0"/>
                    <w:jc w:val="center"/>
                    <w:textAlignment w:val="auto"/>
                    <w:rPr>
                      <w:snapToGrid w:val="0"/>
                      <w:color w:val="auto"/>
                      <w:szCs w:val="21"/>
                    </w:rPr>
                  </w:pPr>
                  <w:r>
                    <w:rPr>
                      <w:rFonts w:hint="eastAsia"/>
                      <w:color w:val="auto"/>
                      <w:szCs w:val="21"/>
                      <w:lang w:bidi="ar"/>
                    </w:rPr>
                    <w:t>0.3</w:t>
                  </w:r>
                </w:p>
              </w:tc>
              <w:tc>
                <w:tcPr>
                  <w:tcW w:w="1391" w:type="dxa"/>
                  <w:shd w:val="clear" w:color="auto" w:fill="auto"/>
                  <w:vAlign w:val="center"/>
                </w:tcPr>
                <w:p w14:paraId="0EB58CC9">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ascii="Times New Roman" w:hAnsi="Times New Roman" w:cs="Times New Roman"/>
                      <w:bCs/>
                      <w:color w:val="auto"/>
                      <w:sz w:val="21"/>
                      <w:szCs w:val="21"/>
                    </w:rPr>
                    <w:t>0</w:t>
                  </w:r>
                </w:p>
              </w:tc>
              <w:tc>
                <w:tcPr>
                  <w:tcW w:w="1401" w:type="dxa"/>
                  <w:shd w:val="clear" w:color="auto" w:fill="auto"/>
                  <w:vAlign w:val="center"/>
                </w:tcPr>
                <w:p w14:paraId="5BAB99AD">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ascii="Times New Roman" w:hAnsi="Times New Roman" w:cs="Times New Roman"/>
                      <w:bCs/>
                      <w:color w:val="auto"/>
                      <w:sz w:val="21"/>
                      <w:szCs w:val="21"/>
                    </w:rPr>
                    <w:t>0</w:t>
                  </w:r>
                </w:p>
              </w:tc>
            </w:tr>
            <w:tr w14:paraId="0BBF74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775A9F39">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685" w:type="dxa"/>
                  <w:vMerge w:val="continue"/>
                  <w:shd w:val="clear" w:color="auto" w:fill="auto"/>
                  <w:vAlign w:val="center"/>
                </w:tcPr>
                <w:p w14:paraId="2F82DC61">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1590" w:type="dxa"/>
                  <w:shd w:val="clear" w:color="auto" w:fill="auto"/>
                  <w:vAlign w:val="center"/>
                </w:tcPr>
                <w:p w14:paraId="44BD0EAD">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snapToGrid w:val="0"/>
                      <w:color w:val="auto"/>
                      <w:sz w:val="21"/>
                      <w:szCs w:val="21"/>
                    </w:rPr>
                  </w:pPr>
                  <w:r>
                    <w:rPr>
                      <w:rFonts w:hint="eastAsia" w:ascii="Times New Roman"/>
                      <w:snapToGrid w:val="0"/>
                      <w:color w:val="auto"/>
                      <w:sz w:val="21"/>
                      <w:szCs w:val="21"/>
                    </w:rPr>
                    <w:t>布袋除尘灰</w:t>
                  </w:r>
                </w:p>
              </w:tc>
              <w:tc>
                <w:tcPr>
                  <w:tcW w:w="1310" w:type="dxa"/>
                  <w:shd w:val="clear" w:color="auto" w:fill="auto"/>
                  <w:vAlign w:val="center"/>
                </w:tcPr>
                <w:p w14:paraId="2214F899">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color w:val="auto"/>
                      <w:szCs w:val="21"/>
                      <w:lang w:eastAsia="zh-CN" w:bidi="ar"/>
                    </w:rPr>
                  </w:pPr>
                  <w:r>
                    <w:rPr>
                      <w:rFonts w:hint="eastAsia"/>
                      <w:color w:val="auto"/>
                      <w:szCs w:val="21"/>
                      <w:lang w:eastAsia="zh-CN" w:bidi="ar"/>
                    </w:rPr>
                    <w:t>1.294</w:t>
                  </w:r>
                </w:p>
              </w:tc>
              <w:tc>
                <w:tcPr>
                  <w:tcW w:w="1363" w:type="dxa"/>
                  <w:shd w:val="clear" w:color="auto" w:fill="auto"/>
                  <w:vAlign w:val="center"/>
                </w:tcPr>
                <w:p w14:paraId="6BA8F899">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color w:val="auto"/>
                      <w:szCs w:val="21"/>
                      <w:lang w:eastAsia="zh-CN" w:bidi="ar"/>
                    </w:rPr>
                  </w:pPr>
                  <w:r>
                    <w:rPr>
                      <w:rFonts w:hint="eastAsia"/>
                      <w:color w:val="auto"/>
                      <w:szCs w:val="21"/>
                      <w:lang w:eastAsia="zh-CN" w:bidi="ar"/>
                    </w:rPr>
                    <w:t>1.294</w:t>
                  </w:r>
                </w:p>
              </w:tc>
              <w:tc>
                <w:tcPr>
                  <w:tcW w:w="1391" w:type="dxa"/>
                  <w:shd w:val="clear" w:color="auto" w:fill="auto"/>
                  <w:vAlign w:val="center"/>
                </w:tcPr>
                <w:p w14:paraId="5237646C">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ascii="Times New Roman" w:hAnsi="Times New Roman" w:cs="Times New Roman"/>
                      <w:bCs/>
                      <w:color w:val="auto"/>
                      <w:sz w:val="21"/>
                      <w:szCs w:val="21"/>
                    </w:rPr>
                    <w:t>0</w:t>
                  </w:r>
                </w:p>
              </w:tc>
              <w:tc>
                <w:tcPr>
                  <w:tcW w:w="1401" w:type="dxa"/>
                  <w:shd w:val="clear" w:color="auto" w:fill="auto"/>
                  <w:vAlign w:val="center"/>
                </w:tcPr>
                <w:p w14:paraId="6205671E">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ascii="Times New Roman" w:hAnsi="Times New Roman" w:cs="Times New Roman"/>
                      <w:bCs/>
                      <w:color w:val="auto"/>
                      <w:sz w:val="21"/>
                      <w:szCs w:val="21"/>
                    </w:rPr>
                    <w:t>0</w:t>
                  </w:r>
                </w:p>
              </w:tc>
            </w:tr>
            <w:tr w14:paraId="7E8FB5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2AB6208A">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685" w:type="dxa"/>
                  <w:vMerge w:val="continue"/>
                  <w:shd w:val="clear" w:color="auto" w:fill="auto"/>
                  <w:vAlign w:val="center"/>
                </w:tcPr>
                <w:p w14:paraId="746E3998">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1590" w:type="dxa"/>
                  <w:shd w:val="clear" w:color="auto" w:fill="auto"/>
                  <w:vAlign w:val="center"/>
                </w:tcPr>
                <w:p w14:paraId="079786D6">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snapToGrid w:val="0"/>
                      <w:color w:val="auto"/>
                      <w:sz w:val="21"/>
                      <w:szCs w:val="21"/>
                    </w:rPr>
                  </w:pPr>
                  <w:r>
                    <w:rPr>
                      <w:rFonts w:hint="eastAsia" w:ascii="Times New Roman"/>
                      <w:snapToGrid w:val="0"/>
                      <w:color w:val="auto"/>
                      <w:sz w:val="21"/>
                      <w:szCs w:val="21"/>
                    </w:rPr>
                    <w:t>废布袋</w:t>
                  </w:r>
                </w:p>
              </w:tc>
              <w:tc>
                <w:tcPr>
                  <w:tcW w:w="1310" w:type="dxa"/>
                  <w:shd w:val="clear" w:color="auto" w:fill="auto"/>
                  <w:vAlign w:val="center"/>
                </w:tcPr>
                <w:p w14:paraId="7DA01A46">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lang w:bidi="ar"/>
                    </w:rPr>
                  </w:pPr>
                  <w:r>
                    <w:rPr>
                      <w:rFonts w:hint="eastAsia"/>
                      <w:color w:val="auto"/>
                      <w:szCs w:val="21"/>
                      <w:lang w:bidi="ar"/>
                    </w:rPr>
                    <w:t>0.0462</w:t>
                  </w:r>
                </w:p>
              </w:tc>
              <w:tc>
                <w:tcPr>
                  <w:tcW w:w="1363" w:type="dxa"/>
                  <w:shd w:val="clear" w:color="auto" w:fill="auto"/>
                  <w:vAlign w:val="center"/>
                </w:tcPr>
                <w:p w14:paraId="2D1D0F6C">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lang w:bidi="ar"/>
                    </w:rPr>
                  </w:pPr>
                  <w:r>
                    <w:rPr>
                      <w:rFonts w:hint="eastAsia"/>
                      <w:color w:val="auto"/>
                      <w:szCs w:val="21"/>
                      <w:lang w:bidi="ar"/>
                    </w:rPr>
                    <w:t>0.0462</w:t>
                  </w:r>
                </w:p>
              </w:tc>
              <w:tc>
                <w:tcPr>
                  <w:tcW w:w="1391" w:type="dxa"/>
                  <w:shd w:val="clear" w:color="auto" w:fill="auto"/>
                  <w:vAlign w:val="center"/>
                </w:tcPr>
                <w:p w14:paraId="431C44D9">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ascii="Times New Roman" w:hAnsi="Times New Roman" w:cs="Times New Roman"/>
                      <w:bCs/>
                      <w:color w:val="auto"/>
                      <w:sz w:val="21"/>
                      <w:szCs w:val="21"/>
                    </w:rPr>
                    <w:t>0</w:t>
                  </w:r>
                </w:p>
              </w:tc>
              <w:tc>
                <w:tcPr>
                  <w:tcW w:w="1401" w:type="dxa"/>
                  <w:shd w:val="clear" w:color="auto" w:fill="auto"/>
                  <w:vAlign w:val="center"/>
                </w:tcPr>
                <w:p w14:paraId="6C6EC911">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ascii="Times New Roman" w:hAnsi="Times New Roman" w:cs="Times New Roman"/>
                      <w:bCs/>
                      <w:color w:val="auto"/>
                      <w:sz w:val="21"/>
                      <w:szCs w:val="21"/>
                    </w:rPr>
                    <w:t>0</w:t>
                  </w:r>
                </w:p>
              </w:tc>
            </w:tr>
            <w:tr w14:paraId="6546DC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0EEB81D5">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685" w:type="dxa"/>
                  <w:vMerge w:val="restart"/>
                  <w:shd w:val="clear" w:color="auto" w:fill="auto"/>
                  <w:vAlign w:val="center"/>
                </w:tcPr>
                <w:p w14:paraId="3A0B4F74">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hint="eastAsia" w:ascii="Times New Roman" w:hAnsi="Times New Roman" w:cs="Times New Roman"/>
                      <w:bCs/>
                      <w:color w:val="auto"/>
                      <w:sz w:val="21"/>
                      <w:szCs w:val="21"/>
                    </w:rPr>
                    <w:t>危险废物</w:t>
                  </w:r>
                </w:p>
              </w:tc>
              <w:tc>
                <w:tcPr>
                  <w:tcW w:w="1590" w:type="dxa"/>
                  <w:shd w:val="clear" w:color="auto" w:fill="auto"/>
                  <w:vAlign w:val="center"/>
                </w:tcPr>
                <w:p w14:paraId="209153AE">
                  <w:pPr>
                    <w:pStyle w:val="134"/>
                    <w:keepNext w:val="0"/>
                    <w:keepLines w:val="0"/>
                    <w:pageBreakBefore w:val="0"/>
                    <w:kinsoku/>
                    <w:wordWrap/>
                    <w:overflowPunct/>
                    <w:topLinePunct w:val="0"/>
                    <w:autoSpaceDE/>
                    <w:autoSpaceDN/>
                    <w:bidi w:val="0"/>
                    <w:adjustRightInd w:val="0"/>
                    <w:snapToGrid w:val="0"/>
                    <w:spacing w:beforeLines="0" w:afterLines="0" w:line="240" w:lineRule="auto"/>
                    <w:ind w:firstLine="0"/>
                    <w:textAlignment w:val="auto"/>
                    <w:rPr>
                      <w:rFonts w:ascii="Times New Roman"/>
                      <w:snapToGrid w:val="0"/>
                      <w:color w:val="auto"/>
                      <w:szCs w:val="21"/>
                      <w:lang w:val="en-US"/>
                    </w:rPr>
                  </w:pPr>
                  <w:r>
                    <w:rPr>
                      <w:rFonts w:hint="eastAsia" w:ascii="Times New Roman"/>
                      <w:snapToGrid w:val="0"/>
                      <w:color w:val="auto"/>
                      <w:szCs w:val="21"/>
                      <w:lang w:val="en-US"/>
                    </w:rPr>
                    <w:t>废包装桶</w:t>
                  </w:r>
                </w:p>
              </w:tc>
              <w:tc>
                <w:tcPr>
                  <w:tcW w:w="1310" w:type="dxa"/>
                  <w:shd w:val="clear" w:color="auto" w:fill="auto"/>
                  <w:vAlign w:val="center"/>
                </w:tcPr>
                <w:p w14:paraId="2E040CD9">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snapToGrid w:val="0"/>
                      <w:color w:val="auto"/>
                      <w:szCs w:val="21"/>
                      <w:lang w:eastAsia="zh-CN"/>
                    </w:rPr>
                  </w:pPr>
                  <w:r>
                    <w:rPr>
                      <w:rFonts w:hint="eastAsia"/>
                      <w:color w:val="auto"/>
                      <w:szCs w:val="21"/>
                      <w:lang w:eastAsia="zh-CN" w:bidi="ar"/>
                    </w:rPr>
                    <w:t>0.1741</w:t>
                  </w:r>
                </w:p>
              </w:tc>
              <w:tc>
                <w:tcPr>
                  <w:tcW w:w="1363" w:type="dxa"/>
                  <w:shd w:val="clear" w:color="auto" w:fill="auto"/>
                  <w:vAlign w:val="center"/>
                </w:tcPr>
                <w:p w14:paraId="30DF279E">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snapToGrid w:val="0"/>
                      <w:color w:val="auto"/>
                      <w:szCs w:val="21"/>
                      <w:lang w:eastAsia="zh-CN"/>
                    </w:rPr>
                  </w:pPr>
                  <w:r>
                    <w:rPr>
                      <w:rFonts w:hint="eastAsia"/>
                      <w:color w:val="auto"/>
                      <w:szCs w:val="21"/>
                      <w:lang w:eastAsia="zh-CN" w:bidi="ar"/>
                    </w:rPr>
                    <w:t>0.1741</w:t>
                  </w:r>
                </w:p>
              </w:tc>
              <w:tc>
                <w:tcPr>
                  <w:tcW w:w="1391" w:type="dxa"/>
                  <w:shd w:val="clear" w:color="auto" w:fill="auto"/>
                  <w:vAlign w:val="center"/>
                </w:tcPr>
                <w:p w14:paraId="06FB4634">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ascii="Times New Roman" w:hAnsi="Times New Roman" w:cs="Times New Roman"/>
                      <w:bCs/>
                      <w:color w:val="auto"/>
                      <w:sz w:val="21"/>
                      <w:szCs w:val="21"/>
                    </w:rPr>
                    <w:t>0</w:t>
                  </w:r>
                </w:p>
              </w:tc>
              <w:tc>
                <w:tcPr>
                  <w:tcW w:w="1401" w:type="dxa"/>
                  <w:shd w:val="clear" w:color="auto" w:fill="auto"/>
                  <w:vAlign w:val="center"/>
                </w:tcPr>
                <w:p w14:paraId="29A365A1">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ascii="Times New Roman" w:hAnsi="Times New Roman" w:cs="Times New Roman"/>
                      <w:bCs/>
                      <w:color w:val="auto"/>
                      <w:sz w:val="21"/>
                      <w:szCs w:val="21"/>
                    </w:rPr>
                    <w:t>0</w:t>
                  </w:r>
                </w:p>
              </w:tc>
            </w:tr>
            <w:tr w14:paraId="294554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53385F0A">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685" w:type="dxa"/>
                  <w:vMerge w:val="continue"/>
                  <w:shd w:val="clear" w:color="auto" w:fill="auto"/>
                  <w:vAlign w:val="center"/>
                </w:tcPr>
                <w:p w14:paraId="18AFDBFA">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1590" w:type="dxa"/>
                  <w:shd w:val="clear" w:color="auto" w:fill="auto"/>
                  <w:vAlign w:val="center"/>
                </w:tcPr>
                <w:p w14:paraId="152DF9D9">
                  <w:pPr>
                    <w:pStyle w:val="134"/>
                    <w:keepNext w:val="0"/>
                    <w:keepLines w:val="0"/>
                    <w:pageBreakBefore w:val="0"/>
                    <w:kinsoku/>
                    <w:wordWrap/>
                    <w:overflowPunct/>
                    <w:topLinePunct w:val="0"/>
                    <w:autoSpaceDE/>
                    <w:autoSpaceDN/>
                    <w:bidi w:val="0"/>
                    <w:adjustRightInd w:val="0"/>
                    <w:snapToGrid w:val="0"/>
                    <w:spacing w:beforeLines="0" w:afterLines="0" w:line="240" w:lineRule="auto"/>
                    <w:ind w:firstLine="0"/>
                    <w:textAlignment w:val="auto"/>
                    <w:rPr>
                      <w:rFonts w:ascii="Times New Roman"/>
                      <w:snapToGrid w:val="0"/>
                      <w:color w:val="auto"/>
                      <w:szCs w:val="21"/>
                      <w:lang w:val="en-US"/>
                    </w:rPr>
                  </w:pPr>
                  <w:r>
                    <w:rPr>
                      <w:rFonts w:hint="eastAsia" w:ascii="Times New Roman"/>
                      <w:snapToGrid w:val="0"/>
                      <w:color w:val="auto"/>
                      <w:szCs w:val="21"/>
                      <w:lang w:val="en-US"/>
                    </w:rPr>
                    <w:t>废活性炭</w:t>
                  </w:r>
                </w:p>
              </w:tc>
              <w:tc>
                <w:tcPr>
                  <w:tcW w:w="1310" w:type="dxa"/>
                  <w:shd w:val="clear" w:color="auto" w:fill="auto"/>
                  <w:vAlign w:val="center"/>
                </w:tcPr>
                <w:p w14:paraId="56EE4A5F">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snapToGrid w:val="0"/>
                      <w:color w:val="auto"/>
                      <w:szCs w:val="21"/>
                      <w:lang w:eastAsia="zh-CN"/>
                    </w:rPr>
                  </w:pPr>
                  <w:r>
                    <w:rPr>
                      <w:rFonts w:hint="eastAsia"/>
                      <w:color w:val="auto"/>
                      <w:szCs w:val="21"/>
                      <w:lang w:eastAsia="zh-CN" w:bidi="ar"/>
                    </w:rPr>
                    <w:t>1.1924</w:t>
                  </w:r>
                </w:p>
              </w:tc>
              <w:tc>
                <w:tcPr>
                  <w:tcW w:w="1363" w:type="dxa"/>
                  <w:shd w:val="clear" w:color="auto" w:fill="auto"/>
                  <w:vAlign w:val="center"/>
                </w:tcPr>
                <w:p w14:paraId="49139CD5">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snapToGrid w:val="0"/>
                      <w:color w:val="auto"/>
                      <w:szCs w:val="21"/>
                      <w:lang w:eastAsia="zh-CN"/>
                    </w:rPr>
                  </w:pPr>
                  <w:r>
                    <w:rPr>
                      <w:rFonts w:hint="eastAsia"/>
                      <w:color w:val="auto"/>
                      <w:szCs w:val="21"/>
                      <w:lang w:eastAsia="zh-CN" w:bidi="ar"/>
                    </w:rPr>
                    <w:t>1.1924</w:t>
                  </w:r>
                </w:p>
              </w:tc>
              <w:tc>
                <w:tcPr>
                  <w:tcW w:w="1391" w:type="dxa"/>
                  <w:shd w:val="clear" w:color="auto" w:fill="auto"/>
                  <w:vAlign w:val="center"/>
                </w:tcPr>
                <w:p w14:paraId="37EB79DC">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ascii="Times New Roman" w:hAnsi="Times New Roman" w:cs="Times New Roman"/>
                      <w:bCs/>
                      <w:color w:val="auto"/>
                      <w:sz w:val="21"/>
                      <w:szCs w:val="21"/>
                    </w:rPr>
                    <w:t>0</w:t>
                  </w:r>
                </w:p>
              </w:tc>
              <w:tc>
                <w:tcPr>
                  <w:tcW w:w="1401" w:type="dxa"/>
                  <w:shd w:val="clear" w:color="auto" w:fill="auto"/>
                  <w:vAlign w:val="center"/>
                </w:tcPr>
                <w:p w14:paraId="0A6843C8">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ascii="Times New Roman" w:hAnsi="Times New Roman" w:cs="Times New Roman"/>
                      <w:bCs/>
                      <w:color w:val="auto"/>
                      <w:sz w:val="21"/>
                      <w:szCs w:val="21"/>
                    </w:rPr>
                    <w:t>0</w:t>
                  </w:r>
                </w:p>
              </w:tc>
            </w:tr>
            <w:tr w14:paraId="4A4801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1D2C5840">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685" w:type="dxa"/>
                  <w:vMerge w:val="continue"/>
                  <w:shd w:val="clear" w:color="auto" w:fill="auto"/>
                  <w:vAlign w:val="center"/>
                </w:tcPr>
                <w:p w14:paraId="313C5EEB">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1590" w:type="dxa"/>
                  <w:shd w:val="clear" w:color="auto" w:fill="auto"/>
                  <w:vAlign w:val="center"/>
                </w:tcPr>
                <w:p w14:paraId="36120D79">
                  <w:pPr>
                    <w:pStyle w:val="134"/>
                    <w:keepNext w:val="0"/>
                    <w:keepLines w:val="0"/>
                    <w:pageBreakBefore w:val="0"/>
                    <w:kinsoku/>
                    <w:wordWrap/>
                    <w:overflowPunct/>
                    <w:topLinePunct w:val="0"/>
                    <w:autoSpaceDE/>
                    <w:autoSpaceDN/>
                    <w:bidi w:val="0"/>
                    <w:adjustRightInd w:val="0"/>
                    <w:snapToGrid w:val="0"/>
                    <w:spacing w:beforeLines="0" w:afterLines="0" w:line="240" w:lineRule="auto"/>
                    <w:ind w:firstLine="0"/>
                    <w:textAlignment w:val="auto"/>
                    <w:rPr>
                      <w:rFonts w:ascii="Times New Roman"/>
                      <w:snapToGrid w:val="0"/>
                      <w:color w:val="auto"/>
                      <w:szCs w:val="21"/>
                      <w:lang w:val="en-US"/>
                    </w:rPr>
                  </w:pPr>
                  <w:r>
                    <w:rPr>
                      <w:rFonts w:hint="eastAsia" w:ascii="Times New Roman"/>
                      <w:snapToGrid w:val="0"/>
                      <w:color w:val="auto"/>
                      <w:szCs w:val="21"/>
                      <w:lang w:val="en-US"/>
                    </w:rPr>
                    <w:t>废润滑油</w:t>
                  </w:r>
                </w:p>
              </w:tc>
              <w:tc>
                <w:tcPr>
                  <w:tcW w:w="1310" w:type="dxa"/>
                  <w:shd w:val="clear" w:color="auto" w:fill="auto"/>
                  <w:vAlign w:val="center"/>
                </w:tcPr>
                <w:p w14:paraId="1F565FDA">
                  <w:pPr>
                    <w:keepNext w:val="0"/>
                    <w:keepLines w:val="0"/>
                    <w:pageBreakBefore w:val="0"/>
                    <w:kinsoku/>
                    <w:wordWrap/>
                    <w:overflowPunct/>
                    <w:topLinePunct w:val="0"/>
                    <w:autoSpaceDE/>
                    <w:autoSpaceDN/>
                    <w:bidi w:val="0"/>
                    <w:adjustRightInd w:val="0"/>
                    <w:snapToGrid w:val="0"/>
                    <w:ind w:firstLine="0"/>
                    <w:jc w:val="center"/>
                    <w:textAlignment w:val="auto"/>
                    <w:rPr>
                      <w:snapToGrid w:val="0"/>
                      <w:color w:val="auto"/>
                      <w:szCs w:val="21"/>
                    </w:rPr>
                  </w:pPr>
                  <w:r>
                    <w:rPr>
                      <w:rFonts w:hint="eastAsia"/>
                      <w:color w:val="auto"/>
                      <w:szCs w:val="21"/>
                      <w:lang w:bidi="ar"/>
                    </w:rPr>
                    <w:t>0.1</w:t>
                  </w:r>
                </w:p>
              </w:tc>
              <w:tc>
                <w:tcPr>
                  <w:tcW w:w="1363" w:type="dxa"/>
                  <w:shd w:val="clear" w:color="auto" w:fill="auto"/>
                  <w:vAlign w:val="center"/>
                </w:tcPr>
                <w:p w14:paraId="16736349">
                  <w:pPr>
                    <w:keepNext w:val="0"/>
                    <w:keepLines w:val="0"/>
                    <w:pageBreakBefore w:val="0"/>
                    <w:kinsoku/>
                    <w:wordWrap/>
                    <w:overflowPunct/>
                    <w:topLinePunct w:val="0"/>
                    <w:autoSpaceDE/>
                    <w:autoSpaceDN/>
                    <w:bidi w:val="0"/>
                    <w:adjustRightInd w:val="0"/>
                    <w:snapToGrid w:val="0"/>
                    <w:ind w:firstLine="0"/>
                    <w:jc w:val="center"/>
                    <w:textAlignment w:val="auto"/>
                    <w:rPr>
                      <w:snapToGrid w:val="0"/>
                      <w:color w:val="auto"/>
                      <w:szCs w:val="21"/>
                    </w:rPr>
                  </w:pPr>
                  <w:r>
                    <w:rPr>
                      <w:rFonts w:hint="eastAsia"/>
                      <w:color w:val="auto"/>
                      <w:szCs w:val="21"/>
                      <w:lang w:bidi="ar"/>
                    </w:rPr>
                    <w:t>0.1</w:t>
                  </w:r>
                </w:p>
              </w:tc>
              <w:tc>
                <w:tcPr>
                  <w:tcW w:w="1391" w:type="dxa"/>
                  <w:shd w:val="clear" w:color="auto" w:fill="auto"/>
                  <w:vAlign w:val="center"/>
                </w:tcPr>
                <w:p w14:paraId="6F4C326B">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ascii="Times New Roman" w:hAnsi="Times New Roman" w:cs="Times New Roman"/>
                      <w:bCs/>
                      <w:color w:val="auto"/>
                      <w:sz w:val="21"/>
                      <w:szCs w:val="21"/>
                    </w:rPr>
                    <w:t>0</w:t>
                  </w:r>
                </w:p>
              </w:tc>
              <w:tc>
                <w:tcPr>
                  <w:tcW w:w="1401" w:type="dxa"/>
                  <w:shd w:val="clear" w:color="auto" w:fill="auto"/>
                  <w:vAlign w:val="center"/>
                </w:tcPr>
                <w:p w14:paraId="5FC9ABB1">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ascii="Times New Roman" w:hAnsi="Times New Roman" w:cs="Times New Roman"/>
                      <w:bCs/>
                      <w:color w:val="auto"/>
                      <w:sz w:val="21"/>
                      <w:szCs w:val="21"/>
                    </w:rPr>
                    <w:t>0</w:t>
                  </w:r>
                </w:p>
              </w:tc>
            </w:tr>
            <w:tr w14:paraId="63A518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35BC2188">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685" w:type="dxa"/>
                  <w:vMerge w:val="continue"/>
                  <w:shd w:val="clear" w:color="auto" w:fill="auto"/>
                  <w:vAlign w:val="center"/>
                </w:tcPr>
                <w:p w14:paraId="51504625">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1590" w:type="dxa"/>
                  <w:shd w:val="clear" w:color="auto" w:fill="auto"/>
                  <w:vAlign w:val="center"/>
                </w:tcPr>
                <w:p w14:paraId="27611F86">
                  <w:pPr>
                    <w:pStyle w:val="134"/>
                    <w:keepNext w:val="0"/>
                    <w:keepLines w:val="0"/>
                    <w:pageBreakBefore w:val="0"/>
                    <w:kinsoku/>
                    <w:wordWrap/>
                    <w:overflowPunct/>
                    <w:topLinePunct w:val="0"/>
                    <w:autoSpaceDE/>
                    <w:autoSpaceDN/>
                    <w:bidi w:val="0"/>
                    <w:adjustRightInd w:val="0"/>
                    <w:snapToGrid w:val="0"/>
                    <w:spacing w:beforeLines="0" w:afterLines="0" w:line="240" w:lineRule="auto"/>
                    <w:ind w:firstLine="0"/>
                    <w:textAlignment w:val="auto"/>
                    <w:rPr>
                      <w:rFonts w:ascii="Times New Roman"/>
                      <w:snapToGrid w:val="0"/>
                      <w:color w:val="auto"/>
                      <w:szCs w:val="21"/>
                      <w:lang w:val="en-US"/>
                    </w:rPr>
                  </w:pPr>
                  <w:r>
                    <w:rPr>
                      <w:rFonts w:hint="eastAsia" w:ascii="Times New Roman"/>
                      <w:snapToGrid w:val="0"/>
                      <w:color w:val="auto"/>
                      <w:szCs w:val="21"/>
                      <w:lang w:val="en-US"/>
                    </w:rPr>
                    <w:t>废切削液</w:t>
                  </w:r>
                </w:p>
              </w:tc>
              <w:tc>
                <w:tcPr>
                  <w:tcW w:w="1310" w:type="dxa"/>
                  <w:shd w:val="clear" w:color="auto" w:fill="auto"/>
                  <w:vAlign w:val="center"/>
                </w:tcPr>
                <w:p w14:paraId="30B495FE">
                  <w:pPr>
                    <w:keepNext w:val="0"/>
                    <w:keepLines w:val="0"/>
                    <w:pageBreakBefore w:val="0"/>
                    <w:kinsoku/>
                    <w:wordWrap/>
                    <w:overflowPunct/>
                    <w:topLinePunct w:val="0"/>
                    <w:autoSpaceDE/>
                    <w:autoSpaceDN/>
                    <w:bidi w:val="0"/>
                    <w:adjustRightInd w:val="0"/>
                    <w:snapToGrid w:val="0"/>
                    <w:ind w:firstLine="0"/>
                    <w:jc w:val="center"/>
                    <w:textAlignment w:val="auto"/>
                    <w:rPr>
                      <w:snapToGrid w:val="0"/>
                      <w:color w:val="auto"/>
                      <w:szCs w:val="21"/>
                    </w:rPr>
                  </w:pPr>
                  <w:r>
                    <w:rPr>
                      <w:rFonts w:hint="eastAsia"/>
                      <w:color w:val="auto"/>
                      <w:szCs w:val="21"/>
                      <w:lang w:bidi="ar"/>
                    </w:rPr>
                    <w:t>0.093</w:t>
                  </w:r>
                </w:p>
              </w:tc>
              <w:tc>
                <w:tcPr>
                  <w:tcW w:w="1363" w:type="dxa"/>
                  <w:shd w:val="clear" w:color="auto" w:fill="auto"/>
                  <w:vAlign w:val="center"/>
                </w:tcPr>
                <w:p w14:paraId="5EE6DF5C">
                  <w:pPr>
                    <w:keepNext w:val="0"/>
                    <w:keepLines w:val="0"/>
                    <w:pageBreakBefore w:val="0"/>
                    <w:kinsoku/>
                    <w:wordWrap/>
                    <w:overflowPunct/>
                    <w:topLinePunct w:val="0"/>
                    <w:autoSpaceDE/>
                    <w:autoSpaceDN/>
                    <w:bidi w:val="0"/>
                    <w:adjustRightInd w:val="0"/>
                    <w:snapToGrid w:val="0"/>
                    <w:ind w:firstLine="0"/>
                    <w:jc w:val="center"/>
                    <w:textAlignment w:val="auto"/>
                    <w:rPr>
                      <w:snapToGrid w:val="0"/>
                      <w:color w:val="auto"/>
                      <w:szCs w:val="21"/>
                    </w:rPr>
                  </w:pPr>
                  <w:r>
                    <w:rPr>
                      <w:rFonts w:hint="eastAsia"/>
                      <w:color w:val="auto"/>
                      <w:szCs w:val="21"/>
                      <w:lang w:bidi="ar"/>
                    </w:rPr>
                    <w:t>0.093</w:t>
                  </w:r>
                </w:p>
              </w:tc>
              <w:tc>
                <w:tcPr>
                  <w:tcW w:w="1391" w:type="dxa"/>
                  <w:shd w:val="clear" w:color="auto" w:fill="auto"/>
                  <w:vAlign w:val="center"/>
                </w:tcPr>
                <w:p w14:paraId="5B576C94">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ascii="Times New Roman" w:hAnsi="Times New Roman" w:cs="Times New Roman"/>
                      <w:bCs/>
                      <w:color w:val="auto"/>
                      <w:sz w:val="21"/>
                      <w:szCs w:val="21"/>
                    </w:rPr>
                    <w:t>0</w:t>
                  </w:r>
                </w:p>
              </w:tc>
              <w:tc>
                <w:tcPr>
                  <w:tcW w:w="1401" w:type="dxa"/>
                  <w:shd w:val="clear" w:color="auto" w:fill="auto"/>
                  <w:vAlign w:val="center"/>
                </w:tcPr>
                <w:p w14:paraId="0CE96B97">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ascii="Times New Roman" w:hAnsi="Times New Roman" w:cs="Times New Roman"/>
                      <w:bCs/>
                      <w:color w:val="auto"/>
                      <w:sz w:val="21"/>
                      <w:szCs w:val="21"/>
                    </w:rPr>
                    <w:t>0</w:t>
                  </w:r>
                </w:p>
              </w:tc>
            </w:tr>
            <w:tr w14:paraId="070CA3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66CC0F41">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685" w:type="dxa"/>
                  <w:vMerge w:val="continue"/>
                  <w:shd w:val="clear" w:color="auto" w:fill="auto"/>
                  <w:vAlign w:val="center"/>
                </w:tcPr>
                <w:p w14:paraId="4D0E3B8C">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1590" w:type="dxa"/>
                  <w:shd w:val="clear" w:color="auto" w:fill="auto"/>
                  <w:vAlign w:val="center"/>
                </w:tcPr>
                <w:p w14:paraId="2A24ACE7">
                  <w:pPr>
                    <w:pStyle w:val="134"/>
                    <w:keepNext w:val="0"/>
                    <w:keepLines w:val="0"/>
                    <w:pageBreakBefore w:val="0"/>
                    <w:kinsoku/>
                    <w:wordWrap/>
                    <w:overflowPunct/>
                    <w:topLinePunct w:val="0"/>
                    <w:autoSpaceDE/>
                    <w:autoSpaceDN/>
                    <w:bidi w:val="0"/>
                    <w:adjustRightInd w:val="0"/>
                    <w:snapToGrid w:val="0"/>
                    <w:spacing w:beforeLines="0" w:afterLines="0" w:line="240" w:lineRule="auto"/>
                    <w:ind w:firstLine="0"/>
                    <w:textAlignment w:val="auto"/>
                    <w:rPr>
                      <w:rFonts w:ascii="Times New Roman"/>
                      <w:snapToGrid w:val="0"/>
                      <w:color w:val="auto"/>
                      <w:szCs w:val="21"/>
                      <w:lang w:val="en-US"/>
                    </w:rPr>
                  </w:pPr>
                  <w:r>
                    <w:rPr>
                      <w:rFonts w:hint="eastAsia" w:ascii="Times New Roman"/>
                      <w:snapToGrid w:val="0"/>
                      <w:color w:val="auto"/>
                      <w:szCs w:val="21"/>
                      <w:lang w:val="en-US"/>
                    </w:rPr>
                    <w:t>废过滤棉</w:t>
                  </w:r>
                </w:p>
              </w:tc>
              <w:tc>
                <w:tcPr>
                  <w:tcW w:w="1310" w:type="dxa"/>
                  <w:shd w:val="clear" w:color="auto" w:fill="auto"/>
                  <w:vAlign w:val="center"/>
                </w:tcPr>
                <w:p w14:paraId="24D88BF9">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snapToGrid w:val="0"/>
                      <w:color w:val="auto"/>
                      <w:szCs w:val="21"/>
                      <w:lang w:eastAsia="zh-CN"/>
                    </w:rPr>
                  </w:pPr>
                  <w:r>
                    <w:rPr>
                      <w:rFonts w:hint="eastAsia"/>
                      <w:color w:val="auto"/>
                      <w:szCs w:val="21"/>
                      <w:lang w:eastAsia="zh-CN" w:bidi="ar"/>
                    </w:rPr>
                    <w:t>0.7591</w:t>
                  </w:r>
                </w:p>
              </w:tc>
              <w:tc>
                <w:tcPr>
                  <w:tcW w:w="1363" w:type="dxa"/>
                  <w:shd w:val="clear" w:color="auto" w:fill="auto"/>
                  <w:vAlign w:val="center"/>
                </w:tcPr>
                <w:p w14:paraId="15A364CC">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snapToGrid w:val="0"/>
                      <w:color w:val="auto"/>
                      <w:szCs w:val="21"/>
                      <w:lang w:eastAsia="zh-CN"/>
                    </w:rPr>
                  </w:pPr>
                  <w:r>
                    <w:rPr>
                      <w:rFonts w:hint="eastAsia"/>
                      <w:color w:val="auto"/>
                      <w:szCs w:val="21"/>
                      <w:lang w:eastAsia="zh-CN" w:bidi="ar"/>
                    </w:rPr>
                    <w:t>0.7591</w:t>
                  </w:r>
                </w:p>
              </w:tc>
              <w:tc>
                <w:tcPr>
                  <w:tcW w:w="1391" w:type="dxa"/>
                  <w:shd w:val="clear" w:color="auto" w:fill="auto"/>
                  <w:vAlign w:val="center"/>
                </w:tcPr>
                <w:p w14:paraId="498BC3EF">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hint="eastAsia" w:ascii="Times New Roman" w:hAnsi="Times New Roman" w:cs="Times New Roman"/>
                      <w:bCs/>
                      <w:color w:val="auto"/>
                      <w:sz w:val="21"/>
                      <w:szCs w:val="21"/>
                    </w:rPr>
                    <w:t>0</w:t>
                  </w:r>
                </w:p>
              </w:tc>
              <w:tc>
                <w:tcPr>
                  <w:tcW w:w="1401" w:type="dxa"/>
                  <w:shd w:val="clear" w:color="auto" w:fill="auto"/>
                  <w:vAlign w:val="center"/>
                </w:tcPr>
                <w:p w14:paraId="7CB521E2">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hint="eastAsia" w:ascii="Times New Roman" w:hAnsi="Times New Roman" w:cs="Times New Roman"/>
                      <w:bCs/>
                      <w:color w:val="auto"/>
                      <w:sz w:val="21"/>
                      <w:szCs w:val="21"/>
                    </w:rPr>
                    <w:t>0</w:t>
                  </w:r>
                </w:p>
              </w:tc>
            </w:tr>
            <w:tr w14:paraId="42F4A3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47DA80E6">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685" w:type="dxa"/>
                  <w:vMerge w:val="restart"/>
                  <w:shd w:val="clear" w:color="auto" w:fill="auto"/>
                  <w:vAlign w:val="center"/>
                </w:tcPr>
                <w:p w14:paraId="1461BED3">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hint="eastAsia" w:ascii="Times New Roman" w:hAnsi="Times New Roman" w:cs="Times New Roman"/>
                      <w:bCs/>
                      <w:color w:val="auto"/>
                      <w:sz w:val="21"/>
                      <w:szCs w:val="21"/>
                    </w:rPr>
                    <w:t>生活垃圾</w:t>
                  </w:r>
                </w:p>
              </w:tc>
              <w:tc>
                <w:tcPr>
                  <w:tcW w:w="1590" w:type="dxa"/>
                  <w:shd w:val="clear" w:color="auto" w:fill="auto"/>
                  <w:vAlign w:val="center"/>
                </w:tcPr>
                <w:p w14:paraId="5373F03D">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hint="eastAsia" w:ascii="Times New Roman" w:hAnsi="Times New Roman" w:cs="Times New Roman"/>
                      <w:bCs/>
                      <w:color w:val="auto"/>
                      <w:sz w:val="21"/>
                      <w:szCs w:val="21"/>
                    </w:rPr>
                    <w:t>生活垃圾</w:t>
                  </w:r>
                </w:p>
              </w:tc>
              <w:tc>
                <w:tcPr>
                  <w:tcW w:w="1310" w:type="dxa"/>
                  <w:shd w:val="clear" w:color="auto" w:fill="auto"/>
                  <w:vAlign w:val="center"/>
                </w:tcPr>
                <w:p w14:paraId="329CEA99">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hint="eastAsia" w:ascii="Times New Roman" w:hAnsi="Times New Roman" w:cs="Times New Roman"/>
                      <w:bCs/>
                      <w:color w:val="auto"/>
                      <w:sz w:val="21"/>
                      <w:szCs w:val="21"/>
                    </w:rPr>
                    <w:t>15</w:t>
                  </w:r>
                </w:p>
              </w:tc>
              <w:tc>
                <w:tcPr>
                  <w:tcW w:w="1363" w:type="dxa"/>
                  <w:shd w:val="clear" w:color="auto" w:fill="auto"/>
                  <w:vAlign w:val="center"/>
                </w:tcPr>
                <w:p w14:paraId="37D7CAA4">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hint="eastAsia" w:ascii="Times New Roman" w:hAnsi="Times New Roman" w:cs="Times New Roman"/>
                      <w:bCs/>
                      <w:color w:val="auto"/>
                      <w:sz w:val="21"/>
                      <w:szCs w:val="21"/>
                    </w:rPr>
                    <w:t>15</w:t>
                  </w:r>
                </w:p>
              </w:tc>
              <w:tc>
                <w:tcPr>
                  <w:tcW w:w="1391" w:type="dxa"/>
                  <w:shd w:val="clear" w:color="auto" w:fill="auto"/>
                  <w:vAlign w:val="center"/>
                </w:tcPr>
                <w:p w14:paraId="6D418842">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ascii="Times New Roman" w:hAnsi="Times New Roman" w:cs="Times New Roman"/>
                      <w:bCs/>
                      <w:color w:val="auto"/>
                      <w:sz w:val="21"/>
                      <w:szCs w:val="21"/>
                    </w:rPr>
                    <w:t>0</w:t>
                  </w:r>
                </w:p>
              </w:tc>
              <w:tc>
                <w:tcPr>
                  <w:tcW w:w="1401" w:type="dxa"/>
                  <w:shd w:val="clear" w:color="auto" w:fill="auto"/>
                  <w:vAlign w:val="center"/>
                </w:tcPr>
                <w:p w14:paraId="52739B6F">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ascii="Times New Roman" w:hAnsi="Times New Roman" w:cs="Times New Roman"/>
                      <w:bCs/>
                      <w:color w:val="auto"/>
                      <w:sz w:val="21"/>
                      <w:szCs w:val="21"/>
                    </w:rPr>
                    <w:t>0</w:t>
                  </w:r>
                </w:p>
              </w:tc>
            </w:tr>
            <w:tr w14:paraId="4326C6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30AEC57C">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685" w:type="dxa"/>
                  <w:vMerge w:val="continue"/>
                  <w:shd w:val="clear" w:color="auto" w:fill="auto"/>
                  <w:vAlign w:val="center"/>
                </w:tcPr>
                <w:p w14:paraId="130338E8">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1590" w:type="dxa"/>
                  <w:shd w:val="clear" w:color="auto" w:fill="auto"/>
                  <w:vAlign w:val="center"/>
                </w:tcPr>
                <w:p w14:paraId="4301E191">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hint="eastAsia" w:ascii="Times New Roman" w:hAnsi="Times New Roman" w:cs="Times New Roman"/>
                      <w:bCs/>
                      <w:color w:val="auto"/>
                      <w:sz w:val="21"/>
                      <w:szCs w:val="21"/>
                    </w:rPr>
                    <w:t>化粪池污泥</w:t>
                  </w:r>
                </w:p>
              </w:tc>
              <w:tc>
                <w:tcPr>
                  <w:tcW w:w="1310" w:type="dxa"/>
                  <w:shd w:val="clear" w:color="auto" w:fill="auto"/>
                  <w:vAlign w:val="center"/>
                </w:tcPr>
                <w:p w14:paraId="0C8045AF">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hint="eastAsia" w:ascii="Times New Roman" w:hAnsi="Times New Roman" w:cs="Times New Roman"/>
                      <w:bCs/>
                      <w:color w:val="auto"/>
                      <w:sz w:val="21"/>
                      <w:szCs w:val="21"/>
                    </w:rPr>
                    <w:t>7.2</w:t>
                  </w:r>
                </w:p>
              </w:tc>
              <w:tc>
                <w:tcPr>
                  <w:tcW w:w="1363" w:type="dxa"/>
                  <w:shd w:val="clear" w:color="auto" w:fill="auto"/>
                  <w:vAlign w:val="center"/>
                </w:tcPr>
                <w:p w14:paraId="18CF4F61">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hint="eastAsia" w:ascii="Times New Roman" w:hAnsi="Times New Roman" w:cs="Times New Roman"/>
                      <w:bCs/>
                      <w:color w:val="auto"/>
                      <w:sz w:val="21"/>
                      <w:szCs w:val="21"/>
                    </w:rPr>
                    <w:t>7.20</w:t>
                  </w:r>
                </w:p>
              </w:tc>
              <w:tc>
                <w:tcPr>
                  <w:tcW w:w="1391" w:type="dxa"/>
                  <w:shd w:val="clear" w:color="auto" w:fill="auto"/>
                  <w:vAlign w:val="center"/>
                </w:tcPr>
                <w:p w14:paraId="3ABC1BE7">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hint="eastAsia" w:ascii="Times New Roman" w:hAnsi="Times New Roman" w:cs="Times New Roman"/>
                      <w:bCs/>
                      <w:color w:val="auto"/>
                      <w:sz w:val="21"/>
                      <w:szCs w:val="21"/>
                    </w:rPr>
                    <w:t>0</w:t>
                  </w:r>
                </w:p>
              </w:tc>
              <w:tc>
                <w:tcPr>
                  <w:tcW w:w="1401" w:type="dxa"/>
                  <w:shd w:val="clear" w:color="auto" w:fill="auto"/>
                  <w:vAlign w:val="center"/>
                </w:tcPr>
                <w:p w14:paraId="70AE68A4">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hint="eastAsia" w:ascii="Times New Roman" w:hAnsi="Times New Roman" w:cs="Times New Roman"/>
                      <w:bCs/>
                      <w:color w:val="auto"/>
                      <w:sz w:val="21"/>
                      <w:szCs w:val="21"/>
                    </w:rPr>
                    <w:t>0</w:t>
                  </w:r>
                </w:p>
              </w:tc>
            </w:tr>
            <w:tr w14:paraId="3DCB80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vMerge w:val="continue"/>
                  <w:shd w:val="clear" w:color="auto" w:fill="auto"/>
                  <w:vAlign w:val="center"/>
                </w:tcPr>
                <w:p w14:paraId="4E5CEB22">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685" w:type="dxa"/>
                  <w:vMerge w:val="continue"/>
                  <w:shd w:val="clear" w:color="auto" w:fill="auto"/>
                  <w:vAlign w:val="center"/>
                </w:tcPr>
                <w:p w14:paraId="759D69E6">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p>
              </w:tc>
              <w:tc>
                <w:tcPr>
                  <w:tcW w:w="1590" w:type="dxa"/>
                  <w:shd w:val="clear" w:color="auto" w:fill="auto"/>
                  <w:vAlign w:val="center"/>
                </w:tcPr>
                <w:p w14:paraId="76EC5508">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cs="Times New Roman"/>
                      <w:bCs/>
                      <w:color w:val="auto"/>
                      <w:sz w:val="21"/>
                      <w:szCs w:val="21"/>
                      <w:lang w:eastAsia="zh-CN"/>
                    </w:rPr>
                    <w:t>厨余垃圾</w:t>
                  </w:r>
                </w:p>
              </w:tc>
              <w:tc>
                <w:tcPr>
                  <w:tcW w:w="1310" w:type="dxa"/>
                  <w:shd w:val="clear" w:color="auto" w:fill="auto"/>
                  <w:vAlign w:val="center"/>
                </w:tcPr>
                <w:p w14:paraId="73445EB1">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3.3</w:t>
                  </w:r>
                </w:p>
              </w:tc>
              <w:tc>
                <w:tcPr>
                  <w:tcW w:w="1363" w:type="dxa"/>
                  <w:shd w:val="clear" w:color="auto" w:fill="auto"/>
                  <w:vAlign w:val="center"/>
                </w:tcPr>
                <w:p w14:paraId="7CB49163">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3.3</w:t>
                  </w:r>
                </w:p>
              </w:tc>
              <w:tc>
                <w:tcPr>
                  <w:tcW w:w="1391" w:type="dxa"/>
                  <w:shd w:val="clear" w:color="auto" w:fill="auto"/>
                  <w:vAlign w:val="center"/>
                </w:tcPr>
                <w:p w14:paraId="267E1A5F">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w:t>
                  </w:r>
                </w:p>
              </w:tc>
              <w:tc>
                <w:tcPr>
                  <w:tcW w:w="1401" w:type="dxa"/>
                  <w:shd w:val="clear" w:color="auto" w:fill="auto"/>
                  <w:vAlign w:val="center"/>
                </w:tcPr>
                <w:p w14:paraId="7BE2A697">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w:t>
                  </w:r>
                </w:p>
              </w:tc>
            </w:tr>
          </w:tbl>
          <w:p w14:paraId="681569F8">
            <w:pPr>
              <w:adjustRightInd w:val="0"/>
              <w:snapToGrid w:val="0"/>
              <w:spacing w:before="120" w:beforeLines="50" w:line="360" w:lineRule="auto"/>
              <w:ind w:firstLine="480" w:firstLineChars="200"/>
              <w:rPr>
                <w:bCs/>
                <w:color w:val="auto"/>
                <w:sz w:val="24"/>
              </w:rPr>
            </w:pPr>
            <w:r>
              <w:rPr>
                <w:bCs/>
                <w:color w:val="auto"/>
                <w:sz w:val="24"/>
              </w:rPr>
              <w:t>本项目总量控制指标：</w:t>
            </w:r>
          </w:p>
          <w:p w14:paraId="271918C6">
            <w:pPr>
              <w:spacing w:line="360" w:lineRule="auto"/>
              <w:ind w:firstLine="480" w:firstLineChars="200"/>
              <w:rPr>
                <w:bCs/>
                <w:color w:val="auto"/>
                <w:sz w:val="24"/>
              </w:rPr>
            </w:pPr>
            <w:r>
              <w:rPr>
                <w:bCs/>
                <w:color w:val="auto"/>
                <w:sz w:val="24"/>
              </w:rPr>
              <w:t>根据《江苏省排污权有偿使用和交易管理暂行办法》和《江苏省排污权有偿使用和交易实施细则（试行）》，</w:t>
            </w:r>
            <w:r>
              <w:rPr>
                <w:rFonts w:hint="eastAsia"/>
                <w:bCs/>
                <w:color w:val="auto"/>
                <w:sz w:val="24"/>
              </w:rPr>
              <w:t>“</w:t>
            </w:r>
            <w:r>
              <w:rPr>
                <w:bCs/>
                <w:color w:val="auto"/>
                <w:sz w:val="24"/>
              </w:rPr>
              <w:t>按照《固定污染源排污许可分类管理名录</w:t>
            </w:r>
            <w:r>
              <w:rPr>
                <w:rFonts w:hint="eastAsia"/>
                <w:bCs/>
                <w:color w:val="auto"/>
                <w:sz w:val="24"/>
              </w:rPr>
              <w:t>（2019年版）</w:t>
            </w:r>
            <w:r>
              <w:rPr>
                <w:bCs/>
                <w:color w:val="auto"/>
                <w:sz w:val="24"/>
              </w:rPr>
              <w:t>》，在排污许可证中载明许可排放量的排污单位，应在申领排污许可证时取得排污权。</w:t>
            </w:r>
            <w:r>
              <w:rPr>
                <w:rFonts w:hint="eastAsia"/>
                <w:bCs/>
                <w:color w:val="auto"/>
                <w:sz w:val="24"/>
              </w:rPr>
              <w:t>”项目与</w:t>
            </w:r>
            <w:r>
              <w:rPr>
                <w:bCs/>
                <w:color w:val="auto"/>
                <w:sz w:val="24"/>
              </w:rPr>
              <w:t>《固定污染源排污许可分类管理名录</w:t>
            </w:r>
            <w:r>
              <w:rPr>
                <w:rFonts w:hint="eastAsia"/>
                <w:bCs/>
                <w:color w:val="auto"/>
                <w:sz w:val="24"/>
              </w:rPr>
              <w:t>（2019年版）</w:t>
            </w:r>
            <w:r>
              <w:rPr>
                <w:bCs/>
                <w:color w:val="auto"/>
                <w:sz w:val="24"/>
              </w:rPr>
              <w:t>》</w:t>
            </w:r>
            <w:r>
              <w:rPr>
                <w:rFonts w:hint="eastAsia"/>
                <w:bCs/>
                <w:color w:val="auto"/>
                <w:sz w:val="24"/>
              </w:rPr>
              <w:t>对比分析见表3-</w:t>
            </w:r>
            <w:r>
              <w:rPr>
                <w:rFonts w:hint="eastAsia"/>
                <w:bCs/>
                <w:color w:val="auto"/>
                <w:sz w:val="24"/>
                <w:lang w:val="en-US" w:eastAsia="zh-CN"/>
              </w:rPr>
              <w:t>10</w:t>
            </w:r>
            <w:r>
              <w:rPr>
                <w:rFonts w:hint="eastAsia"/>
                <w:bCs/>
                <w:color w:val="auto"/>
                <w:sz w:val="24"/>
              </w:rPr>
              <w:t>。</w:t>
            </w:r>
          </w:p>
          <w:p w14:paraId="3A7048A1">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auto"/>
                <w:sz w:val="24"/>
              </w:rPr>
            </w:pPr>
            <w:r>
              <w:rPr>
                <w:b/>
                <w:color w:val="auto"/>
                <w:sz w:val="24"/>
              </w:rPr>
              <w:t>表3-</w:t>
            </w:r>
            <w:r>
              <w:rPr>
                <w:rFonts w:hint="eastAsia"/>
                <w:b/>
                <w:color w:val="auto"/>
                <w:sz w:val="24"/>
                <w:lang w:val="en-US" w:eastAsia="zh-CN"/>
              </w:rPr>
              <w:t>10</w:t>
            </w:r>
            <w:r>
              <w:rPr>
                <w:b/>
                <w:color w:val="auto"/>
                <w:sz w:val="24"/>
              </w:rPr>
              <w:t>本项目在《固定污染源排污许可分类管理名录（2019年版）》中对应类别</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6"/>
              <w:gridCol w:w="3660"/>
              <w:gridCol w:w="1170"/>
              <w:gridCol w:w="1125"/>
              <w:gridCol w:w="690"/>
              <w:gridCol w:w="1323"/>
            </w:tblGrid>
            <w:tr w14:paraId="69A8A8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dxa"/>
                  <w:shd w:val="clear" w:color="auto" w:fill="auto"/>
                  <w:vAlign w:val="center"/>
                </w:tcPr>
                <w:p w14:paraId="4A092993">
                  <w:pPr>
                    <w:pStyle w:val="143"/>
                    <w:keepNext w:val="0"/>
                    <w:keepLines w:val="0"/>
                    <w:pageBreakBefore w:val="0"/>
                    <w:widowControl/>
                    <w:kinsoku/>
                    <w:wordWrap/>
                    <w:overflowPunct/>
                    <w:topLinePunct w:val="0"/>
                    <w:autoSpaceDE/>
                    <w:autoSpaceDN/>
                    <w:bidi w:val="0"/>
                    <w:adjustRightInd w:val="0"/>
                    <w:snapToGrid w:val="0"/>
                    <w:ind w:firstLine="0"/>
                    <w:jc w:val="center"/>
                    <w:textAlignment w:val="auto"/>
                    <w:rPr>
                      <w:rFonts w:ascii="Times New Roman" w:hAnsi="Times New Roman" w:cs="Times New Roman"/>
                      <w:b/>
                      <w:bCs/>
                      <w:color w:val="auto"/>
                      <w:sz w:val="21"/>
                      <w:szCs w:val="21"/>
                    </w:rPr>
                  </w:pPr>
                  <w:r>
                    <w:rPr>
                      <w:rFonts w:ascii="Times New Roman" w:hAnsi="Times New Roman" w:cs="Times New Roman"/>
                      <w:b/>
                      <w:bCs/>
                      <w:color w:val="auto"/>
                      <w:sz w:val="21"/>
                      <w:szCs w:val="21"/>
                    </w:rPr>
                    <w:t>序号</w:t>
                  </w:r>
                </w:p>
              </w:tc>
              <w:tc>
                <w:tcPr>
                  <w:tcW w:w="3660" w:type="dxa"/>
                  <w:shd w:val="clear" w:color="auto" w:fill="auto"/>
                  <w:vAlign w:val="center"/>
                </w:tcPr>
                <w:p w14:paraId="1C69F62B">
                  <w:pPr>
                    <w:pStyle w:val="143"/>
                    <w:keepNext w:val="0"/>
                    <w:keepLines w:val="0"/>
                    <w:pageBreakBefore w:val="0"/>
                    <w:widowControl/>
                    <w:kinsoku/>
                    <w:wordWrap/>
                    <w:overflowPunct/>
                    <w:topLinePunct w:val="0"/>
                    <w:autoSpaceDE/>
                    <w:autoSpaceDN/>
                    <w:bidi w:val="0"/>
                    <w:adjustRightInd w:val="0"/>
                    <w:snapToGrid w:val="0"/>
                    <w:ind w:firstLine="0"/>
                    <w:jc w:val="center"/>
                    <w:textAlignment w:val="auto"/>
                    <w:rPr>
                      <w:rFonts w:ascii="Times New Roman" w:hAnsi="Times New Roman" w:cs="Times New Roman"/>
                      <w:b/>
                      <w:bCs/>
                      <w:color w:val="auto"/>
                      <w:sz w:val="21"/>
                      <w:szCs w:val="21"/>
                    </w:rPr>
                  </w:pPr>
                  <w:r>
                    <w:rPr>
                      <w:rFonts w:ascii="Times New Roman" w:hAnsi="Times New Roman" w:cs="Times New Roman"/>
                      <w:b/>
                      <w:bCs/>
                      <w:color w:val="auto"/>
                      <w:sz w:val="21"/>
                      <w:szCs w:val="21"/>
                    </w:rPr>
                    <w:t>行业类别</w:t>
                  </w:r>
                </w:p>
              </w:tc>
              <w:tc>
                <w:tcPr>
                  <w:tcW w:w="1170" w:type="dxa"/>
                  <w:shd w:val="clear" w:color="auto" w:fill="auto"/>
                  <w:vAlign w:val="center"/>
                </w:tcPr>
                <w:p w14:paraId="001C1D8D">
                  <w:pPr>
                    <w:pStyle w:val="143"/>
                    <w:keepNext w:val="0"/>
                    <w:keepLines w:val="0"/>
                    <w:pageBreakBefore w:val="0"/>
                    <w:widowControl/>
                    <w:kinsoku/>
                    <w:wordWrap/>
                    <w:overflowPunct/>
                    <w:topLinePunct w:val="0"/>
                    <w:autoSpaceDE/>
                    <w:autoSpaceDN/>
                    <w:bidi w:val="0"/>
                    <w:adjustRightInd w:val="0"/>
                    <w:snapToGrid w:val="0"/>
                    <w:ind w:firstLine="0"/>
                    <w:jc w:val="center"/>
                    <w:textAlignment w:val="auto"/>
                    <w:rPr>
                      <w:rFonts w:ascii="Times New Roman" w:hAnsi="Times New Roman" w:cs="Times New Roman"/>
                      <w:b/>
                      <w:bCs/>
                      <w:color w:val="auto"/>
                      <w:sz w:val="21"/>
                      <w:szCs w:val="21"/>
                    </w:rPr>
                  </w:pPr>
                  <w:r>
                    <w:rPr>
                      <w:rFonts w:ascii="Times New Roman" w:hAnsi="Times New Roman" w:cs="Times New Roman"/>
                      <w:b/>
                      <w:bCs/>
                      <w:color w:val="auto"/>
                      <w:sz w:val="21"/>
                      <w:szCs w:val="21"/>
                    </w:rPr>
                    <w:t>重点管理</w:t>
                  </w:r>
                </w:p>
              </w:tc>
              <w:tc>
                <w:tcPr>
                  <w:tcW w:w="1125" w:type="dxa"/>
                  <w:shd w:val="clear" w:color="auto" w:fill="auto"/>
                  <w:vAlign w:val="center"/>
                </w:tcPr>
                <w:p w14:paraId="096EA7B5">
                  <w:pPr>
                    <w:pStyle w:val="143"/>
                    <w:keepNext w:val="0"/>
                    <w:keepLines w:val="0"/>
                    <w:pageBreakBefore w:val="0"/>
                    <w:widowControl/>
                    <w:kinsoku/>
                    <w:wordWrap/>
                    <w:overflowPunct/>
                    <w:topLinePunct w:val="0"/>
                    <w:autoSpaceDE/>
                    <w:autoSpaceDN/>
                    <w:bidi w:val="0"/>
                    <w:adjustRightInd w:val="0"/>
                    <w:snapToGrid w:val="0"/>
                    <w:ind w:firstLine="0"/>
                    <w:jc w:val="center"/>
                    <w:textAlignment w:val="auto"/>
                    <w:rPr>
                      <w:rFonts w:ascii="Times New Roman" w:hAnsi="Times New Roman" w:cs="Times New Roman"/>
                      <w:b/>
                      <w:bCs/>
                      <w:color w:val="auto"/>
                      <w:sz w:val="21"/>
                      <w:szCs w:val="21"/>
                    </w:rPr>
                  </w:pPr>
                  <w:r>
                    <w:rPr>
                      <w:rFonts w:ascii="Times New Roman" w:hAnsi="Times New Roman" w:cs="Times New Roman"/>
                      <w:b/>
                      <w:bCs/>
                      <w:color w:val="auto"/>
                      <w:sz w:val="21"/>
                      <w:szCs w:val="21"/>
                    </w:rPr>
                    <w:t>简化管理</w:t>
                  </w:r>
                </w:p>
              </w:tc>
              <w:tc>
                <w:tcPr>
                  <w:tcW w:w="690" w:type="dxa"/>
                  <w:shd w:val="clear" w:color="auto" w:fill="auto"/>
                  <w:vAlign w:val="center"/>
                </w:tcPr>
                <w:p w14:paraId="1CC787EC">
                  <w:pPr>
                    <w:pStyle w:val="143"/>
                    <w:keepNext w:val="0"/>
                    <w:keepLines w:val="0"/>
                    <w:pageBreakBefore w:val="0"/>
                    <w:widowControl/>
                    <w:kinsoku/>
                    <w:wordWrap/>
                    <w:overflowPunct/>
                    <w:topLinePunct w:val="0"/>
                    <w:autoSpaceDE/>
                    <w:autoSpaceDN/>
                    <w:bidi w:val="0"/>
                    <w:adjustRightInd w:val="0"/>
                    <w:snapToGrid w:val="0"/>
                    <w:ind w:firstLine="0"/>
                    <w:jc w:val="center"/>
                    <w:textAlignment w:val="auto"/>
                    <w:rPr>
                      <w:rFonts w:ascii="Times New Roman" w:hAnsi="Times New Roman" w:cs="Times New Roman"/>
                      <w:b/>
                      <w:bCs/>
                      <w:color w:val="auto"/>
                      <w:sz w:val="21"/>
                      <w:szCs w:val="21"/>
                    </w:rPr>
                  </w:pPr>
                  <w:r>
                    <w:rPr>
                      <w:rFonts w:ascii="Times New Roman" w:hAnsi="Times New Roman" w:cs="Times New Roman"/>
                      <w:b/>
                      <w:bCs/>
                      <w:color w:val="auto"/>
                      <w:sz w:val="21"/>
                      <w:szCs w:val="21"/>
                    </w:rPr>
                    <w:t>登记管理</w:t>
                  </w:r>
                </w:p>
              </w:tc>
              <w:tc>
                <w:tcPr>
                  <w:tcW w:w="1323" w:type="dxa"/>
                  <w:shd w:val="clear" w:color="auto" w:fill="auto"/>
                  <w:vAlign w:val="center"/>
                </w:tcPr>
                <w:p w14:paraId="0A82D90A">
                  <w:pPr>
                    <w:pStyle w:val="143"/>
                    <w:keepNext w:val="0"/>
                    <w:keepLines w:val="0"/>
                    <w:pageBreakBefore w:val="0"/>
                    <w:widowControl/>
                    <w:kinsoku/>
                    <w:wordWrap/>
                    <w:overflowPunct/>
                    <w:topLinePunct w:val="0"/>
                    <w:autoSpaceDE/>
                    <w:autoSpaceDN/>
                    <w:bidi w:val="0"/>
                    <w:adjustRightInd w:val="0"/>
                    <w:snapToGrid w:val="0"/>
                    <w:ind w:firstLine="0"/>
                    <w:jc w:val="center"/>
                    <w:textAlignment w:val="auto"/>
                    <w:rPr>
                      <w:rFonts w:ascii="Times New Roman" w:hAnsi="Times New Roman" w:cs="Times New Roman"/>
                      <w:b/>
                      <w:bCs/>
                      <w:color w:val="auto"/>
                      <w:sz w:val="21"/>
                      <w:szCs w:val="21"/>
                    </w:rPr>
                  </w:pPr>
                  <w:r>
                    <w:rPr>
                      <w:rFonts w:ascii="Times New Roman" w:hAnsi="Times New Roman" w:cs="Times New Roman"/>
                      <w:b/>
                      <w:bCs/>
                      <w:color w:val="auto"/>
                      <w:sz w:val="21"/>
                      <w:szCs w:val="21"/>
                    </w:rPr>
                    <w:t>来源</w:t>
                  </w:r>
                </w:p>
              </w:tc>
            </w:tr>
            <w:tr w14:paraId="7E8AEF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dxa"/>
                  <w:shd w:val="clear" w:color="auto" w:fill="auto"/>
                  <w:vAlign w:val="center"/>
                </w:tcPr>
                <w:p w14:paraId="394256D8">
                  <w:pPr>
                    <w:pStyle w:val="143"/>
                    <w:keepNext w:val="0"/>
                    <w:keepLines w:val="0"/>
                    <w:pageBreakBefore w:val="0"/>
                    <w:widowControl/>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hint="eastAsia" w:ascii="Times New Roman" w:hAnsi="Times New Roman" w:cs="Times New Roman"/>
                      <w:bCs/>
                      <w:color w:val="auto"/>
                      <w:sz w:val="21"/>
                      <w:szCs w:val="21"/>
                    </w:rPr>
                    <w:t>87</w:t>
                  </w:r>
                </w:p>
              </w:tc>
              <w:tc>
                <w:tcPr>
                  <w:tcW w:w="3660" w:type="dxa"/>
                  <w:shd w:val="clear" w:color="auto" w:fill="auto"/>
                  <w:vAlign w:val="center"/>
                </w:tcPr>
                <w:p w14:paraId="7ECBF85D">
                  <w:pPr>
                    <w:pStyle w:val="143"/>
                    <w:keepNext w:val="0"/>
                    <w:keepLines w:val="0"/>
                    <w:pageBreakBefore w:val="0"/>
                    <w:widowControl/>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hint="eastAsia" w:ascii="Times New Roman" w:hAnsi="Times New Roman" w:cs="Times New Roman"/>
                      <w:bCs/>
                      <w:color w:val="auto"/>
                      <w:sz w:val="21"/>
                      <w:szCs w:val="21"/>
                    </w:rPr>
                    <w:t>电机制造381，输配电及控制设备制造382，电线、电缆、光缆及电工器材制造383，家用电力器具制造385，非电力家用器具制造386，照明器具制造387，其他电气机械及器材制造389</w:t>
                  </w:r>
                </w:p>
              </w:tc>
              <w:tc>
                <w:tcPr>
                  <w:tcW w:w="1170" w:type="dxa"/>
                  <w:shd w:val="clear" w:color="auto" w:fill="auto"/>
                  <w:vAlign w:val="center"/>
                </w:tcPr>
                <w:p w14:paraId="262AFCBE">
                  <w:pPr>
                    <w:pStyle w:val="143"/>
                    <w:keepNext w:val="0"/>
                    <w:keepLines w:val="0"/>
                    <w:pageBreakBefore w:val="0"/>
                    <w:widowControl/>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hint="eastAsia" w:ascii="Times New Roman" w:hAnsi="Times New Roman" w:cs="Times New Roman"/>
                      <w:bCs/>
                      <w:color w:val="auto"/>
                      <w:sz w:val="21"/>
                      <w:szCs w:val="21"/>
                    </w:rPr>
                    <w:t>涉及通用工序重点管理的</w:t>
                  </w:r>
                </w:p>
              </w:tc>
              <w:tc>
                <w:tcPr>
                  <w:tcW w:w="1125" w:type="dxa"/>
                  <w:shd w:val="clear" w:color="auto" w:fill="auto"/>
                  <w:vAlign w:val="center"/>
                </w:tcPr>
                <w:p w14:paraId="403C47BB">
                  <w:pPr>
                    <w:pStyle w:val="143"/>
                    <w:keepNext w:val="0"/>
                    <w:keepLines w:val="0"/>
                    <w:pageBreakBefore w:val="0"/>
                    <w:widowControl/>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hint="eastAsia" w:ascii="Times New Roman" w:hAnsi="Times New Roman" w:cs="Times New Roman"/>
                      <w:bCs/>
                      <w:color w:val="auto"/>
                      <w:sz w:val="21"/>
                      <w:szCs w:val="21"/>
                    </w:rPr>
                    <w:t>涉及通用工序简化管理的</w:t>
                  </w:r>
                </w:p>
              </w:tc>
              <w:tc>
                <w:tcPr>
                  <w:tcW w:w="690" w:type="dxa"/>
                  <w:shd w:val="clear" w:color="auto" w:fill="auto"/>
                  <w:vAlign w:val="center"/>
                </w:tcPr>
                <w:p w14:paraId="4530D575">
                  <w:pPr>
                    <w:pStyle w:val="143"/>
                    <w:keepNext w:val="0"/>
                    <w:keepLines w:val="0"/>
                    <w:pageBreakBefore w:val="0"/>
                    <w:widowControl/>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hint="eastAsia" w:ascii="Times New Roman" w:hAnsi="Times New Roman" w:cs="Times New Roman"/>
                      <w:b/>
                      <w:color w:val="auto"/>
                      <w:sz w:val="21"/>
                      <w:szCs w:val="21"/>
                    </w:rPr>
                    <w:t>其他</w:t>
                  </w:r>
                </w:p>
              </w:tc>
              <w:tc>
                <w:tcPr>
                  <w:tcW w:w="1323" w:type="dxa"/>
                  <w:shd w:val="clear" w:color="auto" w:fill="auto"/>
                  <w:vAlign w:val="center"/>
                </w:tcPr>
                <w:p w14:paraId="325BD866">
                  <w:pPr>
                    <w:pStyle w:val="143"/>
                    <w:keepNext w:val="0"/>
                    <w:keepLines w:val="0"/>
                    <w:pageBreakBefore w:val="0"/>
                    <w:widowControl/>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ascii="Times New Roman" w:hAnsi="Times New Roman" w:cs="Times New Roman"/>
                      <w:bCs/>
                      <w:color w:val="auto"/>
                      <w:sz w:val="21"/>
                      <w:szCs w:val="21"/>
                    </w:rPr>
                    <w:t>《固定污染源排污许可分类管理名录（2019年版）》</w:t>
                  </w:r>
                </w:p>
              </w:tc>
            </w:tr>
          </w:tbl>
          <w:p w14:paraId="31F8615D">
            <w:pPr>
              <w:adjustRightInd w:val="0"/>
              <w:snapToGrid w:val="0"/>
              <w:spacing w:before="120" w:beforeLines="50" w:line="360" w:lineRule="auto"/>
              <w:ind w:firstLine="480" w:firstLineChars="200"/>
              <w:rPr>
                <w:bCs/>
                <w:color w:val="auto"/>
                <w:sz w:val="24"/>
              </w:rPr>
            </w:pPr>
            <w:r>
              <w:rPr>
                <w:rFonts w:hint="eastAsia"/>
                <w:bCs/>
                <w:color w:val="auto"/>
                <w:sz w:val="24"/>
                <w:lang w:eastAsia="zh-CN"/>
              </w:rPr>
              <w:t>本项目为</w:t>
            </w:r>
            <w:r>
              <w:rPr>
                <w:rFonts w:hint="eastAsia"/>
                <w:bCs/>
                <w:color w:val="auto"/>
                <w:sz w:val="24"/>
              </w:rPr>
              <w:t>年产3万台套新型电机、变频器生产项目</w:t>
            </w:r>
            <w:r>
              <w:rPr>
                <w:rFonts w:hint="eastAsia"/>
                <w:bCs/>
                <w:color w:val="auto"/>
                <w:sz w:val="24"/>
                <w:lang w:eastAsia="zh-CN"/>
              </w:rPr>
              <w:t>，属于</w:t>
            </w:r>
            <w:r>
              <w:rPr>
                <w:rFonts w:hint="eastAsia"/>
                <w:color w:val="auto"/>
                <w:sz w:val="24"/>
              </w:rPr>
              <w:t>C3819其他电机制造、C3821变压器、整流器和电感器制造</w:t>
            </w:r>
            <w:r>
              <w:rPr>
                <w:bCs/>
                <w:color w:val="auto"/>
                <w:sz w:val="24"/>
              </w:rPr>
              <w:t>，</w:t>
            </w:r>
            <w:r>
              <w:rPr>
                <w:rFonts w:hint="eastAsia"/>
                <w:bCs/>
                <w:color w:val="auto"/>
                <w:sz w:val="24"/>
              </w:rPr>
              <w:t>不属于重点排污单位，不涉及电镀、酸洗、抛光（电解抛光和化学抛光）、热浸锌（溶剂法）、淬火、钝化等工序，</w:t>
            </w:r>
            <w:r>
              <w:rPr>
                <w:bCs/>
                <w:color w:val="auto"/>
                <w:sz w:val="24"/>
              </w:rPr>
              <w:t>对照《固定污染源排污许可分类管理名录（2019年版）》，本项目属于</w:t>
            </w:r>
            <w:r>
              <w:rPr>
                <w:rFonts w:hint="eastAsia"/>
                <w:bCs/>
                <w:color w:val="auto"/>
                <w:sz w:val="24"/>
              </w:rPr>
              <w:t>登记</w:t>
            </w:r>
            <w:r>
              <w:rPr>
                <w:bCs/>
                <w:color w:val="auto"/>
                <w:sz w:val="24"/>
              </w:rPr>
              <w:t>管理。</w:t>
            </w:r>
          </w:p>
          <w:p w14:paraId="74D7FC3E">
            <w:pPr>
              <w:adjustRightInd w:val="0"/>
              <w:snapToGrid w:val="0"/>
              <w:spacing w:line="360" w:lineRule="auto"/>
              <w:ind w:firstLine="482" w:firstLineChars="200"/>
              <w:rPr>
                <w:b/>
                <w:color w:val="auto"/>
                <w:sz w:val="24"/>
              </w:rPr>
            </w:pPr>
            <w:r>
              <w:rPr>
                <w:b/>
                <w:color w:val="auto"/>
                <w:sz w:val="24"/>
              </w:rPr>
              <w:t>1.废气</w:t>
            </w:r>
          </w:p>
          <w:p w14:paraId="0F7E717A">
            <w:pPr>
              <w:adjustRightInd w:val="0"/>
              <w:snapToGrid w:val="0"/>
              <w:spacing w:line="360" w:lineRule="auto"/>
              <w:ind w:firstLine="480" w:firstLineChars="200"/>
              <w:rPr>
                <w:bCs/>
                <w:color w:val="auto"/>
                <w:sz w:val="24"/>
              </w:rPr>
            </w:pPr>
            <w:r>
              <w:rPr>
                <w:bCs/>
                <w:color w:val="auto"/>
                <w:sz w:val="24"/>
              </w:rPr>
              <w:t>本项目建成后</w:t>
            </w:r>
            <w:r>
              <w:rPr>
                <w:rFonts w:hint="eastAsia"/>
                <w:bCs/>
                <w:color w:val="auto"/>
                <w:sz w:val="24"/>
              </w:rPr>
              <w:t>颗粒物</w:t>
            </w:r>
            <w:r>
              <w:rPr>
                <w:bCs/>
                <w:color w:val="auto"/>
                <w:sz w:val="24"/>
              </w:rPr>
              <w:t>排放量</w:t>
            </w:r>
            <w:r>
              <w:rPr>
                <w:rFonts w:hint="eastAsia"/>
                <w:bCs/>
                <w:color w:val="auto"/>
                <w:sz w:val="24"/>
              </w:rPr>
              <w:t>0.</w:t>
            </w:r>
            <w:r>
              <w:rPr>
                <w:rFonts w:hint="eastAsia"/>
                <w:bCs/>
                <w:color w:val="auto"/>
                <w:sz w:val="24"/>
                <w:lang w:val="en-US" w:eastAsia="zh-CN"/>
              </w:rPr>
              <w:t>186</w:t>
            </w:r>
            <w:r>
              <w:rPr>
                <w:bCs/>
                <w:color w:val="auto"/>
                <w:sz w:val="24"/>
              </w:rPr>
              <w:t>t/a（有组织</w:t>
            </w:r>
            <w:r>
              <w:rPr>
                <w:rFonts w:hint="eastAsia"/>
                <w:bCs/>
                <w:color w:val="auto"/>
                <w:sz w:val="24"/>
                <w:lang w:val="en-US" w:eastAsia="zh-CN"/>
              </w:rPr>
              <w:t>0.059</w:t>
            </w:r>
            <w:r>
              <w:rPr>
                <w:bCs/>
                <w:color w:val="auto"/>
                <w:sz w:val="24"/>
              </w:rPr>
              <w:t>t/a，无组织</w:t>
            </w:r>
            <w:r>
              <w:rPr>
                <w:rFonts w:hint="eastAsia"/>
                <w:bCs/>
                <w:color w:val="auto"/>
                <w:sz w:val="24"/>
              </w:rPr>
              <w:t>0.1</w:t>
            </w:r>
            <w:r>
              <w:rPr>
                <w:rFonts w:hint="eastAsia"/>
                <w:bCs/>
                <w:color w:val="auto"/>
                <w:sz w:val="24"/>
                <w:lang w:val="en-US" w:eastAsia="zh-CN"/>
              </w:rPr>
              <w:t>27</w:t>
            </w:r>
            <w:r>
              <w:rPr>
                <w:bCs/>
                <w:color w:val="auto"/>
                <w:sz w:val="24"/>
              </w:rPr>
              <w:t>t/a）</w:t>
            </w:r>
            <w:r>
              <w:rPr>
                <w:rFonts w:hint="eastAsia"/>
                <w:bCs/>
                <w:color w:val="auto"/>
                <w:sz w:val="24"/>
              </w:rPr>
              <w:t>、NMHC排放量</w:t>
            </w:r>
            <w:r>
              <w:rPr>
                <w:rFonts w:hint="eastAsia"/>
                <w:bCs/>
                <w:color w:val="auto"/>
                <w:sz w:val="24"/>
                <w:lang w:val="en-US" w:eastAsia="zh-CN"/>
              </w:rPr>
              <w:t>0.0326</w:t>
            </w:r>
            <w:r>
              <w:rPr>
                <w:bCs/>
                <w:color w:val="auto"/>
                <w:sz w:val="24"/>
              </w:rPr>
              <w:t>t/a</w:t>
            </w:r>
            <w:r>
              <w:rPr>
                <w:rFonts w:hint="eastAsia"/>
                <w:bCs/>
                <w:color w:val="auto"/>
                <w:sz w:val="24"/>
              </w:rPr>
              <w:t>（</w:t>
            </w:r>
            <w:r>
              <w:rPr>
                <w:bCs/>
                <w:color w:val="auto"/>
                <w:sz w:val="24"/>
              </w:rPr>
              <w:t>有组织</w:t>
            </w:r>
            <w:r>
              <w:rPr>
                <w:rFonts w:hint="eastAsia"/>
                <w:bCs/>
                <w:color w:val="auto"/>
                <w:sz w:val="24"/>
                <w:lang w:val="en-US" w:eastAsia="zh-CN"/>
              </w:rPr>
              <w:t>0.0214</w:t>
            </w:r>
            <w:r>
              <w:rPr>
                <w:bCs/>
                <w:color w:val="auto"/>
                <w:sz w:val="24"/>
              </w:rPr>
              <w:t>t/a</w:t>
            </w:r>
            <w:r>
              <w:rPr>
                <w:rFonts w:hint="eastAsia"/>
                <w:bCs/>
                <w:color w:val="auto"/>
                <w:sz w:val="24"/>
              </w:rPr>
              <w:t>、</w:t>
            </w:r>
            <w:r>
              <w:rPr>
                <w:bCs/>
                <w:color w:val="auto"/>
                <w:sz w:val="24"/>
              </w:rPr>
              <w:t>无组织</w:t>
            </w:r>
            <w:r>
              <w:rPr>
                <w:rFonts w:hint="eastAsia"/>
                <w:bCs/>
                <w:color w:val="auto"/>
                <w:sz w:val="24"/>
              </w:rPr>
              <w:t>0.0</w:t>
            </w:r>
            <w:r>
              <w:rPr>
                <w:rFonts w:hint="eastAsia"/>
                <w:bCs/>
                <w:color w:val="auto"/>
                <w:sz w:val="24"/>
                <w:lang w:val="en-US" w:eastAsia="zh-CN"/>
              </w:rPr>
              <w:t>112</w:t>
            </w:r>
            <w:r>
              <w:rPr>
                <w:bCs/>
                <w:color w:val="auto"/>
                <w:sz w:val="24"/>
              </w:rPr>
              <w:t>t/a</w:t>
            </w:r>
            <w:r>
              <w:rPr>
                <w:rFonts w:hint="eastAsia"/>
                <w:bCs/>
                <w:color w:val="auto"/>
                <w:sz w:val="24"/>
              </w:rPr>
              <w:t>）</w:t>
            </w:r>
            <w:r>
              <w:rPr>
                <w:bCs/>
                <w:color w:val="auto"/>
                <w:sz w:val="24"/>
              </w:rPr>
              <w:t>。</w:t>
            </w:r>
          </w:p>
          <w:p w14:paraId="63B5891C">
            <w:pPr>
              <w:adjustRightInd w:val="0"/>
              <w:snapToGrid w:val="0"/>
              <w:spacing w:line="360" w:lineRule="auto"/>
              <w:ind w:firstLine="480" w:firstLineChars="200"/>
              <w:rPr>
                <w:bCs/>
                <w:color w:val="auto"/>
                <w:sz w:val="24"/>
              </w:rPr>
            </w:pPr>
            <w:r>
              <w:rPr>
                <w:color w:val="auto"/>
                <w:sz w:val="24"/>
              </w:rPr>
              <w:t>本项目</w:t>
            </w:r>
            <w:r>
              <w:rPr>
                <w:rFonts w:hint="eastAsia"/>
                <w:bCs/>
                <w:color w:val="auto"/>
                <w:sz w:val="24"/>
              </w:rPr>
              <w:t>颗粒物、NMHC</w:t>
            </w:r>
            <w:r>
              <w:rPr>
                <w:bCs/>
                <w:color w:val="auto"/>
                <w:sz w:val="24"/>
              </w:rPr>
              <w:t>由淮安市</w:t>
            </w:r>
            <w:r>
              <w:rPr>
                <w:rFonts w:hint="eastAsia"/>
                <w:bCs/>
                <w:color w:val="auto"/>
                <w:sz w:val="24"/>
              </w:rPr>
              <w:t>涟水</w:t>
            </w:r>
            <w:r>
              <w:rPr>
                <w:bCs/>
                <w:color w:val="auto"/>
                <w:sz w:val="24"/>
              </w:rPr>
              <w:t>生态环境局从境内企业</w:t>
            </w:r>
            <w:r>
              <w:rPr>
                <w:rFonts w:hint="eastAsia"/>
                <w:bCs/>
                <w:color w:val="auto"/>
                <w:sz w:val="24"/>
              </w:rPr>
              <w:t>削减总量中</w:t>
            </w:r>
            <w:r>
              <w:rPr>
                <w:bCs/>
                <w:color w:val="auto"/>
                <w:sz w:val="24"/>
              </w:rPr>
              <w:t>替代平衡。</w:t>
            </w:r>
          </w:p>
          <w:p w14:paraId="340A6556">
            <w:pPr>
              <w:adjustRightInd w:val="0"/>
              <w:snapToGrid w:val="0"/>
              <w:spacing w:line="360" w:lineRule="auto"/>
              <w:ind w:firstLine="482" w:firstLineChars="200"/>
              <w:rPr>
                <w:b/>
                <w:color w:val="auto"/>
                <w:sz w:val="24"/>
              </w:rPr>
            </w:pPr>
            <w:r>
              <w:rPr>
                <w:b/>
                <w:color w:val="auto"/>
                <w:sz w:val="24"/>
              </w:rPr>
              <w:t>2.废水</w:t>
            </w:r>
          </w:p>
          <w:p w14:paraId="1EBD6946">
            <w:pPr>
              <w:adjustRightInd w:val="0"/>
              <w:snapToGrid w:val="0"/>
              <w:spacing w:line="360" w:lineRule="auto"/>
              <w:ind w:firstLine="480" w:firstLineChars="200"/>
              <w:jc w:val="left"/>
              <w:rPr>
                <w:bCs/>
                <w:color w:val="auto"/>
                <w:sz w:val="24"/>
              </w:rPr>
            </w:pPr>
            <w:r>
              <w:rPr>
                <w:bCs/>
                <w:color w:val="auto"/>
                <w:sz w:val="24"/>
              </w:rPr>
              <w:t>项目废水主要为生活污水。</w:t>
            </w:r>
          </w:p>
          <w:p w14:paraId="779422C1">
            <w:pPr>
              <w:adjustRightInd w:val="0"/>
              <w:snapToGrid w:val="0"/>
              <w:spacing w:line="360" w:lineRule="auto"/>
              <w:ind w:firstLine="480" w:firstLineChars="200"/>
              <w:jc w:val="left"/>
              <w:rPr>
                <w:bCs/>
                <w:color w:val="auto"/>
                <w:sz w:val="24"/>
              </w:rPr>
            </w:pPr>
            <w:r>
              <w:rPr>
                <w:bCs/>
                <w:color w:val="auto"/>
                <w:sz w:val="24"/>
              </w:rPr>
              <w:t>生活污水接管排放量为</w:t>
            </w:r>
            <w:r>
              <w:rPr>
                <w:rFonts w:hint="eastAsia"/>
                <w:bCs/>
                <w:color w:val="auto"/>
                <w:sz w:val="24"/>
                <w:lang w:val="en-US" w:eastAsia="zh-CN"/>
              </w:rPr>
              <w:t>228</w:t>
            </w:r>
            <w:r>
              <w:rPr>
                <w:rFonts w:hint="eastAsia"/>
                <w:bCs/>
                <w:color w:val="auto"/>
                <w:sz w:val="24"/>
              </w:rPr>
              <w:t>0</w:t>
            </w:r>
            <w:r>
              <w:rPr>
                <w:bCs/>
                <w:color w:val="auto"/>
                <w:sz w:val="24"/>
              </w:rPr>
              <w:t>t/a，COD：</w:t>
            </w:r>
            <w:r>
              <w:rPr>
                <w:rFonts w:hint="eastAsia"/>
                <w:bCs/>
                <w:color w:val="auto"/>
                <w:sz w:val="24"/>
                <w:lang w:val="en-US" w:eastAsia="zh-CN"/>
              </w:rPr>
              <w:t>0.6384</w:t>
            </w:r>
            <w:r>
              <w:rPr>
                <w:bCs/>
                <w:color w:val="auto"/>
                <w:sz w:val="24"/>
              </w:rPr>
              <w:t>t/a、SS：</w:t>
            </w:r>
            <w:r>
              <w:rPr>
                <w:rFonts w:hint="eastAsia"/>
                <w:bCs/>
                <w:color w:val="auto"/>
                <w:sz w:val="24"/>
                <w:lang w:val="en-US" w:eastAsia="zh-CN"/>
              </w:rPr>
              <w:t>0.228</w:t>
            </w:r>
            <w:r>
              <w:rPr>
                <w:bCs/>
                <w:color w:val="auto"/>
                <w:sz w:val="24"/>
              </w:rPr>
              <w:t>t/a、NH</w:t>
            </w:r>
            <w:r>
              <w:rPr>
                <w:bCs/>
                <w:color w:val="auto"/>
                <w:sz w:val="24"/>
                <w:vertAlign w:val="subscript"/>
              </w:rPr>
              <w:t>3</w:t>
            </w:r>
            <w:r>
              <w:rPr>
                <w:bCs/>
                <w:color w:val="auto"/>
                <w:sz w:val="24"/>
              </w:rPr>
              <w:t>-N</w:t>
            </w:r>
            <w:r>
              <w:rPr>
                <w:rFonts w:hint="eastAsia"/>
                <w:bCs/>
                <w:color w:val="auto"/>
                <w:sz w:val="24"/>
                <w:lang w:val="en-US" w:eastAsia="zh-CN"/>
              </w:rPr>
              <w:t>0.0684</w:t>
            </w:r>
            <w:r>
              <w:rPr>
                <w:bCs/>
                <w:color w:val="auto"/>
                <w:sz w:val="24"/>
              </w:rPr>
              <w:t>t/a、TN</w:t>
            </w:r>
            <w:r>
              <w:rPr>
                <w:rFonts w:hint="eastAsia"/>
                <w:bCs/>
                <w:color w:val="auto"/>
                <w:sz w:val="24"/>
              </w:rPr>
              <w:t>：</w:t>
            </w:r>
            <w:r>
              <w:rPr>
                <w:rFonts w:hint="eastAsia"/>
                <w:bCs/>
                <w:color w:val="auto"/>
                <w:sz w:val="24"/>
                <w:lang w:val="en-US" w:eastAsia="zh-CN"/>
              </w:rPr>
              <w:t>0.0798</w:t>
            </w:r>
            <w:r>
              <w:rPr>
                <w:bCs/>
                <w:color w:val="auto"/>
                <w:sz w:val="24"/>
              </w:rPr>
              <w:t>t/a、TP</w:t>
            </w:r>
            <w:r>
              <w:rPr>
                <w:rFonts w:hint="eastAsia"/>
                <w:bCs/>
                <w:color w:val="auto"/>
                <w:sz w:val="24"/>
              </w:rPr>
              <w:t>：</w:t>
            </w:r>
            <w:r>
              <w:rPr>
                <w:rFonts w:hint="eastAsia"/>
                <w:bCs/>
                <w:color w:val="auto"/>
                <w:sz w:val="24"/>
                <w:lang w:val="en-US" w:eastAsia="zh-CN"/>
              </w:rPr>
              <w:t>0.00912</w:t>
            </w:r>
            <w:r>
              <w:rPr>
                <w:bCs/>
                <w:color w:val="auto"/>
                <w:sz w:val="24"/>
              </w:rPr>
              <w:t>t/a</w:t>
            </w:r>
            <w:r>
              <w:rPr>
                <w:rFonts w:hint="eastAsia"/>
                <w:bCs/>
                <w:color w:val="auto"/>
                <w:sz w:val="24"/>
              </w:rPr>
              <w:t>、动植物油</w:t>
            </w:r>
            <w:r>
              <w:rPr>
                <w:rFonts w:hint="eastAsia"/>
                <w:bCs/>
                <w:color w:val="auto"/>
                <w:sz w:val="24"/>
                <w:lang w:val="en-US" w:eastAsia="zh-CN"/>
              </w:rPr>
              <w:t>0.0288</w:t>
            </w:r>
            <w:r>
              <w:rPr>
                <w:bCs/>
                <w:color w:val="auto"/>
                <w:sz w:val="24"/>
              </w:rPr>
              <w:t>t/a。</w:t>
            </w:r>
          </w:p>
          <w:p w14:paraId="32E4EFF2">
            <w:pPr>
              <w:adjustRightInd w:val="0"/>
              <w:snapToGrid w:val="0"/>
              <w:spacing w:line="360" w:lineRule="auto"/>
              <w:ind w:firstLine="480" w:firstLineChars="200"/>
              <w:jc w:val="left"/>
              <w:rPr>
                <w:color w:val="auto"/>
              </w:rPr>
            </w:pPr>
            <w:r>
              <w:rPr>
                <w:bCs/>
                <w:color w:val="auto"/>
                <w:sz w:val="24"/>
              </w:rPr>
              <w:t>生活污水环境排放量</w:t>
            </w:r>
            <w:r>
              <w:rPr>
                <w:rFonts w:hint="eastAsia"/>
                <w:bCs/>
                <w:color w:val="auto"/>
                <w:sz w:val="24"/>
                <w:lang w:val="en-US" w:eastAsia="zh-CN"/>
              </w:rPr>
              <w:t>2280</w:t>
            </w:r>
            <w:r>
              <w:rPr>
                <w:rFonts w:hint="eastAsia"/>
                <w:bCs/>
                <w:color w:val="auto"/>
                <w:sz w:val="24"/>
              </w:rPr>
              <w:t>t</w:t>
            </w:r>
            <w:r>
              <w:rPr>
                <w:bCs/>
                <w:color w:val="auto"/>
                <w:sz w:val="24"/>
              </w:rPr>
              <w:t>/a，COD：</w:t>
            </w:r>
            <w:r>
              <w:rPr>
                <w:rFonts w:hint="eastAsia"/>
                <w:bCs/>
                <w:color w:val="auto"/>
                <w:sz w:val="24"/>
                <w:lang w:val="en-US" w:eastAsia="zh-CN"/>
              </w:rPr>
              <w:t>0.114</w:t>
            </w:r>
            <w:r>
              <w:rPr>
                <w:bCs/>
                <w:color w:val="auto"/>
                <w:sz w:val="24"/>
              </w:rPr>
              <w:t>t/a、SS：</w:t>
            </w:r>
            <w:r>
              <w:rPr>
                <w:rFonts w:hint="eastAsia"/>
                <w:bCs/>
                <w:color w:val="auto"/>
                <w:sz w:val="24"/>
                <w:lang w:val="en-US" w:eastAsia="zh-CN"/>
              </w:rPr>
              <w:t>0.0228</w:t>
            </w:r>
            <w:r>
              <w:rPr>
                <w:bCs/>
                <w:color w:val="auto"/>
                <w:sz w:val="24"/>
              </w:rPr>
              <w:t>t/a、NH</w:t>
            </w:r>
            <w:r>
              <w:rPr>
                <w:bCs/>
                <w:color w:val="auto"/>
                <w:sz w:val="24"/>
                <w:vertAlign w:val="subscript"/>
              </w:rPr>
              <w:t>3</w:t>
            </w:r>
            <w:r>
              <w:rPr>
                <w:bCs/>
                <w:color w:val="auto"/>
                <w:sz w:val="24"/>
              </w:rPr>
              <w:t>-N：</w:t>
            </w:r>
            <w:r>
              <w:rPr>
                <w:rFonts w:hint="eastAsia"/>
                <w:bCs/>
                <w:color w:val="auto"/>
                <w:sz w:val="24"/>
                <w:lang w:val="en-US" w:eastAsia="zh-CN"/>
              </w:rPr>
              <w:t>0.01824</w:t>
            </w:r>
            <w:r>
              <w:rPr>
                <w:bCs/>
                <w:color w:val="auto"/>
                <w:sz w:val="24"/>
              </w:rPr>
              <w:t>t/a、TN：</w:t>
            </w:r>
            <w:r>
              <w:rPr>
                <w:rFonts w:hint="eastAsia"/>
                <w:bCs/>
                <w:color w:val="auto"/>
                <w:sz w:val="24"/>
                <w:lang w:val="en-US" w:eastAsia="zh-CN"/>
              </w:rPr>
              <w:t>0.0342</w:t>
            </w:r>
            <w:r>
              <w:rPr>
                <w:bCs/>
                <w:color w:val="auto"/>
                <w:sz w:val="24"/>
              </w:rPr>
              <w:t>t/a、TP：</w:t>
            </w:r>
            <w:r>
              <w:rPr>
                <w:rFonts w:hint="eastAsia"/>
                <w:bCs/>
                <w:color w:val="auto"/>
                <w:sz w:val="24"/>
                <w:lang w:val="en-US" w:eastAsia="zh-CN"/>
              </w:rPr>
              <w:t>0.00114</w:t>
            </w:r>
            <w:r>
              <w:rPr>
                <w:bCs/>
                <w:color w:val="auto"/>
                <w:sz w:val="24"/>
              </w:rPr>
              <w:t>t/a</w:t>
            </w:r>
            <w:r>
              <w:rPr>
                <w:rFonts w:hint="eastAsia"/>
                <w:bCs/>
                <w:color w:val="auto"/>
                <w:sz w:val="24"/>
              </w:rPr>
              <w:t>、动植物油</w:t>
            </w:r>
            <w:r>
              <w:rPr>
                <w:rFonts w:hint="eastAsia"/>
                <w:bCs/>
                <w:color w:val="auto"/>
                <w:sz w:val="24"/>
                <w:lang w:val="en-US" w:eastAsia="zh-CN"/>
              </w:rPr>
              <w:t>0.00228</w:t>
            </w:r>
            <w:r>
              <w:rPr>
                <w:bCs/>
                <w:color w:val="auto"/>
                <w:sz w:val="24"/>
              </w:rPr>
              <w:t>t/a。</w:t>
            </w:r>
          </w:p>
          <w:p w14:paraId="4D9DEB7A">
            <w:pPr>
              <w:adjustRightInd w:val="0"/>
              <w:snapToGrid w:val="0"/>
              <w:spacing w:line="360" w:lineRule="auto"/>
              <w:ind w:firstLine="480" w:firstLineChars="200"/>
              <w:jc w:val="left"/>
              <w:rPr>
                <w:bCs/>
                <w:color w:val="auto"/>
                <w:sz w:val="24"/>
              </w:rPr>
            </w:pPr>
            <w:r>
              <w:rPr>
                <w:rFonts w:hint="eastAsia"/>
                <w:bCs/>
                <w:color w:val="auto"/>
                <w:sz w:val="24"/>
              </w:rPr>
              <w:t>建设项目所需要的废水总量纳入涟水经济开发区西区污水处理厂剩余总量。</w:t>
            </w:r>
          </w:p>
          <w:p w14:paraId="48AA9561">
            <w:pPr>
              <w:adjustRightInd w:val="0"/>
              <w:snapToGrid w:val="0"/>
              <w:spacing w:line="360" w:lineRule="auto"/>
              <w:ind w:firstLine="482" w:firstLineChars="200"/>
              <w:jc w:val="left"/>
              <w:rPr>
                <w:b/>
                <w:color w:val="auto"/>
                <w:sz w:val="24"/>
              </w:rPr>
            </w:pPr>
            <w:r>
              <w:rPr>
                <w:b/>
                <w:color w:val="auto"/>
                <w:sz w:val="24"/>
              </w:rPr>
              <w:t>3.固废</w:t>
            </w:r>
          </w:p>
          <w:p w14:paraId="2C7515E6">
            <w:pPr>
              <w:adjustRightInd w:val="0"/>
              <w:snapToGrid w:val="0"/>
              <w:spacing w:line="360" w:lineRule="auto"/>
              <w:ind w:firstLine="480" w:firstLineChars="200"/>
              <w:rPr>
                <w:bCs/>
                <w:color w:val="auto"/>
                <w:sz w:val="24"/>
              </w:rPr>
            </w:pPr>
            <w:r>
              <w:rPr>
                <w:bCs/>
                <w:color w:val="auto"/>
                <w:sz w:val="24"/>
              </w:rPr>
              <w:t>本项目产生的所有固废均按环保要求进行处理或处置，故固废排放为0。</w:t>
            </w:r>
          </w:p>
        </w:tc>
      </w:tr>
    </w:tbl>
    <w:p w14:paraId="4F4E7B7F">
      <w:pPr>
        <w:pStyle w:val="81"/>
        <w:spacing w:after="0" w:afterAutospacing="0"/>
        <w:ind w:firstLine="720"/>
        <w:jc w:val="center"/>
        <w:outlineLvl w:val="0"/>
        <w:rPr>
          <w:rFonts w:ascii="Times New Roman" w:hAnsi="Times New Roman"/>
          <w:snapToGrid w:val="0"/>
          <w:color w:val="auto"/>
          <w:sz w:val="30"/>
          <w:szCs w:val="30"/>
        </w:rPr>
      </w:pPr>
      <w:r>
        <w:rPr>
          <w:rFonts w:ascii="Times New Roman" w:hAnsi="Times New Roman"/>
          <w:snapToGrid w:val="0"/>
          <w:color w:val="auto"/>
          <w:sz w:val="36"/>
          <w:szCs w:val="36"/>
        </w:rPr>
        <w:br w:type="page"/>
      </w:r>
      <w:bookmarkStart w:id="24" w:name="_Toc23219"/>
      <w:r>
        <w:rPr>
          <w:rFonts w:ascii="Times New Roman" w:hAnsi="Times New Roman"/>
          <w:b/>
          <w:bCs/>
          <w:snapToGrid w:val="0"/>
          <w:color w:val="auto"/>
          <w:sz w:val="30"/>
          <w:szCs w:val="30"/>
        </w:rPr>
        <w:t>四、主要环境影响和保护措施</w:t>
      </w:r>
      <w:bookmarkEnd w:id="24"/>
    </w:p>
    <w:tbl>
      <w:tblPr>
        <w:tblStyle w:val="88"/>
        <w:tblW w:w="508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87"/>
        <w:gridCol w:w="8753"/>
      </w:tblGrid>
      <w:tr w14:paraId="6FB0B1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05" w:hRule="atLeast"/>
          <w:jc w:val="center"/>
        </w:trPr>
        <w:tc>
          <w:tcPr>
            <w:tcW w:w="384" w:type="dxa"/>
            <w:tcMar>
              <w:left w:w="28" w:type="dxa"/>
              <w:right w:w="28" w:type="dxa"/>
            </w:tcMar>
            <w:vAlign w:val="center"/>
          </w:tcPr>
          <w:p w14:paraId="068745A8">
            <w:pPr>
              <w:pStyle w:val="81"/>
              <w:adjustRightInd w:val="0"/>
              <w:snapToGrid w:val="0"/>
              <w:spacing w:before="0" w:beforeAutospacing="0" w:after="0" w:afterAutospacing="0"/>
              <w:jc w:val="center"/>
              <w:rPr>
                <w:rFonts w:ascii="Times New Roman" w:hAnsi="Times New Roman"/>
                <w:color w:val="auto"/>
                <w:kern w:val="2"/>
                <w:szCs w:val="24"/>
                <w:lang w:val="en-US"/>
              </w:rPr>
            </w:pPr>
            <w:r>
              <w:rPr>
                <w:rFonts w:ascii="Times New Roman" w:hAnsi="Times New Roman"/>
                <w:color w:val="auto"/>
                <w:kern w:val="2"/>
                <w:szCs w:val="24"/>
                <w:lang w:val="en-US"/>
              </w:rPr>
              <w:t>施工</w:t>
            </w:r>
          </w:p>
          <w:p w14:paraId="457AEF20">
            <w:pPr>
              <w:pStyle w:val="81"/>
              <w:adjustRightInd w:val="0"/>
              <w:snapToGrid w:val="0"/>
              <w:spacing w:before="0" w:beforeAutospacing="0" w:after="0" w:afterAutospacing="0"/>
              <w:jc w:val="center"/>
              <w:rPr>
                <w:rFonts w:ascii="Times New Roman" w:hAnsi="Times New Roman"/>
                <w:color w:val="auto"/>
                <w:kern w:val="2"/>
                <w:szCs w:val="24"/>
                <w:lang w:val="en-US"/>
              </w:rPr>
            </w:pPr>
            <w:r>
              <w:rPr>
                <w:rFonts w:ascii="Times New Roman" w:hAnsi="Times New Roman"/>
                <w:color w:val="auto"/>
                <w:kern w:val="2"/>
                <w:szCs w:val="24"/>
                <w:lang w:val="en-US"/>
              </w:rPr>
              <w:t>期环</w:t>
            </w:r>
          </w:p>
          <w:p w14:paraId="2D72FA35">
            <w:pPr>
              <w:pStyle w:val="81"/>
              <w:adjustRightInd w:val="0"/>
              <w:snapToGrid w:val="0"/>
              <w:spacing w:before="0" w:beforeAutospacing="0" w:after="0" w:afterAutospacing="0"/>
              <w:jc w:val="center"/>
              <w:rPr>
                <w:rFonts w:ascii="Times New Roman" w:hAnsi="Times New Roman"/>
                <w:color w:val="auto"/>
                <w:kern w:val="2"/>
                <w:szCs w:val="24"/>
                <w:lang w:val="en-US"/>
              </w:rPr>
            </w:pPr>
            <w:r>
              <w:rPr>
                <w:rFonts w:ascii="Times New Roman" w:hAnsi="Times New Roman"/>
                <w:color w:val="auto"/>
                <w:kern w:val="2"/>
                <w:szCs w:val="24"/>
                <w:lang w:val="en-US"/>
              </w:rPr>
              <w:t>境保</w:t>
            </w:r>
          </w:p>
          <w:p w14:paraId="6008086C">
            <w:pPr>
              <w:pStyle w:val="81"/>
              <w:adjustRightInd w:val="0"/>
              <w:snapToGrid w:val="0"/>
              <w:spacing w:before="0" w:beforeAutospacing="0" w:after="0" w:afterAutospacing="0"/>
              <w:jc w:val="center"/>
              <w:rPr>
                <w:rFonts w:ascii="Times New Roman" w:hAnsi="Times New Roman"/>
                <w:color w:val="auto"/>
                <w:kern w:val="2"/>
                <w:szCs w:val="24"/>
                <w:lang w:val="en-US"/>
              </w:rPr>
            </w:pPr>
            <w:r>
              <w:rPr>
                <w:rFonts w:ascii="Times New Roman" w:hAnsi="Times New Roman"/>
                <w:color w:val="auto"/>
                <w:kern w:val="2"/>
                <w:szCs w:val="24"/>
                <w:lang w:val="en-US"/>
              </w:rPr>
              <w:t>护措</w:t>
            </w:r>
          </w:p>
          <w:p w14:paraId="7D1BDC1B">
            <w:pPr>
              <w:pStyle w:val="81"/>
              <w:adjustRightInd w:val="0"/>
              <w:snapToGrid w:val="0"/>
              <w:spacing w:before="0" w:beforeAutospacing="0" w:after="0" w:afterAutospacing="0"/>
              <w:jc w:val="center"/>
              <w:rPr>
                <w:rFonts w:ascii="Times New Roman" w:hAnsi="Times New Roman"/>
                <w:bCs/>
                <w:color w:val="auto"/>
                <w:kern w:val="2"/>
                <w:szCs w:val="24"/>
                <w:lang w:val="en-US"/>
              </w:rPr>
            </w:pPr>
            <w:r>
              <w:rPr>
                <w:rFonts w:ascii="Times New Roman" w:hAnsi="Times New Roman"/>
                <w:color w:val="auto"/>
                <w:kern w:val="2"/>
                <w:szCs w:val="24"/>
                <w:lang w:val="en-US"/>
              </w:rPr>
              <w:t>施</w:t>
            </w:r>
          </w:p>
        </w:tc>
        <w:tc>
          <w:tcPr>
            <w:tcW w:w="8675" w:type="dxa"/>
          </w:tcPr>
          <w:p w14:paraId="5043FE91">
            <w:pPr>
              <w:pStyle w:val="4045"/>
              <w:ind w:firstLine="482"/>
              <w:rPr>
                <w:b/>
                <w:bCs/>
                <w:color w:val="auto"/>
                <w:szCs w:val="24"/>
              </w:rPr>
            </w:pPr>
            <w:r>
              <w:rPr>
                <w:rFonts w:hint="eastAsia"/>
                <w:b/>
                <w:bCs/>
                <w:color w:val="auto"/>
                <w:szCs w:val="24"/>
              </w:rPr>
              <w:t>4.1</w:t>
            </w:r>
            <w:r>
              <w:rPr>
                <w:b/>
                <w:bCs/>
                <w:color w:val="auto"/>
                <w:szCs w:val="24"/>
              </w:rPr>
              <w:t>施工期环境保护措施</w:t>
            </w:r>
          </w:p>
          <w:p w14:paraId="254F1A6A">
            <w:pPr>
              <w:pStyle w:val="4045"/>
              <w:ind w:firstLine="482"/>
              <w:rPr>
                <w:b/>
                <w:bCs/>
                <w:color w:val="auto"/>
                <w:szCs w:val="24"/>
              </w:rPr>
            </w:pPr>
            <w:r>
              <w:rPr>
                <w:rFonts w:hint="eastAsia"/>
                <w:b/>
                <w:bCs/>
                <w:color w:val="auto"/>
                <w:szCs w:val="24"/>
              </w:rPr>
              <w:t>1.施工期大气环境保护措施</w:t>
            </w:r>
          </w:p>
          <w:p w14:paraId="56634122">
            <w:pPr>
              <w:pStyle w:val="4045"/>
              <w:rPr>
                <w:color w:val="auto"/>
                <w:szCs w:val="24"/>
              </w:rPr>
            </w:pPr>
            <w:r>
              <w:rPr>
                <w:color w:val="auto"/>
                <w:szCs w:val="24"/>
              </w:rPr>
              <w:t>根据项目的建设内容，施工期废气主要为施工扬尘、施工机械设备和运输车辆产生的废气及装修阶段产生的少量</w:t>
            </w:r>
            <w:r>
              <w:rPr>
                <w:rFonts w:hint="eastAsia"/>
                <w:color w:val="auto"/>
                <w:szCs w:val="24"/>
              </w:rPr>
              <w:t>有机</w:t>
            </w:r>
            <w:r>
              <w:rPr>
                <w:color w:val="auto"/>
                <w:szCs w:val="24"/>
              </w:rPr>
              <w:t>废气。</w:t>
            </w:r>
          </w:p>
          <w:p w14:paraId="42E94C5D">
            <w:pPr>
              <w:pStyle w:val="4045"/>
              <w:rPr>
                <w:color w:val="auto"/>
                <w:szCs w:val="24"/>
              </w:rPr>
            </w:pPr>
            <w:r>
              <w:rPr>
                <w:rFonts w:hint="eastAsia"/>
                <w:color w:val="auto"/>
                <w:szCs w:val="24"/>
              </w:rPr>
              <w:t>（1）</w:t>
            </w:r>
            <w:r>
              <w:rPr>
                <w:color w:val="auto"/>
                <w:szCs w:val="24"/>
              </w:rPr>
              <w:t>施工扬尘</w:t>
            </w:r>
          </w:p>
          <w:p w14:paraId="16766E8A">
            <w:pPr>
              <w:pStyle w:val="4045"/>
              <w:rPr>
                <w:color w:val="auto"/>
                <w:szCs w:val="24"/>
              </w:rPr>
            </w:pPr>
            <w:r>
              <w:rPr>
                <w:color w:val="auto"/>
                <w:szCs w:val="24"/>
              </w:rPr>
              <w:t>施工</w:t>
            </w:r>
            <w:r>
              <w:rPr>
                <w:rFonts w:hint="eastAsia"/>
                <w:color w:val="auto"/>
                <w:szCs w:val="24"/>
                <w:lang w:eastAsia="zh-CN"/>
              </w:rPr>
              <w:t>期间</w:t>
            </w:r>
            <w:r>
              <w:rPr>
                <w:color w:val="auto"/>
                <w:szCs w:val="24"/>
              </w:rPr>
              <w:t>的扬尘主要来源于基础施工、土石方开挖及运输时产生的扬尘和建筑材料及施工垃圾堆放、装卸过程产生的扬尘。施工工地的地面粉尘，在环境风速足够大时（大于颗粒土沙的起动速度时）就产生了扬尘，其源强大小与颗粒物的粒径大小、比重以及环境的风速、湿度等因素有关，风速越大，颗粒越小，土沙的含水率越小，扬尘的产生量就越大。特别是在晴天起风时，如果不采取控制措施，施工扬尘对周围环境的影响仍较明显。</w:t>
            </w:r>
          </w:p>
          <w:p w14:paraId="29DDF0C3">
            <w:pPr>
              <w:pStyle w:val="4045"/>
              <w:rPr>
                <w:color w:val="auto"/>
                <w:szCs w:val="24"/>
              </w:rPr>
            </w:pPr>
            <w:r>
              <w:rPr>
                <w:color w:val="auto"/>
                <w:szCs w:val="24"/>
              </w:rPr>
              <w:t>参考一般大型土建工程现场的扬尘实地监测数据，计算出拟建项目施工现场各标段粉尘源强为0.72kg/d。一般的施工工地产生的扬尘对150m范围内的周边环境影响明显，不到100m的较近地方有最大扬尘值，达1.6mg/m</w:t>
            </w:r>
            <w:r>
              <w:rPr>
                <w:color w:val="auto"/>
                <w:szCs w:val="24"/>
                <w:vertAlign w:val="superscript"/>
              </w:rPr>
              <w:t>3</w:t>
            </w:r>
            <w:r>
              <w:rPr>
                <w:color w:val="auto"/>
                <w:szCs w:val="24"/>
              </w:rPr>
              <w:t>。若在施工时采取控制措施，包括对开挖裸露处洒水等，可明显减少扬尘量。施工场地洒水与否对扬尘的影响较大，类比同类项目施工场地，场地洒水后，扬尘量将减低28%</w:t>
            </w:r>
            <w:r>
              <w:rPr>
                <w:rFonts w:hint="eastAsia"/>
                <w:color w:val="auto"/>
                <w:szCs w:val="24"/>
                <w:lang w:eastAsia="zh-CN"/>
              </w:rPr>
              <w:t>～</w:t>
            </w:r>
            <w:r>
              <w:rPr>
                <w:color w:val="auto"/>
                <w:szCs w:val="24"/>
              </w:rPr>
              <w:t>75%，大大减少了其对环境的影响，测试数据见下表。</w:t>
            </w:r>
          </w:p>
          <w:p w14:paraId="499941F2">
            <w:pPr>
              <w:pStyle w:val="219"/>
              <w:adjustRightInd w:val="0"/>
              <w:snapToGrid w:val="0"/>
              <w:spacing w:line="240" w:lineRule="auto"/>
              <w:ind w:firstLine="482"/>
              <w:rPr>
                <w:rFonts w:eastAsia="宋体"/>
                <w:b/>
                <w:color w:val="auto"/>
                <w:kern w:val="2"/>
                <w:sz w:val="24"/>
                <w:lang w:val="en-US"/>
              </w:rPr>
            </w:pPr>
            <w:r>
              <w:rPr>
                <w:rFonts w:eastAsia="宋体"/>
                <w:b/>
                <w:color w:val="auto"/>
                <w:kern w:val="2"/>
                <w:sz w:val="24"/>
                <w:lang w:val="en-US"/>
              </w:rPr>
              <w:t>表4-</w:t>
            </w:r>
            <w:r>
              <w:rPr>
                <w:rFonts w:eastAsia="宋体"/>
                <w:b/>
                <w:color w:val="auto"/>
                <w:kern w:val="2"/>
                <w:sz w:val="24"/>
                <w:lang w:val="en-US"/>
              </w:rPr>
              <w:fldChar w:fldCharType="begin"/>
            </w:r>
            <w:r>
              <w:rPr>
                <w:rFonts w:eastAsia="宋体"/>
                <w:b/>
                <w:color w:val="auto"/>
                <w:kern w:val="2"/>
                <w:sz w:val="24"/>
                <w:lang w:val="en-US"/>
              </w:rPr>
              <w:instrText xml:space="preserve"> SEQ 表4- \* ARABIC </w:instrText>
            </w:r>
            <w:r>
              <w:rPr>
                <w:rFonts w:eastAsia="宋体"/>
                <w:b/>
                <w:color w:val="auto"/>
                <w:kern w:val="2"/>
                <w:sz w:val="24"/>
                <w:lang w:val="en-US"/>
              </w:rPr>
              <w:fldChar w:fldCharType="separate"/>
            </w:r>
            <w:r>
              <w:rPr>
                <w:rFonts w:eastAsia="宋体"/>
                <w:b/>
                <w:color w:val="auto"/>
                <w:kern w:val="2"/>
                <w:sz w:val="24"/>
                <w:lang w:val="en-US"/>
              </w:rPr>
              <w:t>1</w:t>
            </w:r>
            <w:r>
              <w:rPr>
                <w:rFonts w:eastAsia="宋体"/>
                <w:b/>
                <w:color w:val="auto"/>
                <w:kern w:val="2"/>
                <w:sz w:val="24"/>
                <w:lang w:val="en-US"/>
              </w:rPr>
              <w:fldChar w:fldCharType="end"/>
            </w:r>
            <w:r>
              <w:rPr>
                <w:rFonts w:hint="eastAsia" w:eastAsia="宋体"/>
                <w:b/>
                <w:color w:val="auto"/>
                <w:kern w:val="2"/>
                <w:sz w:val="24"/>
                <w:lang w:val="en-US"/>
              </w:rPr>
              <w:t xml:space="preserve"> </w:t>
            </w:r>
            <w:r>
              <w:rPr>
                <w:rFonts w:eastAsia="宋体"/>
                <w:b/>
                <w:color w:val="auto"/>
                <w:kern w:val="2"/>
                <w:sz w:val="24"/>
                <w:lang w:val="en-US"/>
              </w:rPr>
              <w:t>洒水降尘测试效果</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36"/>
              <w:gridCol w:w="1102"/>
              <w:gridCol w:w="1160"/>
              <w:gridCol w:w="1159"/>
              <w:gridCol w:w="1159"/>
              <w:gridCol w:w="1159"/>
              <w:gridCol w:w="1159"/>
            </w:tblGrid>
            <w:tr w14:paraId="786377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3" w:type="pct"/>
                  <w:gridSpan w:val="2"/>
                  <w:vAlign w:val="center"/>
                </w:tcPr>
                <w:p w14:paraId="618D1F34">
                  <w:pPr>
                    <w:pStyle w:val="4043"/>
                    <w:keepNext w:val="0"/>
                    <w:keepLines w:val="0"/>
                    <w:pageBreakBefore w:val="0"/>
                    <w:kinsoku/>
                    <w:wordWrap/>
                    <w:overflowPunct/>
                    <w:topLinePunct w:val="0"/>
                    <w:autoSpaceDE/>
                    <w:autoSpaceDN/>
                    <w:bidi w:val="0"/>
                    <w:adjustRightInd w:val="0"/>
                    <w:snapToGrid w:val="0"/>
                    <w:spacing w:line="240" w:lineRule="auto"/>
                    <w:ind w:firstLine="0"/>
                    <w:textAlignment w:val="auto"/>
                    <w:rPr>
                      <w:color w:val="auto"/>
                    </w:rPr>
                  </w:pPr>
                  <w:r>
                    <w:rPr>
                      <w:color w:val="auto"/>
                    </w:rPr>
                    <w:t>距离（m）</w:t>
                  </w:r>
                </w:p>
              </w:tc>
              <w:tc>
                <w:tcPr>
                  <w:tcW w:w="679" w:type="pct"/>
                  <w:vAlign w:val="center"/>
                </w:tcPr>
                <w:p w14:paraId="489ABCDD">
                  <w:pPr>
                    <w:pStyle w:val="4043"/>
                    <w:keepNext w:val="0"/>
                    <w:keepLines w:val="0"/>
                    <w:pageBreakBefore w:val="0"/>
                    <w:kinsoku/>
                    <w:wordWrap/>
                    <w:overflowPunct/>
                    <w:topLinePunct w:val="0"/>
                    <w:autoSpaceDE/>
                    <w:autoSpaceDN/>
                    <w:bidi w:val="0"/>
                    <w:adjustRightInd w:val="0"/>
                    <w:snapToGrid w:val="0"/>
                    <w:spacing w:line="240" w:lineRule="auto"/>
                    <w:ind w:firstLine="0"/>
                    <w:textAlignment w:val="auto"/>
                    <w:rPr>
                      <w:color w:val="auto"/>
                    </w:rPr>
                  </w:pPr>
                  <w:r>
                    <w:rPr>
                      <w:color w:val="auto"/>
                    </w:rPr>
                    <w:t>0</w:t>
                  </w:r>
                </w:p>
              </w:tc>
              <w:tc>
                <w:tcPr>
                  <w:tcW w:w="679" w:type="pct"/>
                  <w:vAlign w:val="center"/>
                </w:tcPr>
                <w:p w14:paraId="08548E1C">
                  <w:pPr>
                    <w:pStyle w:val="4043"/>
                    <w:keepNext w:val="0"/>
                    <w:keepLines w:val="0"/>
                    <w:pageBreakBefore w:val="0"/>
                    <w:kinsoku/>
                    <w:wordWrap/>
                    <w:overflowPunct/>
                    <w:topLinePunct w:val="0"/>
                    <w:autoSpaceDE/>
                    <w:autoSpaceDN/>
                    <w:bidi w:val="0"/>
                    <w:adjustRightInd w:val="0"/>
                    <w:snapToGrid w:val="0"/>
                    <w:spacing w:line="240" w:lineRule="auto"/>
                    <w:ind w:firstLine="0"/>
                    <w:textAlignment w:val="auto"/>
                    <w:rPr>
                      <w:color w:val="auto"/>
                    </w:rPr>
                  </w:pPr>
                  <w:r>
                    <w:rPr>
                      <w:color w:val="auto"/>
                    </w:rPr>
                    <w:t>20</w:t>
                  </w:r>
                </w:p>
              </w:tc>
              <w:tc>
                <w:tcPr>
                  <w:tcW w:w="679" w:type="pct"/>
                  <w:vAlign w:val="center"/>
                </w:tcPr>
                <w:p w14:paraId="7B5A7DBE">
                  <w:pPr>
                    <w:pStyle w:val="4043"/>
                    <w:keepNext w:val="0"/>
                    <w:keepLines w:val="0"/>
                    <w:pageBreakBefore w:val="0"/>
                    <w:kinsoku/>
                    <w:wordWrap/>
                    <w:overflowPunct/>
                    <w:topLinePunct w:val="0"/>
                    <w:autoSpaceDE/>
                    <w:autoSpaceDN/>
                    <w:bidi w:val="0"/>
                    <w:adjustRightInd w:val="0"/>
                    <w:snapToGrid w:val="0"/>
                    <w:spacing w:line="240" w:lineRule="auto"/>
                    <w:ind w:firstLine="0"/>
                    <w:textAlignment w:val="auto"/>
                    <w:rPr>
                      <w:color w:val="auto"/>
                    </w:rPr>
                  </w:pPr>
                  <w:r>
                    <w:rPr>
                      <w:color w:val="auto"/>
                    </w:rPr>
                    <w:t>50</w:t>
                  </w:r>
                </w:p>
              </w:tc>
              <w:tc>
                <w:tcPr>
                  <w:tcW w:w="679" w:type="pct"/>
                  <w:vAlign w:val="center"/>
                </w:tcPr>
                <w:p w14:paraId="3383C6AF">
                  <w:pPr>
                    <w:pStyle w:val="4043"/>
                    <w:keepNext w:val="0"/>
                    <w:keepLines w:val="0"/>
                    <w:pageBreakBefore w:val="0"/>
                    <w:kinsoku/>
                    <w:wordWrap/>
                    <w:overflowPunct/>
                    <w:topLinePunct w:val="0"/>
                    <w:autoSpaceDE/>
                    <w:autoSpaceDN/>
                    <w:bidi w:val="0"/>
                    <w:adjustRightInd w:val="0"/>
                    <w:snapToGrid w:val="0"/>
                    <w:spacing w:line="240" w:lineRule="auto"/>
                    <w:ind w:firstLine="0"/>
                    <w:textAlignment w:val="auto"/>
                    <w:rPr>
                      <w:color w:val="auto"/>
                    </w:rPr>
                  </w:pPr>
                  <w:r>
                    <w:rPr>
                      <w:color w:val="auto"/>
                    </w:rPr>
                    <w:t>100</w:t>
                  </w:r>
                </w:p>
              </w:tc>
              <w:tc>
                <w:tcPr>
                  <w:tcW w:w="679" w:type="pct"/>
                  <w:vAlign w:val="center"/>
                </w:tcPr>
                <w:p w14:paraId="0D620AF2">
                  <w:pPr>
                    <w:pStyle w:val="4043"/>
                    <w:keepNext w:val="0"/>
                    <w:keepLines w:val="0"/>
                    <w:pageBreakBefore w:val="0"/>
                    <w:kinsoku/>
                    <w:wordWrap/>
                    <w:overflowPunct/>
                    <w:topLinePunct w:val="0"/>
                    <w:autoSpaceDE/>
                    <w:autoSpaceDN/>
                    <w:bidi w:val="0"/>
                    <w:adjustRightInd w:val="0"/>
                    <w:snapToGrid w:val="0"/>
                    <w:spacing w:line="240" w:lineRule="auto"/>
                    <w:ind w:firstLine="0"/>
                    <w:textAlignment w:val="auto"/>
                    <w:rPr>
                      <w:color w:val="auto"/>
                    </w:rPr>
                  </w:pPr>
                  <w:r>
                    <w:rPr>
                      <w:color w:val="auto"/>
                    </w:rPr>
                    <w:t>200</w:t>
                  </w:r>
                </w:p>
              </w:tc>
            </w:tr>
            <w:tr w14:paraId="1FEDE1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8" w:type="pct"/>
                  <w:vMerge w:val="restart"/>
                  <w:vAlign w:val="center"/>
                </w:tcPr>
                <w:p w14:paraId="3E3A0D37">
                  <w:pPr>
                    <w:pStyle w:val="4044"/>
                    <w:keepNext w:val="0"/>
                    <w:keepLines w:val="0"/>
                    <w:pageBreakBefore w:val="0"/>
                    <w:kinsoku/>
                    <w:wordWrap/>
                    <w:overflowPunct/>
                    <w:topLinePunct w:val="0"/>
                    <w:autoSpaceDE/>
                    <w:autoSpaceDN/>
                    <w:bidi w:val="0"/>
                    <w:adjustRightInd w:val="0"/>
                    <w:snapToGrid w:val="0"/>
                    <w:spacing w:line="240" w:lineRule="auto"/>
                    <w:ind w:firstLine="0"/>
                    <w:textAlignment w:val="auto"/>
                    <w:rPr>
                      <w:color w:val="auto"/>
                      <w:kern w:val="2"/>
                      <w:szCs w:val="22"/>
                    </w:rPr>
                  </w:pPr>
                  <w:r>
                    <w:rPr>
                      <w:color w:val="auto"/>
                      <w:kern w:val="2"/>
                      <w:szCs w:val="22"/>
                    </w:rPr>
                    <w:t>粉尘（mg/m</w:t>
                  </w:r>
                  <w:r>
                    <w:rPr>
                      <w:color w:val="auto"/>
                      <w:kern w:val="2"/>
                      <w:szCs w:val="22"/>
                      <w:vertAlign w:val="superscript"/>
                    </w:rPr>
                    <w:t>3</w:t>
                  </w:r>
                  <w:r>
                    <w:rPr>
                      <w:color w:val="auto"/>
                      <w:kern w:val="2"/>
                      <w:szCs w:val="22"/>
                    </w:rPr>
                    <w:t>）</w:t>
                  </w:r>
                </w:p>
              </w:tc>
              <w:tc>
                <w:tcPr>
                  <w:tcW w:w="645" w:type="pct"/>
                  <w:vAlign w:val="center"/>
                </w:tcPr>
                <w:p w14:paraId="632B8315">
                  <w:pPr>
                    <w:pStyle w:val="4044"/>
                    <w:keepNext w:val="0"/>
                    <w:keepLines w:val="0"/>
                    <w:pageBreakBefore w:val="0"/>
                    <w:kinsoku/>
                    <w:wordWrap/>
                    <w:overflowPunct/>
                    <w:topLinePunct w:val="0"/>
                    <w:autoSpaceDE/>
                    <w:autoSpaceDN/>
                    <w:bidi w:val="0"/>
                    <w:adjustRightInd w:val="0"/>
                    <w:snapToGrid w:val="0"/>
                    <w:spacing w:line="240" w:lineRule="auto"/>
                    <w:ind w:firstLine="0"/>
                    <w:textAlignment w:val="auto"/>
                    <w:rPr>
                      <w:color w:val="auto"/>
                      <w:kern w:val="2"/>
                      <w:szCs w:val="22"/>
                    </w:rPr>
                  </w:pPr>
                  <w:r>
                    <w:rPr>
                      <w:color w:val="auto"/>
                      <w:kern w:val="2"/>
                      <w:szCs w:val="22"/>
                    </w:rPr>
                    <w:t>不洒水</w:t>
                  </w:r>
                </w:p>
              </w:tc>
              <w:tc>
                <w:tcPr>
                  <w:tcW w:w="679" w:type="pct"/>
                  <w:vAlign w:val="center"/>
                </w:tcPr>
                <w:p w14:paraId="6FBE2E4E">
                  <w:pPr>
                    <w:pStyle w:val="4044"/>
                    <w:keepNext w:val="0"/>
                    <w:keepLines w:val="0"/>
                    <w:pageBreakBefore w:val="0"/>
                    <w:kinsoku/>
                    <w:wordWrap/>
                    <w:overflowPunct/>
                    <w:topLinePunct w:val="0"/>
                    <w:autoSpaceDE/>
                    <w:autoSpaceDN/>
                    <w:bidi w:val="0"/>
                    <w:adjustRightInd w:val="0"/>
                    <w:snapToGrid w:val="0"/>
                    <w:spacing w:line="240" w:lineRule="auto"/>
                    <w:ind w:firstLine="0"/>
                    <w:textAlignment w:val="auto"/>
                    <w:rPr>
                      <w:color w:val="auto"/>
                      <w:kern w:val="2"/>
                      <w:szCs w:val="22"/>
                    </w:rPr>
                  </w:pPr>
                  <w:r>
                    <w:rPr>
                      <w:color w:val="auto"/>
                      <w:kern w:val="2"/>
                      <w:szCs w:val="22"/>
                    </w:rPr>
                    <w:t>11.0</w:t>
                  </w:r>
                </w:p>
              </w:tc>
              <w:tc>
                <w:tcPr>
                  <w:tcW w:w="679" w:type="pct"/>
                  <w:vAlign w:val="center"/>
                </w:tcPr>
                <w:p w14:paraId="42B3735E">
                  <w:pPr>
                    <w:pStyle w:val="4044"/>
                    <w:keepNext w:val="0"/>
                    <w:keepLines w:val="0"/>
                    <w:pageBreakBefore w:val="0"/>
                    <w:kinsoku/>
                    <w:wordWrap/>
                    <w:overflowPunct/>
                    <w:topLinePunct w:val="0"/>
                    <w:autoSpaceDE/>
                    <w:autoSpaceDN/>
                    <w:bidi w:val="0"/>
                    <w:adjustRightInd w:val="0"/>
                    <w:snapToGrid w:val="0"/>
                    <w:spacing w:line="240" w:lineRule="auto"/>
                    <w:ind w:firstLine="0"/>
                    <w:textAlignment w:val="auto"/>
                    <w:rPr>
                      <w:color w:val="auto"/>
                      <w:kern w:val="2"/>
                      <w:szCs w:val="22"/>
                    </w:rPr>
                  </w:pPr>
                  <w:r>
                    <w:rPr>
                      <w:color w:val="auto"/>
                      <w:kern w:val="2"/>
                      <w:szCs w:val="22"/>
                    </w:rPr>
                    <w:t>2.89</w:t>
                  </w:r>
                </w:p>
              </w:tc>
              <w:tc>
                <w:tcPr>
                  <w:tcW w:w="679" w:type="pct"/>
                  <w:vAlign w:val="center"/>
                </w:tcPr>
                <w:p w14:paraId="7F8CC20F">
                  <w:pPr>
                    <w:pStyle w:val="4044"/>
                    <w:keepNext w:val="0"/>
                    <w:keepLines w:val="0"/>
                    <w:pageBreakBefore w:val="0"/>
                    <w:kinsoku/>
                    <w:wordWrap/>
                    <w:overflowPunct/>
                    <w:topLinePunct w:val="0"/>
                    <w:autoSpaceDE/>
                    <w:autoSpaceDN/>
                    <w:bidi w:val="0"/>
                    <w:adjustRightInd w:val="0"/>
                    <w:snapToGrid w:val="0"/>
                    <w:spacing w:line="240" w:lineRule="auto"/>
                    <w:ind w:firstLine="0"/>
                    <w:textAlignment w:val="auto"/>
                    <w:rPr>
                      <w:color w:val="auto"/>
                      <w:kern w:val="2"/>
                      <w:szCs w:val="22"/>
                    </w:rPr>
                  </w:pPr>
                  <w:r>
                    <w:rPr>
                      <w:color w:val="auto"/>
                      <w:kern w:val="2"/>
                      <w:szCs w:val="22"/>
                    </w:rPr>
                    <w:t>1.15</w:t>
                  </w:r>
                </w:p>
              </w:tc>
              <w:tc>
                <w:tcPr>
                  <w:tcW w:w="679" w:type="pct"/>
                  <w:vAlign w:val="center"/>
                </w:tcPr>
                <w:p w14:paraId="18C192A6">
                  <w:pPr>
                    <w:pStyle w:val="4044"/>
                    <w:keepNext w:val="0"/>
                    <w:keepLines w:val="0"/>
                    <w:pageBreakBefore w:val="0"/>
                    <w:kinsoku/>
                    <w:wordWrap/>
                    <w:overflowPunct/>
                    <w:topLinePunct w:val="0"/>
                    <w:autoSpaceDE/>
                    <w:autoSpaceDN/>
                    <w:bidi w:val="0"/>
                    <w:adjustRightInd w:val="0"/>
                    <w:snapToGrid w:val="0"/>
                    <w:spacing w:line="240" w:lineRule="auto"/>
                    <w:ind w:firstLine="0"/>
                    <w:textAlignment w:val="auto"/>
                    <w:rPr>
                      <w:color w:val="auto"/>
                      <w:kern w:val="2"/>
                      <w:szCs w:val="22"/>
                    </w:rPr>
                  </w:pPr>
                  <w:r>
                    <w:rPr>
                      <w:color w:val="auto"/>
                      <w:kern w:val="2"/>
                      <w:szCs w:val="22"/>
                    </w:rPr>
                    <w:t>0.86</w:t>
                  </w:r>
                </w:p>
              </w:tc>
              <w:tc>
                <w:tcPr>
                  <w:tcW w:w="679" w:type="pct"/>
                  <w:vAlign w:val="center"/>
                </w:tcPr>
                <w:p w14:paraId="12C25EEB">
                  <w:pPr>
                    <w:pStyle w:val="4044"/>
                    <w:keepNext w:val="0"/>
                    <w:keepLines w:val="0"/>
                    <w:pageBreakBefore w:val="0"/>
                    <w:kinsoku/>
                    <w:wordWrap/>
                    <w:overflowPunct/>
                    <w:topLinePunct w:val="0"/>
                    <w:autoSpaceDE/>
                    <w:autoSpaceDN/>
                    <w:bidi w:val="0"/>
                    <w:adjustRightInd w:val="0"/>
                    <w:snapToGrid w:val="0"/>
                    <w:spacing w:line="240" w:lineRule="auto"/>
                    <w:ind w:firstLine="0"/>
                    <w:textAlignment w:val="auto"/>
                    <w:rPr>
                      <w:color w:val="auto"/>
                      <w:kern w:val="2"/>
                      <w:szCs w:val="22"/>
                    </w:rPr>
                  </w:pPr>
                  <w:r>
                    <w:rPr>
                      <w:color w:val="auto"/>
                      <w:kern w:val="2"/>
                      <w:szCs w:val="22"/>
                    </w:rPr>
                    <w:t>0.56</w:t>
                  </w:r>
                </w:p>
              </w:tc>
            </w:tr>
            <w:tr w14:paraId="50C03D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8" w:type="pct"/>
                  <w:vMerge w:val="continue"/>
                  <w:vAlign w:val="center"/>
                </w:tcPr>
                <w:p w14:paraId="2B417FB8">
                  <w:pPr>
                    <w:pStyle w:val="4044"/>
                    <w:keepNext w:val="0"/>
                    <w:keepLines w:val="0"/>
                    <w:pageBreakBefore w:val="0"/>
                    <w:kinsoku/>
                    <w:wordWrap/>
                    <w:overflowPunct/>
                    <w:topLinePunct w:val="0"/>
                    <w:autoSpaceDE/>
                    <w:autoSpaceDN/>
                    <w:bidi w:val="0"/>
                    <w:adjustRightInd w:val="0"/>
                    <w:snapToGrid w:val="0"/>
                    <w:spacing w:line="240" w:lineRule="auto"/>
                    <w:ind w:firstLine="0"/>
                    <w:textAlignment w:val="auto"/>
                    <w:rPr>
                      <w:color w:val="auto"/>
                      <w:kern w:val="2"/>
                      <w:szCs w:val="22"/>
                    </w:rPr>
                  </w:pPr>
                </w:p>
              </w:tc>
              <w:tc>
                <w:tcPr>
                  <w:tcW w:w="645" w:type="pct"/>
                  <w:vAlign w:val="center"/>
                </w:tcPr>
                <w:p w14:paraId="2AA0FD50">
                  <w:pPr>
                    <w:pStyle w:val="4044"/>
                    <w:keepNext w:val="0"/>
                    <w:keepLines w:val="0"/>
                    <w:pageBreakBefore w:val="0"/>
                    <w:kinsoku/>
                    <w:wordWrap/>
                    <w:overflowPunct/>
                    <w:topLinePunct w:val="0"/>
                    <w:autoSpaceDE/>
                    <w:autoSpaceDN/>
                    <w:bidi w:val="0"/>
                    <w:adjustRightInd w:val="0"/>
                    <w:snapToGrid w:val="0"/>
                    <w:spacing w:line="240" w:lineRule="auto"/>
                    <w:ind w:firstLine="0"/>
                    <w:textAlignment w:val="auto"/>
                    <w:rPr>
                      <w:color w:val="auto"/>
                      <w:kern w:val="2"/>
                      <w:szCs w:val="22"/>
                    </w:rPr>
                  </w:pPr>
                  <w:r>
                    <w:rPr>
                      <w:color w:val="auto"/>
                      <w:kern w:val="2"/>
                      <w:szCs w:val="22"/>
                    </w:rPr>
                    <w:t>洒水</w:t>
                  </w:r>
                </w:p>
              </w:tc>
              <w:tc>
                <w:tcPr>
                  <w:tcW w:w="679" w:type="pct"/>
                  <w:vAlign w:val="center"/>
                </w:tcPr>
                <w:p w14:paraId="6AE2BC3E">
                  <w:pPr>
                    <w:pStyle w:val="4044"/>
                    <w:keepNext w:val="0"/>
                    <w:keepLines w:val="0"/>
                    <w:pageBreakBefore w:val="0"/>
                    <w:kinsoku/>
                    <w:wordWrap/>
                    <w:overflowPunct/>
                    <w:topLinePunct w:val="0"/>
                    <w:autoSpaceDE/>
                    <w:autoSpaceDN/>
                    <w:bidi w:val="0"/>
                    <w:adjustRightInd w:val="0"/>
                    <w:snapToGrid w:val="0"/>
                    <w:spacing w:line="240" w:lineRule="auto"/>
                    <w:ind w:firstLine="0"/>
                    <w:textAlignment w:val="auto"/>
                    <w:rPr>
                      <w:color w:val="auto"/>
                      <w:kern w:val="2"/>
                      <w:szCs w:val="22"/>
                    </w:rPr>
                  </w:pPr>
                  <w:r>
                    <w:rPr>
                      <w:color w:val="auto"/>
                      <w:kern w:val="2"/>
                      <w:szCs w:val="22"/>
                    </w:rPr>
                    <w:t>2.11</w:t>
                  </w:r>
                </w:p>
              </w:tc>
              <w:tc>
                <w:tcPr>
                  <w:tcW w:w="679" w:type="pct"/>
                  <w:vAlign w:val="center"/>
                </w:tcPr>
                <w:p w14:paraId="42098185">
                  <w:pPr>
                    <w:pStyle w:val="4044"/>
                    <w:keepNext w:val="0"/>
                    <w:keepLines w:val="0"/>
                    <w:pageBreakBefore w:val="0"/>
                    <w:kinsoku/>
                    <w:wordWrap/>
                    <w:overflowPunct/>
                    <w:topLinePunct w:val="0"/>
                    <w:autoSpaceDE/>
                    <w:autoSpaceDN/>
                    <w:bidi w:val="0"/>
                    <w:adjustRightInd w:val="0"/>
                    <w:snapToGrid w:val="0"/>
                    <w:spacing w:line="240" w:lineRule="auto"/>
                    <w:ind w:firstLine="0"/>
                    <w:textAlignment w:val="auto"/>
                    <w:rPr>
                      <w:color w:val="auto"/>
                      <w:kern w:val="2"/>
                      <w:szCs w:val="22"/>
                    </w:rPr>
                  </w:pPr>
                  <w:r>
                    <w:rPr>
                      <w:color w:val="auto"/>
                      <w:kern w:val="2"/>
                      <w:szCs w:val="22"/>
                    </w:rPr>
                    <w:t>1.40</w:t>
                  </w:r>
                </w:p>
              </w:tc>
              <w:tc>
                <w:tcPr>
                  <w:tcW w:w="679" w:type="pct"/>
                  <w:vAlign w:val="center"/>
                </w:tcPr>
                <w:p w14:paraId="76BB2D32">
                  <w:pPr>
                    <w:pStyle w:val="4044"/>
                    <w:keepNext w:val="0"/>
                    <w:keepLines w:val="0"/>
                    <w:pageBreakBefore w:val="0"/>
                    <w:kinsoku/>
                    <w:wordWrap/>
                    <w:overflowPunct/>
                    <w:topLinePunct w:val="0"/>
                    <w:autoSpaceDE/>
                    <w:autoSpaceDN/>
                    <w:bidi w:val="0"/>
                    <w:adjustRightInd w:val="0"/>
                    <w:snapToGrid w:val="0"/>
                    <w:spacing w:line="240" w:lineRule="auto"/>
                    <w:ind w:firstLine="0"/>
                    <w:textAlignment w:val="auto"/>
                    <w:rPr>
                      <w:color w:val="auto"/>
                      <w:kern w:val="2"/>
                      <w:szCs w:val="22"/>
                    </w:rPr>
                  </w:pPr>
                  <w:r>
                    <w:rPr>
                      <w:color w:val="auto"/>
                      <w:kern w:val="2"/>
                      <w:szCs w:val="22"/>
                    </w:rPr>
                    <w:t>0.68</w:t>
                  </w:r>
                </w:p>
              </w:tc>
              <w:tc>
                <w:tcPr>
                  <w:tcW w:w="679" w:type="pct"/>
                  <w:vAlign w:val="center"/>
                </w:tcPr>
                <w:p w14:paraId="42B22ED1">
                  <w:pPr>
                    <w:pStyle w:val="4044"/>
                    <w:keepNext w:val="0"/>
                    <w:keepLines w:val="0"/>
                    <w:pageBreakBefore w:val="0"/>
                    <w:kinsoku/>
                    <w:wordWrap/>
                    <w:overflowPunct/>
                    <w:topLinePunct w:val="0"/>
                    <w:autoSpaceDE/>
                    <w:autoSpaceDN/>
                    <w:bidi w:val="0"/>
                    <w:adjustRightInd w:val="0"/>
                    <w:snapToGrid w:val="0"/>
                    <w:spacing w:line="240" w:lineRule="auto"/>
                    <w:ind w:firstLine="0"/>
                    <w:textAlignment w:val="auto"/>
                    <w:rPr>
                      <w:color w:val="auto"/>
                      <w:kern w:val="2"/>
                      <w:szCs w:val="22"/>
                    </w:rPr>
                  </w:pPr>
                  <w:r>
                    <w:rPr>
                      <w:color w:val="auto"/>
                      <w:kern w:val="2"/>
                      <w:szCs w:val="22"/>
                    </w:rPr>
                    <w:t>0.40</w:t>
                  </w:r>
                </w:p>
              </w:tc>
              <w:tc>
                <w:tcPr>
                  <w:tcW w:w="679" w:type="pct"/>
                  <w:vAlign w:val="center"/>
                </w:tcPr>
                <w:p w14:paraId="4605117D">
                  <w:pPr>
                    <w:pStyle w:val="4044"/>
                    <w:keepNext w:val="0"/>
                    <w:keepLines w:val="0"/>
                    <w:pageBreakBefore w:val="0"/>
                    <w:kinsoku/>
                    <w:wordWrap/>
                    <w:overflowPunct/>
                    <w:topLinePunct w:val="0"/>
                    <w:autoSpaceDE/>
                    <w:autoSpaceDN/>
                    <w:bidi w:val="0"/>
                    <w:adjustRightInd w:val="0"/>
                    <w:snapToGrid w:val="0"/>
                    <w:spacing w:line="240" w:lineRule="auto"/>
                    <w:ind w:firstLine="0"/>
                    <w:textAlignment w:val="auto"/>
                    <w:rPr>
                      <w:color w:val="auto"/>
                      <w:kern w:val="2"/>
                      <w:szCs w:val="22"/>
                    </w:rPr>
                  </w:pPr>
                  <w:r>
                    <w:rPr>
                      <w:color w:val="auto"/>
                      <w:kern w:val="2"/>
                      <w:szCs w:val="22"/>
                    </w:rPr>
                    <w:t>0.29</w:t>
                  </w:r>
                </w:p>
              </w:tc>
            </w:tr>
          </w:tbl>
          <w:p w14:paraId="7CA5AFC2">
            <w:pPr>
              <w:pStyle w:val="4045"/>
              <w:adjustRightInd w:val="0"/>
              <w:spacing w:before="120" w:beforeLines="50"/>
              <w:rPr>
                <w:color w:val="auto"/>
                <w:szCs w:val="24"/>
              </w:rPr>
            </w:pPr>
            <w:r>
              <w:rPr>
                <w:color w:val="auto"/>
                <w:szCs w:val="24"/>
              </w:rPr>
              <w:t>建设项目施工期间洒水次数根据天气状况而定，一般每天洒水1</w:t>
            </w:r>
            <w:r>
              <w:rPr>
                <w:rFonts w:hint="eastAsia"/>
                <w:color w:val="auto"/>
                <w:szCs w:val="24"/>
                <w:lang w:eastAsia="zh-CN"/>
              </w:rPr>
              <w:t>～</w:t>
            </w:r>
            <w:r>
              <w:rPr>
                <w:color w:val="auto"/>
                <w:szCs w:val="24"/>
              </w:rPr>
              <w:t>2次，若遇到大风或干燥天气可适当增加洒水次数。此外，还规定运输车辆在施工区路面减速行驶、清洗车轮和车体、用帆布覆盖易起扬尘的物料等，也可减少施工时车辆运输产生的扬尘量。采取以上措施后，工地扬尘量可减少70%～80%。据此估计，施工场界外50m处粉尘的日均浓度可达标。</w:t>
            </w:r>
          </w:p>
          <w:p w14:paraId="69B5C2CD">
            <w:pPr>
              <w:pStyle w:val="4045"/>
              <w:rPr>
                <w:color w:val="auto"/>
                <w:szCs w:val="24"/>
              </w:rPr>
            </w:pPr>
            <w:r>
              <w:rPr>
                <w:color w:val="auto"/>
                <w:szCs w:val="24"/>
              </w:rPr>
              <w:t>根据工程特点</w:t>
            </w:r>
            <w:r>
              <w:rPr>
                <w:rFonts w:hint="eastAsia"/>
                <w:color w:val="auto"/>
                <w:szCs w:val="24"/>
              </w:rPr>
              <w:t>，</w:t>
            </w:r>
            <w:r>
              <w:rPr>
                <w:color w:val="auto"/>
                <w:szCs w:val="24"/>
              </w:rPr>
              <w:t>建设项目施工期扬尘属于面源，排放高度低；再加上施工期扬尘属短期污染，其影响将随施工行为的结束而结束，若施工单位能够切实落实本报告中针对施工扬尘提出的防治措施，项目的实施对周边大气环境的影响较小。</w:t>
            </w:r>
          </w:p>
          <w:p w14:paraId="0EC68B92">
            <w:pPr>
              <w:pStyle w:val="4045"/>
              <w:rPr>
                <w:color w:val="auto"/>
                <w:szCs w:val="24"/>
              </w:rPr>
            </w:pPr>
            <w:r>
              <w:rPr>
                <w:color w:val="auto"/>
                <w:szCs w:val="24"/>
              </w:rPr>
              <w:t>施工期应在施工现场出入口公示扬尘污染控制措施、负责人、环保监督员、扬尘监管主管部门等有关信息，接受社会监督，并采取下列扬尘污染防治措施：</w:t>
            </w:r>
          </w:p>
          <w:p w14:paraId="0140F180">
            <w:pPr>
              <w:pStyle w:val="4045"/>
              <w:rPr>
                <w:color w:val="auto"/>
                <w:szCs w:val="24"/>
              </w:rPr>
            </w:pPr>
            <w:r>
              <w:rPr>
                <w:color w:val="auto"/>
                <w:szCs w:val="24"/>
              </w:rPr>
              <w:t>1）施工围挡</w:t>
            </w:r>
          </w:p>
          <w:p w14:paraId="757A0419">
            <w:pPr>
              <w:pStyle w:val="4045"/>
              <w:rPr>
                <w:color w:val="auto"/>
                <w:szCs w:val="24"/>
              </w:rPr>
            </w:pPr>
            <w:r>
              <w:rPr>
                <w:color w:val="auto"/>
                <w:szCs w:val="24"/>
              </w:rPr>
              <w:t>施工现场实行围挡封闭。附属工程未结束前，严禁提前将围挡拆除。围挡要封闭严密、坚固稳定、整齐美观，并根据需要及时更新宣传内容。围挡高度不低于2.2m，应选用砌体、双层夹芯彩钢板等硬质材料，严禁采用彩色编织布、竹笆、安全网、普通单层彩钢板等。</w:t>
            </w:r>
            <w:r>
              <w:rPr>
                <w:rFonts w:hint="eastAsia"/>
                <w:color w:val="auto"/>
                <w:szCs w:val="24"/>
                <w:lang w:eastAsia="zh-CN"/>
              </w:rPr>
              <w:t>围挡</w:t>
            </w:r>
            <w:r>
              <w:rPr>
                <w:color w:val="auto"/>
                <w:szCs w:val="24"/>
              </w:rPr>
              <w:t>底边应当封闭，不得有泥浆、垃圾</w:t>
            </w:r>
            <w:r>
              <w:rPr>
                <w:rFonts w:hint="eastAsia"/>
                <w:color w:val="auto"/>
                <w:szCs w:val="24"/>
                <w:lang w:eastAsia="zh-CN"/>
              </w:rPr>
              <w:t>外溢</w:t>
            </w:r>
            <w:r>
              <w:rPr>
                <w:color w:val="auto"/>
                <w:szCs w:val="24"/>
              </w:rPr>
              <w:t>。围挡外不得堆放各类建筑材料，不得有建筑垃圾、生活垃圾及杂草等。</w:t>
            </w:r>
          </w:p>
          <w:p w14:paraId="188AE918">
            <w:pPr>
              <w:pStyle w:val="4045"/>
              <w:rPr>
                <w:color w:val="auto"/>
                <w:szCs w:val="24"/>
              </w:rPr>
            </w:pPr>
            <w:r>
              <w:rPr>
                <w:color w:val="auto"/>
                <w:szCs w:val="24"/>
              </w:rPr>
              <w:t>2）道路硬化</w:t>
            </w:r>
          </w:p>
          <w:p w14:paraId="0AD37AA1">
            <w:pPr>
              <w:pStyle w:val="4045"/>
              <w:rPr>
                <w:color w:val="auto"/>
                <w:szCs w:val="24"/>
              </w:rPr>
            </w:pPr>
            <w:r>
              <w:rPr>
                <w:color w:val="auto"/>
                <w:szCs w:val="24"/>
              </w:rPr>
              <w:t>施工现场的</w:t>
            </w:r>
            <w:r>
              <w:rPr>
                <w:rFonts w:hint="eastAsia"/>
                <w:color w:val="auto"/>
                <w:szCs w:val="24"/>
                <w:lang w:eastAsia="zh-CN"/>
              </w:rPr>
              <w:t>大门</w:t>
            </w:r>
            <w:r>
              <w:rPr>
                <w:color w:val="auto"/>
                <w:szCs w:val="24"/>
              </w:rPr>
              <w:t>内外、主道路、主加工场等必须采用混凝土硬化。主道路两侧应有排水沟或采取硬隔离措施，防止车辆带泥。其它一般道路、广场、办公区、生活区、材料堆场等宜采用可重复利用的预制块材铺装。硬化后的地面，不得有浮土、积土，并安排专人定时洒水降尘。</w:t>
            </w:r>
          </w:p>
          <w:p w14:paraId="11C00595">
            <w:pPr>
              <w:pStyle w:val="4045"/>
              <w:rPr>
                <w:color w:val="auto"/>
                <w:szCs w:val="24"/>
              </w:rPr>
            </w:pPr>
            <w:r>
              <w:rPr>
                <w:color w:val="auto"/>
                <w:szCs w:val="24"/>
              </w:rPr>
              <w:t>3）车辆冲洗</w:t>
            </w:r>
          </w:p>
          <w:p w14:paraId="5A2615DB">
            <w:pPr>
              <w:pStyle w:val="4045"/>
              <w:rPr>
                <w:color w:val="auto"/>
                <w:szCs w:val="24"/>
              </w:rPr>
            </w:pPr>
            <w:r>
              <w:rPr>
                <w:color w:val="auto"/>
                <w:szCs w:val="24"/>
              </w:rPr>
              <w:t>渣土运输车、混凝土搅拌车、材料运输车等</w:t>
            </w:r>
            <w:r>
              <w:rPr>
                <w:rFonts w:hint="eastAsia"/>
                <w:color w:val="auto"/>
                <w:szCs w:val="24"/>
              </w:rPr>
              <w:t>“</w:t>
            </w:r>
            <w:r>
              <w:rPr>
                <w:color w:val="auto"/>
                <w:szCs w:val="24"/>
              </w:rPr>
              <w:t>三大车</w:t>
            </w:r>
            <w:r>
              <w:rPr>
                <w:rFonts w:hint="eastAsia"/>
                <w:color w:val="auto"/>
                <w:szCs w:val="24"/>
              </w:rPr>
              <w:t>”</w:t>
            </w:r>
            <w:r>
              <w:rPr>
                <w:color w:val="auto"/>
                <w:szCs w:val="24"/>
              </w:rPr>
              <w:t>出门时必须进行冲洗。必须有专人对所有驶出施工现场的</w:t>
            </w:r>
            <w:r>
              <w:rPr>
                <w:rFonts w:hint="eastAsia"/>
                <w:color w:val="auto"/>
                <w:szCs w:val="24"/>
              </w:rPr>
              <w:t>“</w:t>
            </w:r>
            <w:r>
              <w:rPr>
                <w:color w:val="auto"/>
                <w:szCs w:val="24"/>
              </w:rPr>
              <w:t>三大车</w:t>
            </w:r>
            <w:r>
              <w:rPr>
                <w:rFonts w:hint="eastAsia"/>
                <w:color w:val="auto"/>
                <w:szCs w:val="24"/>
              </w:rPr>
              <w:t>”</w:t>
            </w:r>
            <w:r>
              <w:rPr>
                <w:color w:val="auto"/>
                <w:szCs w:val="24"/>
              </w:rPr>
              <w:t>进行冲洗并做好冲洗记录，确保</w:t>
            </w:r>
            <w:r>
              <w:rPr>
                <w:rFonts w:hint="eastAsia"/>
                <w:color w:val="auto"/>
                <w:szCs w:val="24"/>
              </w:rPr>
              <w:t>“</w:t>
            </w:r>
            <w:r>
              <w:rPr>
                <w:color w:val="auto"/>
                <w:szCs w:val="24"/>
              </w:rPr>
              <w:t>净车出场</w:t>
            </w:r>
            <w:r>
              <w:rPr>
                <w:rFonts w:hint="eastAsia"/>
                <w:color w:val="auto"/>
                <w:szCs w:val="24"/>
              </w:rPr>
              <w:t>”</w:t>
            </w:r>
            <w:r>
              <w:rPr>
                <w:color w:val="auto"/>
                <w:szCs w:val="24"/>
              </w:rPr>
              <w:t>。大门口必须设有门卫室、洗车槽、水枪、水池、沉淀池等冲洗设施设备。10000平方米以上的主体在建工程应安装车辆自动冲洗设备。污水必须流经沉淀池后排放或循环利用，不得外流。同时应定期对槽内、沉淀池内的淤泥进行清理。</w:t>
            </w:r>
          </w:p>
          <w:p w14:paraId="14935314">
            <w:pPr>
              <w:pStyle w:val="4045"/>
              <w:rPr>
                <w:color w:val="auto"/>
                <w:szCs w:val="24"/>
              </w:rPr>
            </w:pPr>
            <w:r>
              <w:rPr>
                <w:color w:val="auto"/>
                <w:szCs w:val="24"/>
              </w:rPr>
              <w:t>工地出口处须安装远程视频监控系统。市规建委将监控画面同时提供给市城管执法局、施工单位共享。车辆出入口应安排保洁人员进行清扫，保证路面清洁。</w:t>
            </w:r>
          </w:p>
          <w:p w14:paraId="5BDA5CCC">
            <w:pPr>
              <w:pStyle w:val="4045"/>
              <w:rPr>
                <w:color w:val="auto"/>
                <w:szCs w:val="24"/>
              </w:rPr>
            </w:pPr>
            <w:r>
              <w:rPr>
                <w:color w:val="auto"/>
                <w:szCs w:val="24"/>
              </w:rPr>
              <w:t>4）密闭运输</w:t>
            </w:r>
          </w:p>
          <w:p w14:paraId="3B8E9A1B">
            <w:pPr>
              <w:pStyle w:val="4045"/>
              <w:rPr>
                <w:color w:val="auto"/>
                <w:szCs w:val="24"/>
              </w:rPr>
            </w:pPr>
            <w:r>
              <w:rPr>
                <w:color w:val="auto"/>
                <w:szCs w:val="24"/>
              </w:rPr>
              <w:t>运出工地的土方、砂石、建筑垃圾等易产生扬尘的材料，应采用密闭式运输车或采取覆盖措施，严禁超高冒顶装载。运输建筑垃圾、土方的单位和车辆，应取得城管部门核发的建筑渣土运输许可证。运输其他易产生扬尘污染物料的单位和个人，应覆盖、包装完好或采用密闭化车辆运输。</w:t>
            </w:r>
          </w:p>
          <w:p w14:paraId="5172478A">
            <w:pPr>
              <w:pStyle w:val="4045"/>
              <w:rPr>
                <w:color w:val="auto"/>
                <w:szCs w:val="24"/>
              </w:rPr>
            </w:pPr>
            <w:r>
              <w:rPr>
                <w:color w:val="auto"/>
                <w:szCs w:val="24"/>
              </w:rPr>
              <w:t>5）场地覆盖</w:t>
            </w:r>
          </w:p>
          <w:p w14:paraId="4352391A">
            <w:pPr>
              <w:pStyle w:val="4045"/>
              <w:rPr>
                <w:color w:val="auto"/>
                <w:szCs w:val="24"/>
              </w:rPr>
            </w:pPr>
            <w:r>
              <w:rPr>
                <w:color w:val="auto"/>
                <w:szCs w:val="24"/>
              </w:rPr>
              <w:t>施工现场土方开挖后尽快完成回填，不能及时回填的场地，应采取洒水或覆盖等防尘措施。砂石等散体材料应集中堆放并覆盖。对水泥、聚苯颗粒、白灰、腻子粉、石膏粉等扬尘污染的物料，应利用仓库、储藏罐、封闭或半封闭堆场等形式分类存放。易扬尘材料加工时应采取湿法作业。</w:t>
            </w:r>
          </w:p>
          <w:p w14:paraId="543C7620">
            <w:pPr>
              <w:pStyle w:val="4045"/>
              <w:rPr>
                <w:color w:val="auto"/>
                <w:szCs w:val="24"/>
              </w:rPr>
            </w:pPr>
            <w:r>
              <w:rPr>
                <w:color w:val="auto"/>
                <w:szCs w:val="24"/>
              </w:rPr>
              <w:t>渣土等建筑垃圾应集中、分类堆放，并严密遮盖，楼层上的建筑垃圾应采用装袋清运，严禁高处抛洒。严禁现场焚烧废弃物。搅拌机应搭设搅拌机棚，并采取封闭、降尘措施。其余裸露场地应视情况采取覆盖、绿化、洒水或固化等抑尘措施。</w:t>
            </w:r>
          </w:p>
          <w:p w14:paraId="2008F498">
            <w:pPr>
              <w:pStyle w:val="4045"/>
              <w:rPr>
                <w:color w:val="auto"/>
                <w:szCs w:val="24"/>
              </w:rPr>
            </w:pPr>
            <w:r>
              <w:rPr>
                <w:color w:val="auto"/>
                <w:szCs w:val="24"/>
              </w:rPr>
              <w:t>6）张挂安全网</w:t>
            </w:r>
          </w:p>
          <w:p w14:paraId="3F7824B6">
            <w:pPr>
              <w:pStyle w:val="4045"/>
              <w:rPr>
                <w:color w:val="auto"/>
                <w:szCs w:val="24"/>
              </w:rPr>
            </w:pPr>
            <w:r>
              <w:rPr>
                <w:color w:val="auto"/>
                <w:szCs w:val="24"/>
              </w:rPr>
              <w:t>外脚手架应悬挂密目式安全网，并保持干净、整齐、牢固、严密、无破损。脚手架拆除时，应当采用洒水等防尘降尘措施，安全网应和架体同步拆除。</w:t>
            </w:r>
          </w:p>
          <w:p w14:paraId="34D658A7">
            <w:pPr>
              <w:pStyle w:val="4045"/>
              <w:rPr>
                <w:color w:val="auto"/>
                <w:szCs w:val="24"/>
              </w:rPr>
            </w:pPr>
            <w:r>
              <w:rPr>
                <w:rFonts w:hint="eastAsia"/>
                <w:color w:val="auto"/>
                <w:szCs w:val="24"/>
              </w:rPr>
              <w:t>（2）</w:t>
            </w:r>
            <w:r>
              <w:rPr>
                <w:color w:val="auto"/>
                <w:szCs w:val="24"/>
              </w:rPr>
              <w:t>施工机械及车辆运输尾气</w:t>
            </w:r>
          </w:p>
          <w:p w14:paraId="7D2C664E">
            <w:pPr>
              <w:pStyle w:val="4045"/>
              <w:rPr>
                <w:color w:val="auto"/>
                <w:szCs w:val="24"/>
              </w:rPr>
            </w:pPr>
            <w:r>
              <w:rPr>
                <w:color w:val="auto"/>
                <w:szCs w:val="24"/>
              </w:rPr>
              <w:t>施工过程用到的施工机械主要包括挖掘机、装载机、推土机、自卸汽车等，它们以柴油为燃料，会产生一定量废气，包括CO、NOx、SO</w:t>
            </w:r>
            <w:r>
              <w:rPr>
                <w:color w:val="auto"/>
                <w:szCs w:val="24"/>
                <w:vertAlign w:val="subscript"/>
              </w:rPr>
              <w:t>2</w:t>
            </w:r>
            <w:r>
              <w:rPr>
                <w:color w:val="auto"/>
                <w:szCs w:val="24"/>
              </w:rPr>
              <w:t>等，但产生量不大，影响范围有限，给大气环境带来的影响是局部的、短期的。通过提高施工组织管理水平，加强施工期的环境监测和管理，促进和监督施工单位在保证工程质量与进度的同时，使施工行为对大气环境的影响减低到最小。</w:t>
            </w:r>
          </w:p>
          <w:p w14:paraId="2ACD55F0">
            <w:pPr>
              <w:pStyle w:val="4045"/>
              <w:rPr>
                <w:color w:val="auto"/>
                <w:szCs w:val="24"/>
              </w:rPr>
            </w:pPr>
            <w:r>
              <w:rPr>
                <w:rFonts w:hint="eastAsia"/>
                <w:color w:val="auto"/>
                <w:szCs w:val="24"/>
              </w:rPr>
              <w:t>（3）</w:t>
            </w:r>
            <w:r>
              <w:rPr>
                <w:color w:val="auto"/>
                <w:szCs w:val="24"/>
              </w:rPr>
              <w:t>装修废气</w:t>
            </w:r>
          </w:p>
          <w:p w14:paraId="0FAC9E20">
            <w:pPr>
              <w:pStyle w:val="4045"/>
              <w:rPr>
                <w:color w:val="auto"/>
                <w:szCs w:val="24"/>
              </w:rPr>
            </w:pPr>
            <w:r>
              <w:rPr>
                <w:color w:val="auto"/>
                <w:szCs w:val="24"/>
              </w:rPr>
              <w:t>装修</w:t>
            </w:r>
            <w:r>
              <w:rPr>
                <w:rFonts w:hint="eastAsia"/>
                <w:color w:val="auto"/>
                <w:szCs w:val="24"/>
                <w:lang w:eastAsia="zh-CN"/>
              </w:rPr>
              <w:t>期间</w:t>
            </w:r>
            <w:r>
              <w:rPr>
                <w:color w:val="auto"/>
                <w:szCs w:val="24"/>
              </w:rPr>
              <w:t>会产生装修废气，应尽量使用水溶性乳胶漆等环保油漆及涂料，应尽量减少油漆的储存量和储存时间，根据装修进度分批购买；油漆使用完后，应该对油漆桶及时</w:t>
            </w:r>
            <w:r>
              <w:rPr>
                <w:rFonts w:hint="eastAsia"/>
                <w:color w:val="auto"/>
                <w:szCs w:val="24"/>
              </w:rPr>
              <w:t>委托</w:t>
            </w:r>
            <w:r>
              <w:rPr>
                <w:color w:val="auto"/>
                <w:szCs w:val="24"/>
              </w:rPr>
              <w:t>有资质单位处置，不在施工现场大量堆存，防止油漆桶内剩余油漆废气污染环境。施工单位在严格实施扬尘、废气的相应治理措施后，对周围环境影响不大，且施工期较短，对大气环境的影响随着施工期结束而消失。</w:t>
            </w:r>
          </w:p>
          <w:p w14:paraId="36AC16FB">
            <w:pPr>
              <w:pStyle w:val="4045"/>
              <w:ind w:firstLine="482"/>
              <w:rPr>
                <w:b/>
                <w:bCs/>
                <w:color w:val="auto"/>
                <w:szCs w:val="24"/>
              </w:rPr>
            </w:pPr>
            <w:r>
              <w:rPr>
                <w:rFonts w:hint="eastAsia"/>
                <w:b/>
                <w:bCs/>
                <w:color w:val="auto"/>
                <w:szCs w:val="24"/>
              </w:rPr>
              <w:t>2、</w:t>
            </w:r>
            <w:r>
              <w:rPr>
                <w:b/>
                <w:bCs/>
                <w:color w:val="auto"/>
                <w:szCs w:val="24"/>
              </w:rPr>
              <w:t>施工期水环境保护措施</w:t>
            </w:r>
          </w:p>
          <w:p w14:paraId="156CDCE9">
            <w:pPr>
              <w:pStyle w:val="4045"/>
              <w:rPr>
                <w:color w:val="auto"/>
                <w:szCs w:val="24"/>
              </w:rPr>
            </w:pPr>
            <w:r>
              <w:rPr>
                <w:color w:val="auto"/>
                <w:szCs w:val="24"/>
              </w:rPr>
              <w:t>（1）施工废水</w:t>
            </w:r>
          </w:p>
          <w:p w14:paraId="00F5C21B">
            <w:pPr>
              <w:pStyle w:val="4045"/>
              <w:rPr>
                <w:color w:val="auto"/>
                <w:szCs w:val="24"/>
              </w:rPr>
            </w:pPr>
            <w:r>
              <w:rPr>
                <w:color w:val="auto"/>
                <w:szCs w:val="24"/>
              </w:rPr>
              <w:t>项目施工期不单独设置机修、汽修、洗车等设施，施工废水主要为混凝土养护废水、机械和车辆冲洗废水以及地下层基坑开挖渗水，施工废水主要污染物为COD、SS和石油类，污染物组成简单，水量较小。本项目在施工场地设置隔油池、沉淀池收集处理施工废水，经处理后的施工废水回用于施工场地的洒水防尘。本项目施工作业废水不直接向地表水环境排放，对项目所在地的水环境影响较小。</w:t>
            </w:r>
          </w:p>
          <w:p w14:paraId="64F697CA">
            <w:pPr>
              <w:pStyle w:val="4045"/>
              <w:rPr>
                <w:color w:val="auto"/>
                <w:szCs w:val="24"/>
              </w:rPr>
            </w:pPr>
            <w:r>
              <w:rPr>
                <w:color w:val="auto"/>
                <w:szCs w:val="24"/>
              </w:rPr>
              <w:t>（2）施工人员生活污水</w:t>
            </w:r>
          </w:p>
          <w:p w14:paraId="36111249">
            <w:pPr>
              <w:pStyle w:val="4045"/>
              <w:rPr>
                <w:color w:val="auto"/>
                <w:szCs w:val="24"/>
              </w:rPr>
            </w:pPr>
            <w:r>
              <w:rPr>
                <w:color w:val="auto"/>
                <w:szCs w:val="24"/>
              </w:rPr>
              <w:t>项目施工期生活污水经化粪池处理后接管至</w:t>
            </w:r>
            <w:r>
              <w:rPr>
                <w:rFonts w:hint="eastAsia"/>
                <w:color w:val="auto"/>
                <w:szCs w:val="24"/>
              </w:rPr>
              <w:t>涟水经济开发区西区污水处理厂</w:t>
            </w:r>
            <w:r>
              <w:rPr>
                <w:color w:val="auto"/>
                <w:szCs w:val="24"/>
              </w:rPr>
              <w:t>集中处理。综上，施工现场通过合理收集处理生活污水、加强施工废水管理等措施，施工期废水对环境影响很小。</w:t>
            </w:r>
          </w:p>
          <w:p w14:paraId="5685810B">
            <w:pPr>
              <w:pStyle w:val="4045"/>
              <w:ind w:firstLine="482"/>
              <w:rPr>
                <w:b/>
                <w:bCs/>
                <w:color w:val="auto"/>
                <w:szCs w:val="24"/>
              </w:rPr>
            </w:pPr>
            <w:r>
              <w:rPr>
                <w:rFonts w:hint="eastAsia"/>
                <w:b/>
                <w:bCs/>
                <w:color w:val="auto"/>
                <w:szCs w:val="24"/>
              </w:rPr>
              <w:t>3、</w:t>
            </w:r>
            <w:r>
              <w:rPr>
                <w:b/>
                <w:bCs/>
                <w:color w:val="auto"/>
                <w:szCs w:val="24"/>
              </w:rPr>
              <w:t>施工期声环境保护措施</w:t>
            </w:r>
          </w:p>
          <w:p w14:paraId="50DC97BC">
            <w:pPr>
              <w:pStyle w:val="4045"/>
              <w:rPr>
                <w:color w:val="auto"/>
                <w:szCs w:val="24"/>
              </w:rPr>
            </w:pPr>
            <w:r>
              <w:rPr>
                <w:color w:val="auto"/>
                <w:szCs w:val="24"/>
              </w:rPr>
              <w:t>施工期间，运输车辆和各种施工机械如挖掘机、推土机都是主要的噪声源。在施工过程中，这些施工机械又往往是同时作业，噪声源辐射量的相互叠加，声级值将更高，辐射范围也更大。</w:t>
            </w:r>
          </w:p>
          <w:p w14:paraId="41608F04">
            <w:pPr>
              <w:pStyle w:val="4045"/>
              <w:rPr>
                <w:color w:val="auto"/>
                <w:szCs w:val="24"/>
              </w:rPr>
            </w:pPr>
            <w:r>
              <w:rPr>
                <w:color w:val="auto"/>
                <w:szCs w:val="24"/>
              </w:rPr>
              <w:t>工程施工机械噪声主要属中低频噪声。因此只考虑扩散衰减，预测模式如下：</w:t>
            </w:r>
          </w:p>
          <w:p w14:paraId="6CD0BCB7">
            <w:pPr>
              <w:pStyle w:val="4045"/>
              <w:rPr>
                <w:color w:val="auto"/>
                <w:szCs w:val="24"/>
              </w:rPr>
            </w:pPr>
            <w:r>
              <w:rPr>
                <w:color w:val="auto"/>
                <w:szCs w:val="24"/>
              </w:rPr>
              <w:t>L</w:t>
            </w:r>
            <w:r>
              <w:rPr>
                <w:color w:val="auto"/>
                <w:szCs w:val="24"/>
                <w:vertAlign w:val="subscript"/>
              </w:rPr>
              <w:t>2</w:t>
            </w:r>
            <w:r>
              <w:rPr>
                <w:rFonts w:hint="eastAsia"/>
                <w:color w:val="auto"/>
                <w:szCs w:val="24"/>
                <w:vertAlign w:val="subscript"/>
                <w:lang w:eastAsia="zh-CN"/>
              </w:rPr>
              <w:t>=</w:t>
            </w:r>
            <w:r>
              <w:rPr>
                <w:color w:val="auto"/>
                <w:szCs w:val="24"/>
              </w:rPr>
              <w:t>L</w:t>
            </w:r>
            <w:r>
              <w:rPr>
                <w:color w:val="auto"/>
                <w:szCs w:val="24"/>
                <w:vertAlign w:val="subscript"/>
              </w:rPr>
              <w:t>1</w:t>
            </w:r>
            <w:r>
              <w:rPr>
                <w:color w:val="auto"/>
                <w:szCs w:val="24"/>
              </w:rPr>
              <w:t>-20lg</w:t>
            </w:r>
            <w:r>
              <w:rPr>
                <w:rFonts w:hint="eastAsia"/>
                <w:color w:val="auto"/>
                <w:szCs w:val="24"/>
                <w:lang w:eastAsia="zh-CN"/>
              </w:rPr>
              <w:t>(</w:t>
            </w:r>
            <w:r>
              <w:rPr>
                <w:color w:val="auto"/>
                <w:szCs w:val="24"/>
              </w:rPr>
              <w:t>r</w:t>
            </w:r>
            <w:r>
              <w:rPr>
                <w:color w:val="auto"/>
                <w:szCs w:val="24"/>
                <w:vertAlign w:val="subscript"/>
              </w:rPr>
              <w:t>2</w:t>
            </w:r>
            <w:r>
              <w:rPr>
                <w:color w:val="auto"/>
                <w:szCs w:val="24"/>
              </w:rPr>
              <w:t>/r</w:t>
            </w:r>
            <w:r>
              <w:rPr>
                <w:color w:val="auto"/>
                <w:szCs w:val="24"/>
                <w:vertAlign w:val="subscript"/>
              </w:rPr>
              <w:t>1</w:t>
            </w:r>
            <w:r>
              <w:rPr>
                <w:rFonts w:hint="eastAsia"/>
                <w:color w:val="auto"/>
                <w:szCs w:val="24"/>
                <w:vertAlign w:val="baseline"/>
                <w:lang w:eastAsia="zh-CN"/>
              </w:rPr>
              <w:t>)(</w:t>
            </w:r>
            <w:r>
              <w:rPr>
                <w:color w:val="auto"/>
                <w:szCs w:val="24"/>
              </w:rPr>
              <w:t>r</w:t>
            </w:r>
            <w:r>
              <w:rPr>
                <w:color w:val="auto"/>
                <w:szCs w:val="24"/>
                <w:vertAlign w:val="subscript"/>
              </w:rPr>
              <w:t>2</w:t>
            </w:r>
            <w:r>
              <w:rPr>
                <w:color w:val="auto"/>
                <w:szCs w:val="24"/>
              </w:rPr>
              <w:t>＞r</w:t>
            </w:r>
            <w:r>
              <w:rPr>
                <w:color w:val="auto"/>
                <w:szCs w:val="24"/>
                <w:vertAlign w:val="subscript"/>
              </w:rPr>
              <w:t>1</w:t>
            </w:r>
            <w:r>
              <w:rPr>
                <w:rFonts w:hint="eastAsia"/>
                <w:color w:val="auto"/>
                <w:szCs w:val="24"/>
                <w:vertAlign w:val="subscript"/>
                <w:lang w:eastAsia="zh-CN"/>
              </w:rPr>
              <w:t>)</w:t>
            </w:r>
          </w:p>
          <w:p w14:paraId="22982040">
            <w:pPr>
              <w:pStyle w:val="4045"/>
              <w:rPr>
                <w:color w:val="auto"/>
                <w:szCs w:val="24"/>
              </w:rPr>
            </w:pPr>
            <w:r>
              <w:rPr>
                <w:color w:val="auto"/>
                <w:szCs w:val="24"/>
              </w:rPr>
              <w:t>式中：L</w:t>
            </w:r>
            <w:r>
              <w:rPr>
                <w:color w:val="auto"/>
                <w:szCs w:val="24"/>
                <w:vertAlign w:val="subscript"/>
              </w:rPr>
              <w:t>1</w:t>
            </w:r>
            <w:r>
              <w:rPr>
                <w:color w:val="auto"/>
                <w:szCs w:val="24"/>
              </w:rPr>
              <w:t>、L</w:t>
            </w:r>
            <w:r>
              <w:rPr>
                <w:color w:val="auto"/>
                <w:szCs w:val="24"/>
                <w:vertAlign w:val="subscript"/>
              </w:rPr>
              <w:t>2</w:t>
            </w:r>
            <w:r>
              <w:rPr>
                <w:color w:val="auto"/>
                <w:szCs w:val="24"/>
              </w:rPr>
              <w:t>——距声源r</w:t>
            </w:r>
            <w:r>
              <w:rPr>
                <w:color w:val="auto"/>
                <w:szCs w:val="24"/>
                <w:vertAlign w:val="subscript"/>
              </w:rPr>
              <w:t>1</w:t>
            </w:r>
            <w:r>
              <w:rPr>
                <w:color w:val="auto"/>
                <w:szCs w:val="24"/>
              </w:rPr>
              <w:t>、r</w:t>
            </w:r>
            <w:r>
              <w:rPr>
                <w:color w:val="auto"/>
                <w:szCs w:val="24"/>
                <w:vertAlign w:val="subscript"/>
              </w:rPr>
              <w:t>2</w:t>
            </w:r>
            <w:r>
              <w:rPr>
                <w:color w:val="auto"/>
                <w:szCs w:val="24"/>
              </w:rPr>
              <w:t>处的噪声值，dB</w:t>
            </w:r>
            <w:r>
              <w:rPr>
                <w:rFonts w:hint="eastAsia"/>
                <w:color w:val="auto"/>
                <w:szCs w:val="24"/>
              </w:rPr>
              <w:t>（</w:t>
            </w:r>
            <w:r>
              <w:rPr>
                <w:color w:val="auto"/>
                <w:szCs w:val="24"/>
              </w:rPr>
              <w:t>A</w:t>
            </w:r>
            <w:r>
              <w:rPr>
                <w:rFonts w:hint="eastAsia"/>
                <w:color w:val="auto"/>
                <w:szCs w:val="24"/>
              </w:rPr>
              <w:t>）</w:t>
            </w:r>
            <w:r>
              <w:rPr>
                <w:color w:val="auto"/>
                <w:szCs w:val="24"/>
              </w:rPr>
              <w:t>；</w:t>
            </w:r>
          </w:p>
          <w:p w14:paraId="7B33E689">
            <w:pPr>
              <w:pStyle w:val="4045"/>
              <w:rPr>
                <w:color w:val="auto"/>
                <w:szCs w:val="24"/>
              </w:rPr>
            </w:pPr>
            <w:r>
              <w:rPr>
                <w:color w:val="auto"/>
                <w:szCs w:val="24"/>
              </w:rPr>
              <w:t>r</w:t>
            </w:r>
            <w:r>
              <w:rPr>
                <w:color w:val="auto"/>
                <w:szCs w:val="24"/>
                <w:vertAlign w:val="subscript"/>
              </w:rPr>
              <w:t>1</w:t>
            </w:r>
            <w:r>
              <w:rPr>
                <w:color w:val="auto"/>
                <w:szCs w:val="24"/>
              </w:rPr>
              <w:t>、r</w:t>
            </w:r>
            <w:r>
              <w:rPr>
                <w:color w:val="auto"/>
                <w:szCs w:val="24"/>
                <w:vertAlign w:val="subscript"/>
              </w:rPr>
              <w:t>2</w:t>
            </w:r>
            <w:r>
              <w:rPr>
                <w:color w:val="auto"/>
                <w:szCs w:val="24"/>
              </w:rPr>
              <w:t>——预测点距声源的距离。</w:t>
            </w:r>
          </w:p>
          <w:p w14:paraId="11A2677A">
            <w:pPr>
              <w:pStyle w:val="4045"/>
              <w:rPr>
                <w:color w:val="auto"/>
                <w:szCs w:val="24"/>
              </w:rPr>
            </w:pPr>
            <w:r>
              <w:rPr>
                <w:color w:val="auto"/>
                <w:szCs w:val="24"/>
              </w:rPr>
              <w:t>按噪声最高的打桩机（距声源5m处声级为110分贝）计算，现场施工随距离衰减后的值见下表。</w:t>
            </w:r>
          </w:p>
          <w:p w14:paraId="68ADCBC8">
            <w:pPr>
              <w:pStyle w:val="219"/>
              <w:snapToGrid w:val="0"/>
              <w:spacing w:line="440" w:lineRule="exact"/>
              <w:ind w:firstLine="482"/>
              <w:rPr>
                <w:rFonts w:eastAsia="宋体"/>
                <w:b/>
                <w:color w:val="auto"/>
                <w:kern w:val="2"/>
                <w:sz w:val="24"/>
                <w:lang w:val="en-US"/>
              </w:rPr>
            </w:pPr>
            <w:r>
              <w:rPr>
                <w:rFonts w:eastAsia="宋体"/>
                <w:b/>
                <w:color w:val="auto"/>
                <w:kern w:val="2"/>
                <w:sz w:val="24"/>
                <w:lang w:val="en-US"/>
              </w:rPr>
              <w:t>表4-</w:t>
            </w:r>
            <w:r>
              <w:rPr>
                <w:rFonts w:eastAsia="宋体"/>
                <w:b/>
                <w:color w:val="auto"/>
                <w:kern w:val="2"/>
                <w:sz w:val="24"/>
                <w:lang w:val="en-US"/>
              </w:rPr>
              <w:fldChar w:fldCharType="begin"/>
            </w:r>
            <w:r>
              <w:rPr>
                <w:rFonts w:eastAsia="宋体"/>
                <w:b/>
                <w:color w:val="auto"/>
                <w:kern w:val="2"/>
                <w:sz w:val="24"/>
                <w:lang w:val="en-US"/>
              </w:rPr>
              <w:instrText xml:space="preserve"> SEQ 表4- \* ARABIC </w:instrText>
            </w:r>
            <w:r>
              <w:rPr>
                <w:rFonts w:eastAsia="宋体"/>
                <w:b/>
                <w:color w:val="auto"/>
                <w:kern w:val="2"/>
                <w:sz w:val="24"/>
                <w:lang w:val="en-US"/>
              </w:rPr>
              <w:fldChar w:fldCharType="separate"/>
            </w:r>
            <w:r>
              <w:rPr>
                <w:rFonts w:eastAsia="宋体"/>
                <w:b/>
                <w:color w:val="auto"/>
                <w:kern w:val="2"/>
                <w:sz w:val="24"/>
                <w:lang w:val="en-US"/>
              </w:rPr>
              <w:t>2</w:t>
            </w:r>
            <w:r>
              <w:rPr>
                <w:rFonts w:eastAsia="宋体"/>
                <w:b/>
                <w:color w:val="auto"/>
                <w:kern w:val="2"/>
                <w:sz w:val="24"/>
                <w:lang w:val="en-US"/>
              </w:rPr>
              <w:fldChar w:fldCharType="end"/>
            </w:r>
            <w:r>
              <w:rPr>
                <w:rFonts w:hint="eastAsia" w:eastAsia="宋体"/>
                <w:b/>
                <w:color w:val="auto"/>
                <w:kern w:val="2"/>
                <w:sz w:val="24"/>
                <w:lang w:val="en-US"/>
              </w:rPr>
              <w:t xml:space="preserve"> </w:t>
            </w:r>
            <w:r>
              <w:rPr>
                <w:rFonts w:eastAsia="宋体"/>
                <w:b/>
                <w:color w:val="auto"/>
                <w:kern w:val="2"/>
                <w:sz w:val="24"/>
                <w:lang w:val="en-US"/>
              </w:rPr>
              <w:t>现场施工噪声随距离衰减后的值</w:t>
            </w:r>
          </w:p>
          <w:tbl>
            <w:tblPr>
              <w:tblStyle w:val="8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779"/>
              <w:gridCol w:w="888"/>
              <w:gridCol w:w="775"/>
              <w:gridCol w:w="775"/>
              <w:gridCol w:w="775"/>
              <w:gridCol w:w="888"/>
              <w:gridCol w:w="744"/>
              <w:gridCol w:w="781"/>
              <w:gridCol w:w="780"/>
            </w:tblGrid>
            <w:tr w14:paraId="13E15E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pct"/>
                  <w:vAlign w:val="center"/>
                </w:tcPr>
                <w:p w14:paraId="3668B634">
                  <w:pPr>
                    <w:pStyle w:val="4046"/>
                    <w:keepNext w:val="0"/>
                    <w:keepLines w:val="0"/>
                    <w:pageBreakBefore w:val="0"/>
                    <w:widowControl w:val="0"/>
                    <w:kinsoku/>
                    <w:wordWrap/>
                    <w:overflowPunct/>
                    <w:topLinePunct w:val="0"/>
                    <w:autoSpaceDE/>
                    <w:autoSpaceDN/>
                    <w:bidi w:val="0"/>
                    <w:adjustRightInd w:val="0"/>
                    <w:snapToGrid w:val="0"/>
                    <w:ind w:firstLine="0"/>
                    <w:textAlignment w:val="auto"/>
                    <w:rPr>
                      <w:bCs/>
                      <w:color w:val="auto"/>
                      <w:szCs w:val="21"/>
                    </w:rPr>
                  </w:pPr>
                  <w:r>
                    <w:rPr>
                      <w:bCs/>
                      <w:color w:val="auto"/>
                      <w:szCs w:val="21"/>
                    </w:rPr>
                    <w:t>距离/m</w:t>
                  </w:r>
                </w:p>
              </w:tc>
              <w:tc>
                <w:tcPr>
                  <w:tcW w:w="456" w:type="pct"/>
                  <w:vAlign w:val="center"/>
                </w:tcPr>
                <w:p w14:paraId="6BF5D616">
                  <w:pPr>
                    <w:pStyle w:val="4046"/>
                    <w:keepNext w:val="0"/>
                    <w:keepLines w:val="0"/>
                    <w:pageBreakBefore w:val="0"/>
                    <w:widowControl w:val="0"/>
                    <w:kinsoku/>
                    <w:wordWrap/>
                    <w:overflowPunct/>
                    <w:topLinePunct w:val="0"/>
                    <w:autoSpaceDE/>
                    <w:autoSpaceDN/>
                    <w:bidi w:val="0"/>
                    <w:adjustRightInd w:val="0"/>
                    <w:snapToGrid w:val="0"/>
                    <w:ind w:firstLine="0"/>
                    <w:textAlignment w:val="auto"/>
                    <w:rPr>
                      <w:bCs/>
                      <w:color w:val="auto"/>
                      <w:szCs w:val="21"/>
                    </w:rPr>
                  </w:pPr>
                  <w:r>
                    <w:rPr>
                      <w:bCs/>
                      <w:color w:val="auto"/>
                      <w:szCs w:val="21"/>
                    </w:rPr>
                    <w:t>10</w:t>
                  </w:r>
                </w:p>
              </w:tc>
              <w:tc>
                <w:tcPr>
                  <w:tcW w:w="520" w:type="pct"/>
                  <w:vAlign w:val="center"/>
                </w:tcPr>
                <w:p w14:paraId="29612CAF">
                  <w:pPr>
                    <w:pStyle w:val="4046"/>
                    <w:keepNext w:val="0"/>
                    <w:keepLines w:val="0"/>
                    <w:pageBreakBefore w:val="0"/>
                    <w:widowControl w:val="0"/>
                    <w:kinsoku/>
                    <w:wordWrap/>
                    <w:overflowPunct/>
                    <w:topLinePunct w:val="0"/>
                    <w:autoSpaceDE/>
                    <w:autoSpaceDN/>
                    <w:bidi w:val="0"/>
                    <w:adjustRightInd w:val="0"/>
                    <w:snapToGrid w:val="0"/>
                    <w:ind w:firstLine="0"/>
                    <w:textAlignment w:val="auto"/>
                    <w:rPr>
                      <w:bCs/>
                      <w:color w:val="auto"/>
                      <w:szCs w:val="21"/>
                    </w:rPr>
                  </w:pPr>
                  <w:r>
                    <w:rPr>
                      <w:bCs/>
                      <w:color w:val="auto"/>
                      <w:szCs w:val="21"/>
                    </w:rPr>
                    <w:t>20</w:t>
                  </w:r>
                </w:p>
              </w:tc>
              <w:tc>
                <w:tcPr>
                  <w:tcW w:w="454" w:type="pct"/>
                  <w:vAlign w:val="center"/>
                </w:tcPr>
                <w:p w14:paraId="4E7B83F2">
                  <w:pPr>
                    <w:pStyle w:val="4046"/>
                    <w:keepNext w:val="0"/>
                    <w:keepLines w:val="0"/>
                    <w:pageBreakBefore w:val="0"/>
                    <w:widowControl w:val="0"/>
                    <w:kinsoku/>
                    <w:wordWrap/>
                    <w:overflowPunct/>
                    <w:topLinePunct w:val="0"/>
                    <w:autoSpaceDE/>
                    <w:autoSpaceDN/>
                    <w:bidi w:val="0"/>
                    <w:adjustRightInd w:val="0"/>
                    <w:snapToGrid w:val="0"/>
                    <w:ind w:firstLine="0"/>
                    <w:textAlignment w:val="auto"/>
                    <w:rPr>
                      <w:bCs/>
                      <w:color w:val="auto"/>
                      <w:szCs w:val="21"/>
                    </w:rPr>
                  </w:pPr>
                  <w:r>
                    <w:rPr>
                      <w:bCs/>
                      <w:color w:val="auto"/>
                      <w:szCs w:val="21"/>
                    </w:rPr>
                    <w:t>50</w:t>
                  </w:r>
                </w:p>
              </w:tc>
              <w:tc>
                <w:tcPr>
                  <w:tcW w:w="454" w:type="pct"/>
                  <w:vAlign w:val="center"/>
                </w:tcPr>
                <w:p w14:paraId="25B12124">
                  <w:pPr>
                    <w:pStyle w:val="4046"/>
                    <w:keepNext w:val="0"/>
                    <w:keepLines w:val="0"/>
                    <w:pageBreakBefore w:val="0"/>
                    <w:widowControl w:val="0"/>
                    <w:kinsoku/>
                    <w:wordWrap/>
                    <w:overflowPunct/>
                    <w:topLinePunct w:val="0"/>
                    <w:autoSpaceDE/>
                    <w:autoSpaceDN/>
                    <w:bidi w:val="0"/>
                    <w:adjustRightInd w:val="0"/>
                    <w:snapToGrid w:val="0"/>
                    <w:ind w:firstLine="0"/>
                    <w:textAlignment w:val="auto"/>
                    <w:rPr>
                      <w:bCs/>
                      <w:color w:val="auto"/>
                      <w:szCs w:val="21"/>
                    </w:rPr>
                  </w:pPr>
                  <w:r>
                    <w:rPr>
                      <w:bCs/>
                      <w:color w:val="auto"/>
                      <w:szCs w:val="21"/>
                    </w:rPr>
                    <w:t>100</w:t>
                  </w:r>
                </w:p>
              </w:tc>
              <w:tc>
                <w:tcPr>
                  <w:tcW w:w="454" w:type="pct"/>
                  <w:vAlign w:val="center"/>
                </w:tcPr>
                <w:p w14:paraId="710E421F">
                  <w:pPr>
                    <w:pStyle w:val="4046"/>
                    <w:keepNext w:val="0"/>
                    <w:keepLines w:val="0"/>
                    <w:pageBreakBefore w:val="0"/>
                    <w:widowControl w:val="0"/>
                    <w:kinsoku/>
                    <w:wordWrap/>
                    <w:overflowPunct/>
                    <w:topLinePunct w:val="0"/>
                    <w:autoSpaceDE/>
                    <w:autoSpaceDN/>
                    <w:bidi w:val="0"/>
                    <w:adjustRightInd w:val="0"/>
                    <w:snapToGrid w:val="0"/>
                    <w:ind w:firstLine="0"/>
                    <w:textAlignment w:val="auto"/>
                    <w:rPr>
                      <w:bCs/>
                      <w:color w:val="auto"/>
                      <w:szCs w:val="21"/>
                    </w:rPr>
                  </w:pPr>
                  <w:r>
                    <w:rPr>
                      <w:bCs/>
                      <w:color w:val="auto"/>
                      <w:szCs w:val="21"/>
                    </w:rPr>
                    <w:t>150</w:t>
                  </w:r>
                </w:p>
              </w:tc>
              <w:tc>
                <w:tcPr>
                  <w:tcW w:w="520" w:type="pct"/>
                  <w:vAlign w:val="center"/>
                </w:tcPr>
                <w:p w14:paraId="75C81A5C">
                  <w:pPr>
                    <w:pStyle w:val="4046"/>
                    <w:keepNext w:val="0"/>
                    <w:keepLines w:val="0"/>
                    <w:pageBreakBefore w:val="0"/>
                    <w:widowControl w:val="0"/>
                    <w:kinsoku/>
                    <w:wordWrap/>
                    <w:overflowPunct/>
                    <w:topLinePunct w:val="0"/>
                    <w:autoSpaceDE/>
                    <w:autoSpaceDN/>
                    <w:bidi w:val="0"/>
                    <w:adjustRightInd w:val="0"/>
                    <w:snapToGrid w:val="0"/>
                    <w:ind w:firstLine="0"/>
                    <w:textAlignment w:val="auto"/>
                    <w:rPr>
                      <w:bCs/>
                      <w:color w:val="auto"/>
                      <w:szCs w:val="21"/>
                    </w:rPr>
                  </w:pPr>
                  <w:r>
                    <w:rPr>
                      <w:bCs/>
                      <w:color w:val="auto"/>
                      <w:szCs w:val="21"/>
                    </w:rPr>
                    <w:t>200</w:t>
                  </w:r>
                </w:p>
              </w:tc>
              <w:tc>
                <w:tcPr>
                  <w:tcW w:w="435" w:type="pct"/>
                  <w:vAlign w:val="center"/>
                </w:tcPr>
                <w:p w14:paraId="3556B247">
                  <w:pPr>
                    <w:pStyle w:val="4046"/>
                    <w:keepNext w:val="0"/>
                    <w:keepLines w:val="0"/>
                    <w:pageBreakBefore w:val="0"/>
                    <w:widowControl w:val="0"/>
                    <w:kinsoku/>
                    <w:wordWrap/>
                    <w:overflowPunct/>
                    <w:topLinePunct w:val="0"/>
                    <w:autoSpaceDE/>
                    <w:autoSpaceDN/>
                    <w:bidi w:val="0"/>
                    <w:adjustRightInd w:val="0"/>
                    <w:snapToGrid w:val="0"/>
                    <w:ind w:firstLine="0"/>
                    <w:textAlignment w:val="auto"/>
                    <w:rPr>
                      <w:bCs/>
                      <w:color w:val="auto"/>
                      <w:szCs w:val="21"/>
                    </w:rPr>
                  </w:pPr>
                  <w:r>
                    <w:rPr>
                      <w:bCs/>
                      <w:color w:val="auto"/>
                      <w:szCs w:val="21"/>
                    </w:rPr>
                    <w:t>250</w:t>
                  </w:r>
                </w:p>
              </w:tc>
              <w:tc>
                <w:tcPr>
                  <w:tcW w:w="457" w:type="pct"/>
                  <w:vAlign w:val="center"/>
                </w:tcPr>
                <w:p w14:paraId="32C94D91">
                  <w:pPr>
                    <w:pStyle w:val="4046"/>
                    <w:keepNext w:val="0"/>
                    <w:keepLines w:val="0"/>
                    <w:pageBreakBefore w:val="0"/>
                    <w:widowControl w:val="0"/>
                    <w:kinsoku/>
                    <w:wordWrap/>
                    <w:overflowPunct/>
                    <w:topLinePunct w:val="0"/>
                    <w:autoSpaceDE/>
                    <w:autoSpaceDN/>
                    <w:bidi w:val="0"/>
                    <w:adjustRightInd w:val="0"/>
                    <w:snapToGrid w:val="0"/>
                    <w:ind w:firstLine="0"/>
                    <w:textAlignment w:val="auto"/>
                    <w:rPr>
                      <w:bCs/>
                      <w:color w:val="auto"/>
                      <w:szCs w:val="21"/>
                    </w:rPr>
                  </w:pPr>
                  <w:r>
                    <w:rPr>
                      <w:bCs/>
                      <w:color w:val="auto"/>
                      <w:szCs w:val="21"/>
                    </w:rPr>
                    <w:t>300</w:t>
                  </w:r>
                </w:p>
              </w:tc>
              <w:tc>
                <w:tcPr>
                  <w:tcW w:w="456" w:type="pct"/>
                  <w:vAlign w:val="center"/>
                </w:tcPr>
                <w:p w14:paraId="28019CDE">
                  <w:pPr>
                    <w:pStyle w:val="4046"/>
                    <w:keepNext w:val="0"/>
                    <w:keepLines w:val="0"/>
                    <w:pageBreakBefore w:val="0"/>
                    <w:widowControl w:val="0"/>
                    <w:kinsoku/>
                    <w:wordWrap/>
                    <w:overflowPunct/>
                    <w:topLinePunct w:val="0"/>
                    <w:autoSpaceDE/>
                    <w:autoSpaceDN/>
                    <w:bidi w:val="0"/>
                    <w:adjustRightInd w:val="0"/>
                    <w:snapToGrid w:val="0"/>
                    <w:ind w:firstLine="0"/>
                    <w:textAlignment w:val="auto"/>
                    <w:rPr>
                      <w:bCs/>
                      <w:color w:val="auto"/>
                      <w:szCs w:val="21"/>
                    </w:rPr>
                  </w:pPr>
                  <w:r>
                    <w:rPr>
                      <w:bCs/>
                      <w:color w:val="auto"/>
                      <w:szCs w:val="21"/>
                    </w:rPr>
                    <w:t>570</w:t>
                  </w:r>
                </w:p>
              </w:tc>
            </w:tr>
            <w:tr w14:paraId="51811D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pct"/>
                  <w:vAlign w:val="center"/>
                </w:tcPr>
                <w:p w14:paraId="34A390C4">
                  <w:pPr>
                    <w:pStyle w:val="4047"/>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eastAsia="宋体"/>
                      <w:color w:val="auto"/>
                      <w:sz w:val="21"/>
                      <w:szCs w:val="21"/>
                    </w:rPr>
                  </w:pPr>
                  <w:r>
                    <w:rPr>
                      <w:rFonts w:eastAsia="宋体"/>
                      <w:color w:val="auto"/>
                      <w:sz w:val="21"/>
                      <w:szCs w:val="21"/>
                    </w:rPr>
                    <w:t>L/dB</w:t>
                  </w:r>
                  <w:r>
                    <w:rPr>
                      <w:rFonts w:hint="eastAsia" w:eastAsia="宋体"/>
                      <w:color w:val="auto"/>
                      <w:sz w:val="21"/>
                      <w:szCs w:val="21"/>
                      <w:lang w:eastAsia="zh-CN"/>
                    </w:rPr>
                    <w:t>(</w:t>
                  </w:r>
                  <w:r>
                    <w:rPr>
                      <w:rFonts w:eastAsia="宋体"/>
                      <w:color w:val="auto"/>
                      <w:sz w:val="21"/>
                      <w:szCs w:val="21"/>
                    </w:rPr>
                    <w:t>A</w:t>
                  </w:r>
                  <w:r>
                    <w:rPr>
                      <w:rFonts w:hint="eastAsia" w:eastAsia="宋体"/>
                      <w:color w:val="auto"/>
                      <w:sz w:val="21"/>
                      <w:szCs w:val="21"/>
                      <w:lang w:eastAsia="zh-CN"/>
                    </w:rPr>
                    <w:t>)</w:t>
                  </w:r>
                </w:p>
              </w:tc>
              <w:tc>
                <w:tcPr>
                  <w:tcW w:w="456" w:type="pct"/>
                  <w:vAlign w:val="center"/>
                </w:tcPr>
                <w:p w14:paraId="571A8726">
                  <w:pPr>
                    <w:pStyle w:val="4047"/>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eastAsia="宋体"/>
                      <w:color w:val="auto"/>
                      <w:sz w:val="21"/>
                      <w:szCs w:val="21"/>
                    </w:rPr>
                  </w:pPr>
                  <w:r>
                    <w:rPr>
                      <w:rFonts w:eastAsia="宋体"/>
                      <w:color w:val="auto"/>
                      <w:sz w:val="21"/>
                      <w:szCs w:val="21"/>
                    </w:rPr>
                    <w:t>96.0</w:t>
                  </w:r>
                </w:p>
              </w:tc>
              <w:tc>
                <w:tcPr>
                  <w:tcW w:w="520" w:type="pct"/>
                  <w:vAlign w:val="center"/>
                </w:tcPr>
                <w:p w14:paraId="345B1217">
                  <w:pPr>
                    <w:pStyle w:val="4047"/>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eastAsia="宋体"/>
                      <w:color w:val="auto"/>
                      <w:sz w:val="21"/>
                      <w:szCs w:val="21"/>
                    </w:rPr>
                  </w:pPr>
                  <w:r>
                    <w:rPr>
                      <w:rFonts w:eastAsia="宋体"/>
                      <w:color w:val="auto"/>
                      <w:sz w:val="21"/>
                      <w:szCs w:val="21"/>
                    </w:rPr>
                    <w:t>86.5</w:t>
                  </w:r>
                </w:p>
              </w:tc>
              <w:tc>
                <w:tcPr>
                  <w:tcW w:w="454" w:type="pct"/>
                  <w:vAlign w:val="center"/>
                </w:tcPr>
                <w:p w14:paraId="07663D0D">
                  <w:pPr>
                    <w:pStyle w:val="4047"/>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eastAsia="宋体"/>
                      <w:color w:val="auto"/>
                      <w:sz w:val="21"/>
                      <w:szCs w:val="21"/>
                    </w:rPr>
                  </w:pPr>
                  <w:r>
                    <w:rPr>
                      <w:rFonts w:eastAsia="宋体"/>
                      <w:color w:val="auto"/>
                      <w:sz w:val="21"/>
                      <w:szCs w:val="21"/>
                    </w:rPr>
                    <w:t>76.9</w:t>
                  </w:r>
                </w:p>
              </w:tc>
              <w:tc>
                <w:tcPr>
                  <w:tcW w:w="454" w:type="pct"/>
                  <w:vAlign w:val="center"/>
                </w:tcPr>
                <w:p w14:paraId="3F03771A">
                  <w:pPr>
                    <w:pStyle w:val="4047"/>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eastAsia="宋体"/>
                      <w:color w:val="auto"/>
                      <w:sz w:val="21"/>
                      <w:szCs w:val="21"/>
                    </w:rPr>
                  </w:pPr>
                  <w:r>
                    <w:rPr>
                      <w:rFonts w:eastAsia="宋体"/>
                      <w:color w:val="auto"/>
                      <w:sz w:val="21"/>
                      <w:szCs w:val="21"/>
                    </w:rPr>
                    <w:t>70.4</w:t>
                  </w:r>
                </w:p>
              </w:tc>
              <w:tc>
                <w:tcPr>
                  <w:tcW w:w="454" w:type="pct"/>
                  <w:vAlign w:val="center"/>
                </w:tcPr>
                <w:p w14:paraId="26261AC1">
                  <w:pPr>
                    <w:pStyle w:val="4047"/>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eastAsia="宋体"/>
                      <w:color w:val="auto"/>
                      <w:sz w:val="21"/>
                      <w:szCs w:val="21"/>
                    </w:rPr>
                  </w:pPr>
                  <w:r>
                    <w:rPr>
                      <w:rFonts w:eastAsia="宋体"/>
                      <w:color w:val="auto"/>
                      <w:sz w:val="21"/>
                      <w:szCs w:val="21"/>
                    </w:rPr>
                    <w:t>66.8</w:t>
                  </w:r>
                </w:p>
              </w:tc>
              <w:tc>
                <w:tcPr>
                  <w:tcW w:w="520" w:type="pct"/>
                  <w:vAlign w:val="center"/>
                </w:tcPr>
                <w:p w14:paraId="48A34586">
                  <w:pPr>
                    <w:pStyle w:val="4047"/>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eastAsia="宋体"/>
                      <w:color w:val="auto"/>
                      <w:sz w:val="21"/>
                      <w:szCs w:val="21"/>
                    </w:rPr>
                  </w:pPr>
                  <w:r>
                    <w:rPr>
                      <w:rFonts w:eastAsia="宋体"/>
                      <w:color w:val="auto"/>
                      <w:sz w:val="21"/>
                      <w:szCs w:val="21"/>
                    </w:rPr>
                    <w:t>64.2</w:t>
                  </w:r>
                </w:p>
              </w:tc>
              <w:tc>
                <w:tcPr>
                  <w:tcW w:w="435" w:type="pct"/>
                  <w:vAlign w:val="center"/>
                </w:tcPr>
                <w:p w14:paraId="1F89FBF4">
                  <w:pPr>
                    <w:pStyle w:val="4047"/>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eastAsia="宋体"/>
                      <w:color w:val="auto"/>
                      <w:sz w:val="21"/>
                      <w:szCs w:val="21"/>
                    </w:rPr>
                  </w:pPr>
                  <w:r>
                    <w:rPr>
                      <w:rFonts w:eastAsia="宋体"/>
                      <w:color w:val="auto"/>
                      <w:sz w:val="21"/>
                      <w:szCs w:val="21"/>
                    </w:rPr>
                    <w:t>62.2</w:t>
                  </w:r>
                </w:p>
              </w:tc>
              <w:tc>
                <w:tcPr>
                  <w:tcW w:w="457" w:type="pct"/>
                  <w:vAlign w:val="center"/>
                </w:tcPr>
                <w:p w14:paraId="4CFDE84F">
                  <w:pPr>
                    <w:pStyle w:val="4047"/>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eastAsia="宋体"/>
                      <w:color w:val="auto"/>
                      <w:sz w:val="21"/>
                      <w:szCs w:val="21"/>
                    </w:rPr>
                  </w:pPr>
                  <w:r>
                    <w:rPr>
                      <w:rFonts w:eastAsia="宋体"/>
                      <w:color w:val="auto"/>
                      <w:sz w:val="21"/>
                      <w:szCs w:val="21"/>
                    </w:rPr>
                    <w:t>60.6</w:t>
                  </w:r>
                </w:p>
              </w:tc>
              <w:tc>
                <w:tcPr>
                  <w:tcW w:w="456" w:type="pct"/>
                  <w:vAlign w:val="center"/>
                </w:tcPr>
                <w:p w14:paraId="0B3A35CD">
                  <w:pPr>
                    <w:pStyle w:val="4047"/>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eastAsia="宋体"/>
                      <w:color w:val="auto"/>
                      <w:sz w:val="21"/>
                      <w:szCs w:val="21"/>
                    </w:rPr>
                  </w:pPr>
                  <w:r>
                    <w:rPr>
                      <w:rFonts w:eastAsia="宋体"/>
                      <w:color w:val="auto"/>
                      <w:sz w:val="21"/>
                      <w:szCs w:val="21"/>
                    </w:rPr>
                    <w:t>54.9</w:t>
                  </w:r>
                </w:p>
              </w:tc>
            </w:tr>
          </w:tbl>
          <w:p w14:paraId="67A36514">
            <w:pPr>
              <w:pStyle w:val="4045"/>
              <w:adjustRightInd w:val="0"/>
              <w:spacing w:before="120" w:beforeLines="50"/>
              <w:rPr>
                <w:color w:val="auto"/>
                <w:szCs w:val="24"/>
              </w:rPr>
            </w:pPr>
            <w:r>
              <w:rPr>
                <w:color w:val="auto"/>
                <w:szCs w:val="24"/>
              </w:rPr>
              <w:t>施工机械噪声在昼间对距声源150m范围内，夜间对距声源570m范围内敏感点有一定影响。根据现场调查，项目所在地周边50m范围内</w:t>
            </w:r>
            <w:r>
              <w:rPr>
                <w:rFonts w:hint="eastAsia"/>
                <w:color w:val="auto"/>
                <w:szCs w:val="24"/>
                <w:lang w:eastAsia="zh-CN"/>
              </w:rPr>
              <w:t>无</w:t>
            </w:r>
            <w:r>
              <w:rPr>
                <w:color w:val="auto"/>
                <w:szCs w:val="24"/>
              </w:rPr>
              <w:t>居民等敏感点，施工方在施工过程中</w:t>
            </w:r>
            <w:r>
              <w:rPr>
                <w:rFonts w:hint="eastAsia"/>
                <w:color w:val="auto"/>
                <w:szCs w:val="24"/>
                <w:lang w:eastAsia="zh-CN"/>
              </w:rPr>
              <w:t>应</w:t>
            </w:r>
            <w:r>
              <w:rPr>
                <w:color w:val="auto"/>
                <w:szCs w:val="24"/>
              </w:rPr>
              <w:t>合理进行施工平面布置，合理安排工序，尽量对高噪声源采用一定的围护结构对其进行隔声处理，严格控制各种强噪声施工机械的作业时间。同时，为了有效减少施工噪声对周边声环境敏感点的噪声污染影响，施工单位在施工过程中应采取以下噪声治理措施：</w:t>
            </w:r>
          </w:p>
          <w:p w14:paraId="0A9BC122">
            <w:pPr>
              <w:pStyle w:val="4045"/>
              <w:rPr>
                <w:color w:val="auto"/>
                <w:szCs w:val="24"/>
              </w:rPr>
            </w:pPr>
            <w:r>
              <w:rPr>
                <w:rFonts w:hint="eastAsia"/>
                <w:color w:val="auto"/>
                <w:szCs w:val="24"/>
              </w:rPr>
              <w:t>①</w:t>
            </w:r>
            <w:r>
              <w:rPr>
                <w:color w:val="auto"/>
                <w:szCs w:val="24"/>
              </w:rPr>
              <w:t>根据《中华人民共和国环境噪声污染防治法》第二十九条规定：施工单位在工程开工15日以前向工程所在地县级以上地方人民政府生态环境主管部门申报工程项目名称、施工场所和期限、建筑施工机械可能产生的环境噪声值以及所采取环境噪声污染防治措施情况；</w:t>
            </w:r>
          </w:p>
          <w:p w14:paraId="7ADA0137">
            <w:pPr>
              <w:pStyle w:val="4045"/>
              <w:rPr>
                <w:color w:val="auto"/>
                <w:szCs w:val="24"/>
              </w:rPr>
            </w:pPr>
            <w:r>
              <w:rPr>
                <w:rFonts w:hint="eastAsia"/>
                <w:color w:val="auto"/>
                <w:szCs w:val="24"/>
              </w:rPr>
              <w:t>②</w:t>
            </w:r>
            <w:r>
              <w:rPr>
                <w:color w:val="auto"/>
                <w:szCs w:val="24"/>
              </w:rPr>
              <w:t>选用低噪声设备和运输车辆，并对高噪声源采用一定的围护结构对其进行隔声处理，严格控制各种强噪声施工机械的作业时间，夜间禁止打桩；</w:t>
            </w:r>
          </w:p>
          <w:p w14:paraId="33A4CE31">
            <w:pPr>
              <w:pStyle w:val="4045"/>
              <w:rPr>
                <w:color w:val="auto"/>
                <w:szCs w:val="24"/>
              </w:rPr>
            </w:pPr>
            <w:r>
              <w:rPr>
                <w:rFonts w:hint="eastAsia"/>
                <w:color w:val="auto"/>
                <w:szCs w:val="24"/>
              </w:rPr>
              <w:t>③</w:t>
            </w:r>
            <w:r>
              <w:rPr>
                <w:color w:val="auto"/>
                <w:szCs w:val="24"/>
              </w:rPr>
              <w:t>施工方应合理安排施工时间。将倾倒卵石料等强噪声作业尽量安排在白天进行，杜绝夜间施工噪声扰民；如果工艺要求必须连续作业的强噪声施工，应首先征得当地环保、建委、城管等主管部门的同意，办理夜间施工许可证，并及时向周边村民公告，同时合理进行施工平面布局，以免发生噪声扰民纠纷；</w:t>
            </w:r>
          </w:p>
          <w:p w14:paraId="4556AC81">
            <w:pPr>
              <w:pStyle w:val="4045"/>
              <w:rPr>
                <w:color w:val="auto"/>
                <w:szCs w:val="24"/>
              </w:rPr>
            </w:pPr>
            <w:r>
              <w:rPr>
                <w:rFonts w:hint="eastAsia"/>
                <w:color w:val="auto"/>
                <w:szCs w:val="24"/>
              </w:rPr>
              <w:t>④</w:t>
            </w:r>
            <w:r>
              <w:rPr>
                <w:color w:val="auto"/>
                <w:szCs w:val="24"/>
              </w:rPr>
              <w:t>要求施工方加强施工过程中的管理工作，注意对挖掘机和运输车辆的定期维修保养，使其保持最佳工作状态，使噪声影响降低到最小范围；</w:t>
            </w:r>
          </w:p>
          <w:p w14:paraId="06E4B716">
            <w:pPr>
              <w:pStyle w:val="4045"/>
              <w:rPr>
                <w:color w:val="auto"/>
                <w:szCs w:val="24"/>
              </w:rPr>
            </w:pPr>
            <w:r>
              <w:rPr>
                <w:rFonts w:hint="eastAsia"/>
                <w:color w:val="auto"/>
                <w:szCs w:val="24"/>
              </w:rPr>
              <w:t>⑤</w:t>
            </w:r>
            <w:r>
              <w:rPr>
                <w:color w:val="auto"/>
                <w:szCs w:val="24"/>
              </w:rPr>
              <w:t>修建2.5</w:t>
            </w:r>
            <w:r>
              <w:rPr>
                <w:rFonts w:hint="eastAsia"/>
                <w:color w:val="auto"/>
                <w:szCs w:val="24"/>
                <w:lang w:eastAsia="zh-CN"/>
              </w:rPr>
              <w:t>～</w:t>
            </w:r>
            <w:r>
              <w:rPr>
                <w:color w:val="auto"/>
                <w:szCs w:val="24"/>
              </w:rPr>
              <w:t>3m高的建筑围墙；</w:t>
            </w:r>
          </w:p>
          <w:p w14:paraId="4F18065F">
            <w:pPr>
              <w:pStyle w:val="4045"/>
              <w:rPr>
                <w:color w:val="auto"/>
                <w:szCs w:val="24"/>
              </w:rPr>
            </w:pPr>
            <w:r>
              <w:rPr>
                <w:rFonts w:hint="eastAsia"/>
                <w:color w:val="auto"/>
                <w:szCs w:val="24"/>
              </w:rPr>
              <w:t>⑥</w:t>
            </w:r>
            <w:r>
              <w:rPr>
                <w:color w:val="auto"/>
                <w:szCs w:val="24"/>
              </w:rPr>
              <w:t>运输车辆禁止鸣笛，减缓车速，切实做到不扰民；</w:t>
            </w:r>
          </w:p>
          <w:p w14:paraId="25D240BF">
            <w:pPr>
              <w:pStyle w:val="4045"/>
              <w:rPr>
                <w:color w:val="auto"/>
                <w:szCs w:val="24"/>
              </w:rPr>
            </w:pPr>
            <w:r>
              <w:rPr>
                <w:rFonts w:hint="eastAsia"/>
                <w:color w:val="auto"/>
                <w:szCs w:val="24"/>
              </w:rPr>
              <w:t>⑦</w:t>
            </w:r>
            <w:r>
              <w:rPr>
                <w:color w:val="auto"/>
                <w:szCs w:val="24"/>
              </w:rPr>
              <w:t>加强施工作业人员管理和教育，施工中减少不必要的金属敲击声；材料运输等汽车进场安排专人指挥，场内禁止运输车辆鸣笛；施工方还应协调好运输车辆通行时间，应尽量避免</w:t>
            </w:r>
            <w:r>
              <w:rPr>
                <w:rFonts w:hint="eastAsia"/>
                <w:color w:val="auto"/>
                <w:szCs w:val="24"/>
                <w:lang w:eastAsia="zh-CN"/>
              </w:rPr>
              <w:t>途经</w:t>
            </w:r>
            <w:r>
              <w:rPr>
                <w:color w:val="auto"/>
                <w:szCs w:val="24"/>
              </w:rPr>
              <w:t>居民区、学校和医院，应按交通规则行驶，禁止超速超载行驶及鸣笛，确保不对运输线路周围敏感点造成噪声扰民影响。</w:t>
            </w:r>
          </w:p>
          <w:p w14:paraId="54CA72A8">
            <w:pPr>
              <w:pStyle w:val="4045"/>
              <w:rPr>
                <w:color w:val="auto"/>
                <w:szCs w:val="24"/>
              </w:rPr>
            </w:pPr>
            <w:r>
              <w:rPr>
                <w:color w:val="auto"/>
                <w:szCs w:val="24"/>
              </w:rPr>
              <w:t>因此，在施工单位采取了相应降噪措施的情况下，采取有效措施对场址施工噪声进行控制后，施工期噪声是可以接受的。</w:t>
            </w:r>
          </w:p>
          <w:p w14:paraId="6BA145BE">
            <w:pPr>
              <w:pStyle w:val="4045"/>
              <w:ind w:firstLine="482"/>
              <w:rPr>
                <w:color w:val="auto"/>
                <w:szCs w:val="24"/>
              </w:rPr>
            </w:pPr>
            <w:r>
              <w:rPr>
                <w:rFonts w:hint="eastAsia"/>
                <w:b/>
                <w:bCs/>
                <w:color w:val="auto"/>
                <w:szCs w:val="24"/>
              </w:rPr>
              <w:t>4、</w:t>
            </w:r>
            <w:r>
              <w:rPr>
                <w:b/>
                <w:bCs/>
                <w:color w:val="auto"/>
                <w:szCs w:val="24"/>
              </w:rPr>
              <w:t>施工期固体废弃物环境保护措施</w:t>
            </w:r>
          </w:p>
          <w:p w14:paraId="71AED5DE">
            <w:pPr>
              <w:pStyle w:val="4045"/>
              <w:rPr>
                <w:color w:val="auto"/>
                <w:szCs w:val="24"/>
              </w:rPr>
            </w:pPr>
            <w:r>
              <w:rPr>
                <w:color w:val="auto"/>
                <w:szCs w:val="24"/>
              </w:rPr>
              <w:t>施工过程中固废主要源于地表清理、路基施工等产生的弃土、建材损耗等建筑垃圾</w:t>
            </w:r>
            <w:r>
              <w:rPr>
                <w:rFonts w:hint="eastAsia"/>
                <w:color w:val="auto"/>
                <w:szCs w:val="24"/>
              </w:rPr>
              <w:t>、装修产生的</w:t>
            </w:r>
            <w:r>
              <w:rPr>
                <w:color w:val="auto"/>
                <w:szCs w:val="24"/>
              </w:rPr>
              <w:t>废油漆桶和施工人员的生活垃圾。其中建筑垃圾和弃土由有资质单位运送至城建部门指定地点；施工人员生活垃圾由环卫部门统一清理，废油漆桶</w:t>
            </w:r>
            <w:r>
              <w:rPr>
                <w:rFonts w:hint="eastAsia"/>
                <w:color w:val="auto"/>
                <w:szCs w:val="24"/>
              </w:rPr>
              <w:t>委托</w:t>
            </w:r>
            <w:r>
              <w:rPr>
                <w:color w:val="auto"/>
                <w:szCs w:val="24"/>
              </w:rPr>
              <w:t>有资质单位处置，不会对周边环境产生明显的影响。</w:t>
            </w:r>
          </w:p>
          <w:p w14:paraId="0401F4DA">
            <w:pPr>
              <w:pStyle w:val="4045"/>
              <w:rPr>
                <w:color w:val="auto"/>
                <w:szCs w:val="24"/>
              </w:rPr>
            </w:pPr>
            <w:r>
              <w:rPr>
                <w:color w:val="auto"/>
                <w:szCs w:val="24"/>
              </w:rPr>
              <w:t>施工期间建筑垃圾污染防治措施如下：</w:t>
            </w:r>
          </w:p>
          <w:p w14:paraId="1225E43F">
            <w:pPr>
              <w:pStyle w:val="4045"/>
              <w:rPr>
                <w:color w:val="auto"/>
                <w:szCs w:val="24"/>
              </w:rPr>
            </w:pPr>
            <w:r>
              <w:rPr>
                <w:rFonts w:hint="eastAsia"/>
                <w:color w:val="auto"/>
                <w:szCs w:val="24"/>
              </w:rPr>
              <w:t>①</w:t>
            </w:r>
            <w:r>
              <w:rPr>
                <w:color w:val="auto"/>
                <w:szCs w:val="24"/>
              </w:rPr>
              <w:t>必须使用商品混凝土，预拌砂浆。</w:t>
            </w:r>
          </w:p>
          <w:p w14:paraId="6DD6C936">
            <w:pPr>
              <w:pStyle w:val="4045"/>
              <w:rPr>
                <w:color w:val="auto"/>
                <w:szCs w:val="24"/>
              </w:rPr>
            </w:pPr>
            <w:r>
              <w:rPr>
                <w:rFonts w:hint="eastAsia"/>
                <w:color w:val="auto"/>
                <w:szCs w:val="24"/>
              </w:rPr>
              <w:t>②</w:t>
            </w:r>
            <w:r>
              <w:rPr>
                <w:color w:val="auto"/>
                <w:szCs w:val="24"/>
              </w:rPr>
              <w:t>施工现场固体废弃物处置措施严格按照《建设工程施工现场环境保护工作基本标准》执行。</w:t>
            </w:r>
          </w:p>
          <w:p w14:paraId="06334D54">
            <w:pPr>
              <w:pStyle w:val="4045"/>
              <w:ind w:firstLine="482"/>
              <w:rPr>
                <w:b/>
                <w:bCs/>
                <w:color w:val="auto"/>
                <w:szCs w:val="24"/>
              </w:rPr>
            </w:pPr>
            <w:r>
              <w:rPr>
                <w:rFonts w:hint="eastAsia"/>
                <w:b/>
                <w:bCs/>
                <w:color w:val="auto"/>
                <w:szCs w:val="24"/>
              </w:rPr>
              <w:t>5、</w:t>
            </w:r>
            <w:r>
              <w:rPr>
                <w:b/>
                <w:bCs/>
                <w:color w:val="auto"/>
                <w:szCs w:val="24"/>
              </w:rPr>
              <w:t>施工期生态环境保护措施</w:t>
            </w:r>
          </w:p>
          <w:p w14:paraId="0F9A6DF8">
            <w:pPr>
              <w:pStyle w:val="4045"/>
              <w:rPr>
                <w:color w:val="auto"/>
                <w:szCs w:val="24"/>
              </w:rPr>
            </w:pPr>
            <w:r>
              <w:rPr>
                <w:color w:val="auto"/>
                <w:szCs w:val="24"/>
              </w:rPr>
              <w:t>项目区域原为</w:t>
            </w:r>
            <w:r>
              <w:rPr>
                <w:rFonts w:hint="eastAsia"/>
                <w:color w:val="auto"/>
                <w:szCs w:val="24"/>
              </w:rPr>
              <w:t>耕地</w:t>
            </w:r>
            <w:r>
              <w:rPr>
                <w:color w:val="auto"/>
                <w:szCs w:val="24"/>
              </w:rPr>
              <w:t>，施工期间土地平整和开挖，必然扰动现有地貌，大量表土裸露且呈松散状态，抗蚀能力减弱，加剧区域内水土流失趋势。随着项目建成水土流失加剧的现象将随之消失。项目施工期需在场界四周修建挡土墙，采用先修后施工的方式，并在靠近项目西侧设置排水沟，并在排水沟汇合处设置沉淀池，雨水经沉淀后排放，场内的开挖面及时压实等一系列措施，土石方工程尽量避开暴雨季节，并配备挡雨毛毡（或塑料薄膜），在暴雨时对开挖截面进行临时挡护，施工结束后未利用的土地要及时绿化，将水土流失降低到最低程度。建议项目施工期防止水土流失可采用如下控制措施：</w:t>
            </w:r>
          </w:p>
          <w:p w14:paraId="6623EC13">
            <w:pPr>
              <w:pStyle w:val="4045"/>
              <w:rPr>
                <w:color w:val="auto"/>
                <w:szCs w:val="24"/>
              </w:rPr>
            </w:pPr>
            <w:r>
              <w:rPr>
                <w:color w:val="auto"/>
                <w:szCs w:val="24"/>
              </w:rPr>
              <w:t>（1）排水导流系统</w:t>
            </w:r>
          </w:p>
          <w:p w14:paraId="579DE7CC">
            <w:pPr>
              <w:pStyle w:val="4045"/>
              <w:rPr>
                <w:color w:val="auto"/>
                <w:szCs w:val="24"/>
              </w:rPr>
            </w:pPr>
            <w:r>
              <w:rPr>
                <w:color w:val="auto"/>
                <w:szCs w:val="24"/>
              </w:rPr>
              <w:t>及时做好排水导流工作，减轻水流对裸露地表的冲刷，排水沟应分段设置沉淀池，以减轻场地最终出口</w:t>
            </w:r>
            <w:r>
              <w:rPr>
                <w:rFonts w:hint="eastAsia"/>
                <w:color w:val="auto"/>
                <w:szCs w:val="24"/>
              </w:rPr>
              <w:t>沉淀</w:t>
            </w:r>
            <w:r>
              <w:rPr>
                <w:color w:val="auto"/>
                <w:szCs w:val="24"/>
              </w:rPr>
              <w:t>池的负荷，在施工中应实施排水工程，以预防地面径流直接冲刷施工浮土，导致水土流失加剧。</w:t>
            </w:r>
          </w:p>
          <w:p w14:paraId="1C1E9471">
            <w:pPr>
              <w:pStyle w:val="4045"/>
              <w:rPr>
                <w:color w:val="auto"/>
                <w:szCs w:val="24"/>
              </w:rPr>
            </w:pPr>
            <w:r>
              <w:rPr>
                <w:color w:val="auto"/>
                <w:szCs w:val="24"/>
              </w:rPr>
              <w:t>（2）施工时间选择</w:t>
            </w:r>
          </w:p>
          <w:p w14:paraId="567C3A89">
            <w:pPr>
              <w:pStyle w:val="4045"/>
              <w:rPr>
                <w:color w:val="auto"/>
                <w:szCs w:val="24"/>
              </w:rPr>
            </w:pPr>
            <w:r>
              <w:rPr>
                <w:color w:val="auto"/>
                <w:szCs w:val="24"/>
              </w:rPr>
              <w:t>项目应尽量在雨季到来之前完成挖方工程。若</w:t>
            </w:r>
            <w:r>
              <w:rPr>
                <w:rFonts w:hint="eastAsia"/>
                <w:color w:val="auto"/>
                <w:szCs w:val="24"/>
                <w:lang w:eastAsia="zh-CN"/>
              </w:rPr>
              <w:t>遭遇</w:t>
            </w:r>
            <w:r>
              <w:rPr>
                <w:color w:val="auto"/>
                <w:szCs w:val="24"/>
              </w:rPr>
              <w:t>雨季，应对水土流失进行重点防护。</w:t>
            </w:r>
          </w:p>
          <w:p w14:paraId="6DFCD09E">
            <w:pPr>
              <w:pStyle w:val="4045"/>
              <w:rPr>
                <w:color w:val="auto"/>
                <w:szCs w:val="24"/>
              </w:rPr>
            </w:pPr>
            <w:r>
              <w:rPr>
                <w:color w:val="auto"/>
                <w:szCs w:val="24"/>
              </w:rPr>
              <w:t>（3）施工期间临时的水土保持措施</w:t>
            </w:r>
          </w:p>
          <w:p w14:paraId="7FCBF92B">
            <w:pPr>
              <w:pStyle w:val="4045"/>
              <w:rPr>
                <w:color w:val="auto"/>
                <w:szCs w:val="24"/>
              </w:rPr>
            </w:pPr>
            <w:r>
              <w:rPr>
                <w:color w:val="auto"/>
                <w:szCs w:val="24"/>
              </w:rPr>
              <w:t>施工期间，应该尽可能采取临时措施进行水土保持，可采用将堆料和挖出来的土石方堆放在不容易受到地面径流冲刷的地方或将容易冲刷的堆料临时覆盖起来等措施，以将施工所引起的水土流失降低到</w:t>
            </w:r>
            <w:r>
              <w:rPr>
                <w:rFonts w:hint="eastAsia"/>
                <w:color w:val="auto"/>
                <w:szCs w:val="24"/>
                <w:lang w:eastAsia="zh-CN"/>
              </w:rPr>
              <w:t>最低限度</w:t>
            </w:r>
            <w:r>
              <w:rPr>
                <w:color w:val="auto"/>
                <w:szCs w:val="24"/>
              </w:rPr>
              <w:t>。</w:t>
            </w:r>
          </w:p>
          <w:p w14:paraId="1FD58A89">
            <w:pPr>
              <w:pStyle w:val="4045"/>
              <w:rPr>
                <w:color w:val="auto"/>
                <w:szCs w:val="24"/>
              </w:rPr>
            </w:pPr>
            <w:r>
              <w:rPr>
                <w:color w:val="auto"/>
                <w:szCs w:val="24"/>
              </w:rPr>
              <w:t>综上所述，施工期的噪声、废气、废水、固体废弃物和水土流失将会对环境产生一定程度的影响，但只要施工单位认真做好施工组织工作（包括劳动力、工期计划和施工平面管理等），并进行文明施工，遵守上述环保建议，项目施工期对周围环境产生影响较小。</w:t>
            </w:r>
          </w:p>
          <w:p w14:paraId="49645B0D">
            <w:pPr>
              <w:pStyle w:val="4045"/>
              <w:rPr>
                <w:color w:val="auto"/>
                <w:szCs w:val="24"/>
              </w:rPr>
            </w:pPr>
          </w:p>
          <w:p w14:paraId="741CFA13">
            <w:pPr>
              <w:adjustRightInd w:val="0"/>
              <w:snapToGrid w:val="0"/>
              <w:ind w:firstLine="440"/>
              <w:rPr>
                <w:bCs/>
                <w:color w:val="auto"/>
                <w:spacing w:val="-10"/>
                <w:sz w:val="24"/>
              </w:rPr>
            </w:pPr>
          </w:p>
        </w:tc>
      </w:tr>
      <w:tr w14:paraId="451AD6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05" w:hRule="atLeast"/>
          <w:jc w:val="center"/>
        </w:trPr>
        <w:tc>
          <w:tcPr>
            <w:tcW w:w="384" w:type="dxa"/>
            <w:tcMar>
              <w:left w:w="28" w:type="dxa"/>
              <w:right w:w="28" w:type="dxa"/>
            </w:tcMar>
            <w:vAlign w:val="center"/>
          </w:tcPr>
          <w:p w14:paraId="4F044CB6">
            <w:pPr>
              <w:adjustRightInd w:val="0"/>
              <w:snapToGrid w:val="0"/>
              <w:jc w:val="center"/>
              <w:rPr>
                <w:bCs/>
                <w:color w:val="auto"/>
                <w:sz w:val="24"/>
              </w:rPr>
            </w:pPr>
            <w:r>
              <w:rPr>
                <w:rFonts w:hint="eastAsia" w:hAnsi="宋体" w:cs="宋体"/>
                <w:bCs/>
                <w:color w:val="auto"/>
                <w:sz w:val="24"/>
                <w:lang w:bidi="ar"/>
              </w:rPr>
              <w:t>运营</w:t>
            </w:r>
          </w:p>
          <w:p w14:paraId="0DD07691">
            <w:pPr>
              <w:adjustRightInd w:val="0"/>
              <w:snapToGrid w:val="0"/>
              <w:jc w:val="center"/>
              <w:rPr>
                <w:bCs/>
                <w:color w:val="auto"/>
                <w:sz w:val="24"/>
              </w:rPr>
            </w:pPr>
            <w:r>
              <w:rPr>
                <w:rFonts w:hint="eastAsia" w:hAnsi="宋体" w:cs="宋体"/>
                <w:bCs/>
                <w:color w:val="auto"/>
                <w:sz w:val="24"/>
                <w:lang w:bidi="ar"/>
              </w:rPr>
              <w:t>期环</w:t>
            </w:r>
          </w:p>
          <w:p w14:paraId="3C303A43">
            <w:pPr>
              <w:adjustRightInd w:val="0"/>
              <w:snapToGrid w:val="0"/>
              <w:jc w:val="center"/>
              <w:rPr>
                <w:bCs/>
                <w:color w:val="auto"/>
                <w:sz w:val="24"/>
              </w:rPr>
            </w:pPr>
            <w:r>
              <w:rPr>
                <w:rFonts w:hint="eastAsia" w:hAnsi="宋体" w:cs="宋体"/>
                <w:bCs/>
                <w:color w:val="auto"/>
                <w:sz w:val="24"/>
                <w:lang w:bidi="ar"/>
              </w:rPr>
              <w:t>境影</w:t>
            </w:r>
          </w:p>
          <w:p w14:paraId="4DC20F4C">
            <w:pPr>
              <w:adjustRightInd w:val="0"/>
              <w:snapToGrid w:val="0"/>
              <w:jc w:val="center"/>
              <w:rPr>
                <w:bCs/>
                <w:color w:val="auto"/>
                <w:sz w:val="24"/>
              </w:rPr>
            </w:pPr>
            <w:r>
              <w:rPr>
                <w:rFonts w:hint="eastAsia" w:hAnsi="宋体" w:cs="宋体"/>
                <w:bCs/>
                <w:color w:val="auto"/>
                <w:sz w:val="24"/>
                <w:lang w:bidi="ar"/>
              </w:rPr>
              <w:t>响和</w:t>
            </w:r>
          </w:p>
          <w:p w14:paraId="07E57A7D">
            <w:pPr>
              <w:adjustRightInd w:val="0"/>
              <w:snapToGrid w:val="0"/>
              <w:jc w:val="center"/>
              <w:rPr>
                <w:bCs/>
                <w:color w:val="auto"/>
                <w:sz w:val="24"/>
              </w:rPr>
            </w:pPr>
            <w:r>
              <w:rPr>
                <w:rFonts w:hint="eastAsia" w:hAnsi="宋体" w:cs="宋体"/>
                <w:bCs/>
                <w:color w:val="auto"/>
                <w:sz w:val="24"/>
                <w:lang w:bidi="ar"/>
              </w:rPr>
              <w:t>保护</w:t>
            </w:r>
          </w:p>
          <w:p w14:paraId="5E6E5632">
            <w:pPr>
              <w:widowControl/>
              <w:jc w:val="left"/>
              <w:rPr>
                <w:color w:val="auto"/>
              </w:rPr>
            </w:pPr>
            <w:r>
              <w:rPr>
                <w:rFonts w:hint="eastAsia" w:hAnsi="宋体"/>
                <w:bCs/>
                <w:color w:val="auto"/>
                <w:sz w:val="24"/>
                <w:lang w:bidi="ar"/>
              </w:rPr>
              <w:t>措施</w:t>
            </w:r>
          </w:p>
          <w:p w14:paraId="06409464">
            <w:pPr>
              <w:pStyle w:val="81"/>
              <w:adjustRightInd w:val="0"/>
              <w:snapToGrid w:val="0"/>
              <w:spacing w:before="0" w:beforeAutospacing="0" w:after="0" w:afterAutospacing="0"/>
              <w:jc w:val="center"/>
              <w:rPr>
                <w:rFonts w:ascii="Times New Roman" w:hAnsi="Times New Roman"/>
                <w:color w:val="auto"/>
                <w:kern w:val="2"/>
                <w:szCs w:val="24"/>
                <w:lang w:val="en-US"/>
              </w:rPr>
            </w:pPr>
          </w:p>
        </w:tc>
        <w:tc>
          <w:tcPr>
            <w:tcW w:w="8675" w:type="dxa"/>
          </w:tcPr>
          <w:p w14:paraId="64F5C5FF">
            <w:pPr>
              <w:autoSpaceDE w:val="0"/>
              <w:autoSpaceDN w:val="0"/>
              <w:adjustRightInd w:val="0"/>
              <w:snapToGrid w:val="0"/>
              <w:spacing w:line="360" w:lineRule="auto"/>
              <w:ind w:firstLine="482"/>
              <w:rPr>
                <w:b/>
                <w:bCs/>
                <w:color w:val="auto"/>
                <w:sz w:val="24"/>
              </w:rPr>
            </w:pPr>
            <w:r>
              <w:rPr>
                <w:rFonts w:hint="eastAsia"/>
                <w:b/>
                <w:bCs/>
                <w:color w:val="auto"/>
                <w:sz w:val="24"/>
              </w:rPr>
              <w:t>4.2运营期环境保护措施</w:t>
            </w:r>
          </w:p>
          <w:p w14:paraId="4D0F8F78">
            <w:pPr>
              <w:autoSpaceDE w:val="0"/>
              <w:autoSpaceDN w:val="0"/>
              <w:adjustRightInd w:val="0"/>
              <w:snapToGrid w:val="0"/>
              <w:spacing w:line="360" w:lineRule="auto"/>
              <w:ind w:firstLine="482" w:firstLineChars="200"/>
              <w:rPr>
                <w:b/>
                <w:bCs/>
                <w:color w:val="auto"/>
                <w:sz w:val="24"/>
              </w:rPr>
            </w:pPr>
            <w:r>
              <w:rPr>
                <w:rFonts w:hint="eastAsia"/>
                <w:b/>
                <w:bCs/>
                <w:color w:val="auto"/>
                <w:sz w:val="24"/>
              </w:rPr>
              <w:t>1.大气环境影响及防治措施分析</w:t>
            </w:r>
          </w:p>
          <w:p w14:paraId="37A32D93">
            <w:pPr>
              <w:autoSpaceDE w:val="0"/>
              <w:autoSpaceDN w:val="0"/>
              <w:adjustRightInd w:val="0"/>
              <w:snapToGrid w:val="0"/>
              <w:spacing w:line="360" w:lineRule="auto"/>
              <w:ind w:firstLine="482" w:firstLineChars="200"/>
              <w:rPr>
                <w:b/>
                <w:bCs/>
                <w:color w:val="auto"/>
                <w:sz w:val="24"/>
              </w:rPr>
            </w:pPr>
            <w:r>
              <w:rPr>
                <w:rFonts w:hint="eastAsia"/>
                <w:b/>
                <w:bCs/>
                <w:color w:val="auto"/>
                <w:sz w:val="24"/>
              </w:rPr>
              <w:t>（1）废气</w:t>
            </w:r>
            <w:r>
              <w:rPr>
                <w:b/>
                <w:bCs/>
                <w:color w:val="auto"/>
                <w:sz w:val="24"/>
              </w:rPr>
              <w:t>源强</w:t>
            </w:r>
            <w:r>
              <w:rPr>
                <w:rFonts w:hint="eastAsia"/>
                <w:b/>
                <w:bCs/>
                <w:color w:val="auto"/>
                <w:sz w:val="24"/>
              </w:rPr>
              <w:t>及污染物防治措施</w:t>
            </w:r>
          </w:p>
          <w:p w14:paraId="16250F0F">
            <w:pPr>
              <w:widowControl/>
              <w:spacing w:line="360" w:lineRule="auto"/>
              <w:ind w:firstLine="480" w:firstLineChars="200"/>
              <w:rPr>
                <w:color w:val="auto"/>
                <w:sz w:val="24"/>
              </w:rPr>
            </w:pPr>
            <w:bookmarkStart w:id="25" w:name="OLE_LINK8"/>
            <w:r>
              <w:rPr>
                <w:rFonts w:hint="eastAsia"/>
                <w:color w:val="auto"/>
                <w:sz w:val="24"/>
              </w:rPr>
              <w:t>①切割粉尘</w:t>
            </w:r>
          </w:p>
          <w:p w14:paraId="4AC595E1">
            <w:pPr>
              <w:widowControl/>
              <w:spacing w:line="360" w:lineRule="auto"/>
              <w:ind w:firstLine="480" w:firstLineChars="200"/>
              <w:rPr>
                <w:color w:val="auto"/>
                <w:sz w:val="24"/>
              </w:rPr>
            </w:pPr>
            <w:r>
              <w:rPr>
                <w:rFonts w:hint="eastAsia"/>
                <w:color w:val="auto"/>
                <w:sz w:val="24"/>
              </w:rPr>
              <w:t>项目配件下料工序使用激光切割机进行切割，此工序会产生粉尘，根据</w:t>
            </w:r>
            <w:r>
              <w:rPr>
                <w:rStyle w:val="4052"/>
                <w:color w:val="auto"/>
                <w:lang w:bidi="ar"/>
              </w:rPr>
              <w:t>《排放源统计调查产排污核算方法和系数手册》中</w:t>
            </w:r>
            <w:r>
              <w:rPr>
                <w:rStyle w:val="4053"/>
                <w:rFonts w:hint="eastAsia" w:ascii="宋体" w:hAnsi="宋体" w:eastAsia="宋体" w:cs="宋体"/>
                <w:color w:val="auto"/>
                <w:lang w:bidi="ar"/>
              </w:rPr>
              <w:t>“</w:t>
            </w:r>
            <w:r>
              <w:rPr>
                <w:rStyle w:val="4053"/>
                <w:color w:val="auto"/>
                <w:lang w:bidi="ar"/>
              </w:rPr>
              <w:t>33-37</w:t>
            </w:r>
            <w:r>
              <w:rPr>
                <w:rStyle w:val="4052"/>
                <w:color w:val="auto"/>
                <w:lang w:bidi="ar"/>
              </w:rPr>
              <w:t>、</w:t>
            </w:r>
            <w:r>
              <w:rPr>
                <w:rStyle w:val="4053"/>
                <w:color w:val="auto"/>
                <w:lang w:bidi="ar"/>
              </w:rPr>
              <w:t>431-434</w:t>
            </w:r>
            <w:r>
              <w:rPr>
                <w:rStyle w:val="4052"/>
                <w:color w:val="auto"/>
                <w:lang w:bidi="ar"/>
              </w:rPr>
              <w:t>机械行业系数手册的</w:t>
            </w:r>
            <w:r>
              <w:rPr>
                <w:rStyle w:val="4053"/>
                <w:rFonts w:hint="eastAsia" w:ascii="宋体" w:hAnsi="宋体" w:eastAsia="宋体" w:cs="宋体"/>
                <w:color w:val="auto"/>
                <w:lang w:bidi="ar"/>
              </w:rPr>
              <w:t>”</w:t>
            </w:r>
            <w:r>
              <w:rPr>
                <w:rStyle w:val="4053"/>
                <w:rFonts w:hint="eastAsia" w:ascii="宋体" w:hAnsi="宋体" w:cs="宋体"/>
                <w:color w:val="auto"/>
                <w:lang w:bidi="ar"/>
              </w:rPr>
              <w:t>，对照</w:t>
            </w:r>
            <w:r>
              <w:rPr>
                <w:rStyle w:val="4053"/>
                <w:rFonts w:ascii="Times New Roman" w:hAnsi="Times New Roman" w:cs="Times New Roman"/>
                <w:color w:val="auto"/>
                <w:lang w:bidi="ar"/>
              </w:rPr>
              <w:t>04下</w:t>
            </w:r>
            <w:r>
              <w:rPr>
                <w:rStyle w:val="4053"/>
                <w:rFonts w:hint="eastAsia" w:ascii="宋体" w:hAnsi="宋体" w:cs="宋体"/>
                <w:color w:val="auto"/>
                <w:lang w:bidi="ar"/>
              </w:rPr>
              <w:t>料产污表，钢板切割产污系数为</w:t>
            </w:r>
            <w:r>
              <w:rPr>
                <w:rStyle w:val="4053"/>
                <w:rFonts w:ascii="Times New Roman" w:hAnsi="Times New Roman" w:cs="Times New Roman"/>
                <w:color w:val="auto"/>
                <w:lang w:bidi="ar"/>
              </w:rPr>
              <w:t>5.30</w:t>
            </w:r>
            <w:r>
              <w:rPr>
                <w:rFonts w:hint="eastAsia" w:hAnsi="宋体"/>
                <w:bCs/>
                <w:color w:val="auto"/>
                <w:sz w:val="24"/>
                <w:lang w:bidi="ar"/>
              </w:rPr>
              <w:t>千克</w:t>
            </w:r>
            <w:r>
              <w:rPr>
                <w:bCs/>
                <w:color w:val="auto"/>
                <w:sz w:val="24"/>
                <w:lang w:bidi="ar"/>
              </w:rPr>
              <w:t>/</w:t>
            </w:r>
            <w:r>
              <w:rPr>
                <w:rFonts w:hint="eastAsia" w:hAnsi="宋体"/>
                <w:bCs/>
                <w:color w:val="auto"/>
                <w:sz w:val="24"/>
                <w:lang w:bidi="ar"/>
              </w:rPr>
              <w:t>吨</w:t>
            </w:r>
            <w:r>
              <w:rPr>
                <w:rFonts w:hint="eastAsia" w:hAnsi="宋体"/>
                <w:bCs/>
                <w:color w:val="auto"/>
                <w:sz w:val="24"/>
                <w:lang w:eastAsia="zh-CN" w:bidi="ar"/>
              </w:rPr>
              <w:t>－</w:t>
            </w:r>
            <w:r>
              <w:rPr>
                <w:rFonts w:hint="eastAsia" w:hAnsi="宋体"/>
                <w:bCs/>
                <w:color w:val="auto"/>
                <w:sz w:val="24"/>
                <w:lang w:bidi="ar"/>
              </w:rPr>
              <w:t>原料。本项目硅钢片使用量为200t/a，则配件下料过程颗粒物产生量为1.06t/a。</w:t>
            </w:r>
          </w:p>
          <w:p w14:paraId="3B5A609B">
            <w:pPr>
              <w:widowControl/>
              <w:spacing w:line="360" w:lineRule="auto"/>
              <w:ind w:firstLine="480" w:firstLineChars="200"/>
              <w:rPr>
                <w:color w:val="auto"/>
                <w:sz w:val="24"/>
              </w:rPr>
            </w:pPr>
            <w:r>
              <w:rPr>
                <w:rFonts w:hint="eastAsia"/>
                <w:color w:val="auto"/>
                <w:sz w:val="24"/>
              </w:rPr>
              <w:t>产生的颗粒物经集气罩+布袋除尘器处理后，通过1根15m高1#排气筒排放。设计风量为5000m</w:t>
            </w:r>
            <w:r>
              <w:rPr>
                <w:rFonts w:hint="eastAsia"/>
                <w:color w:val="auto"/>
                <w:sz w:val="24"/>
                <w:vertAlign w:val="superscript"/>
              </w:rPr>
              <w:t>3</w:t>
            </w:r>
            <w:r>
              <w:rPr>
                <w:rFonts w:hint="eastAsia"/>
                <w:color w:val="auto"/>
                <w:sz w:val="24"/>
              </w:rPr>
              <w:t>/h，收集效率以90%计，布袋除尘器去除效率以98%计，年运行时间为2400h，</w:t>
            </w:r>
            <w:r>
              <w:rPr>
                <w:rFonts w:hint="eastAsia"/>
                <w:color w:val="auto"/>
                <w:sz w:val="24"/>
                <w:lang w:eastAsia="zh-CN"/>
              </w:rPr>
              <w:t>细颗粒物</w:t>
            </w:r>
            <w:r>
              <w:rPr>
                <w:rFonts w:hint="eastAsia"/>
                <w:color w:val="auto"/>
                <w:sz w:val="24"/>
              </w:rPr>
              <w:t>有组织产生量为</w:t>
            </w:r>
            <w:r>
              <w:rPr>
                <w:rFonts w:hint="eastAsia"/>
                <w:bCs/>
                <w:color w:val="auto"/>
                <w:sz w:val="24"/>
                <w:lang w:bidi="ar"/>
              </w:rPr>
              <w:t>0.954</w:t>
            </w:r>
            <w:r>
              <w:rPr>
                <w:bCs/>
                <w:color w:val="auto"/>
                <w:sz w:val="24"/>
                <w:lang w:bidi="ar"/>
              </w:rPr>
              <w:t>t/a</w:t>
            </w:r>
            <w:r>
              <w:rPr>
                <w:rFonts w:hint="eastAsia" w:hAnsi="宋体"/>
                <w:bCs/>
                <w:color w:val="auto"/>
                <w:sz w:val="24"/>
                <w:lang w:bidi="ar"/>
              </w:rPr>
              <w:t>（</w:t>
            </w:r>
            <w:r>
              <w:rPr>
                <w:rFonts w:hint="eastAsia"/>
                <w:bCs/>
                <w:color w:val="auto"/>
                <w:sz w:val="24"/>
                <w:lang w:bidi="ar"/>
              </w:rPr>
              <w:t>0.3975</w:t>
            </w:r>
            <w:r>
              <w:rPr>
                <w:bCs/>
                <w:color w:val="auto"/>
                <w:sz w:val="24"/>
                <w:lang w:bidi="ar"/>
              </w:rPr>
              <w:t>kg/h</w:t>
            </w:r>
            <w:r>
              <w:rPr>
                <w:rFonts w:hint="eastAsia" w:hAnsi="宋体"/>
                <w:bCs/>
                <w:color w:val="auto"/>
                <w:sz w:val="24"/>
                <w:lang w:bidi="ar"/>
              </w:rPr>
              <w:t>，</w:t>
            </w:r>
            <w:r>
              <w:rPr>
                <w:rFonts w:hint="eastAsia"/>
                <w:bCs/>
                <w:color w:val="auto"/>
                <w:sz w:val="24"/>
                <w:lang w:bidi="ar"/>
              </w:rPr>
              <w:t>79.5</w:t>
            </w:r>
            <w:r>
              <w:rPr>
                <w:bCs/>
                <w:color w:val="auto"/>
                <w:sz w:val="24"/>
                <w:lang w:bidi="ar"/>
              </w:rPr>
              <w:t>mg/m</w:t>
            </w:r>
            <w:r>
              <w:rPr>
                <w:bCs/>
                <w:color w:val="auto"/>
                <w:sz w:val="24"/>
                <w:vertAlign w:val="superscript"/>
                <w:lang w:bidi="ar"/>
              </w:rPr>
              <w:t>3</w:t>
            </w:r>
            <w:r>
              <w:rPr>
                <w:rFonts w:hint="eastAsia" w:hAnsi="宋体"/>
                <w:bCs/>
                <w:color w:val="auto"/>
                <w:sz w:val="24"/>
                <w:lang w:bidi="ar"/>
              </w:rPr>
              <w:t>），有组织排放量为</w:t>
            </w:r>
            <w:r>
              <w:rPr>
                <w:rFonts w:hint="eastAsia"/>
                <w:bCs/>
                <w:color w:val="auto"/>
                <w:sz w:val="24"/>
                <w:lang w:bidi="ar"/>
              </w:rPr>
              <w:t>0.0191</w:t>
            </w:r>
            <w:r>
              <w:rPr>
                <w:bCs/>
                <w:color w:val="auto"/>
                <w:sz w:val="24"/>
                <w:lang w:bidi="ar"/>
              </w:rPr>
              <w:t>t/a</w:t>
            </w:r>
            <w:r>
              <w:rPr>
                <w:rFonts w:hint="eastAsia" w:hAnsi="宋体"/>
                <w:bCs/>
                <w:color w:val="auto"/>
                <w:sz w:val="24"/>
                <w:lang w:bidi="ar"/>
              </w:rPr>
              <w:t>（</w:t>
            </w:r>
            <w:r>
              <w:rPr>
                <w:rFonts w:hint="eastAsia"/>
                <w:bCs/>
                <w:color w:val="auto"/>
                <w:sz w:val="24"/>
                <w:lang w:bidi="ar"/>
              </w:rPr>
              <w:t>0.008</w:t>
            </w:r>
            <w:r>
              <w:rPr>
                <w:bCs/>
                <w:color w:val="auto"/>
                <w:sz w:val="24"/>
                <w:lang w:bidi="ar"/>
              </w:rPr>
              <w:t>kg/h</w:t>
            </w:r>
            <w:r>
              <w:rPr>
                <w:rFonts w:hint="eastAsia" w:hAnsi="宋体"/>
                <w:bCs/>
                <w:color w:val="auto"/>
                <w:sz w:val="24"/>
                <w:lang w:bidi="ar"/>
              </w:rPr>
              <w:t>，</w:t>
            </w:r>
            <w:r>
              <w:rPr>
                <w:rFonts w:hint="eastAsia"/>
                <w:bCs/>
                <w:color w:val="auto"/>
                <w:sz w:val="24"/>
                <w:lang w:bidi="ar"/>
              </w:rPr>
              <w:t>1.6</w:t>
            </w:r>
            <w:r>
              <w:rPr>
                <w:bCs/>
                <w:color w:val="auto"/>
                <w:sz w:val="24"/>
                <w:lang w:bidi="ar"/>
              </w:rPr>
              <w:t>mg/m</w:t>
            </w:r>
            <w:r>
              <w:rPr>
                <w:bCs/>
                <w:color w:val="auto"/>
                <w:sz w:val="24"/>
                <w:vertAlign w:val="superscript"/>
                <w:lang w:bidi="ar"/>
              </w:rPr>
              <w:t>3</w:t>
            </w:r>
            <w:r>
              <w:rPr>
                <w:rFonts w:hint="eastAsia" w:hAnsi="宋体"/>
                <w:bCs/>
                <w:color w:val="auto"/>
                <w:sz w:val="24"/>
                <w:lang w:bidi="ar"/>
              </w:rPr>
              <w:t>），无组织排放量为</w:t>
            </w:r>
            <w:r>
              <w:rPr>
                <w:rFonts w:hint="eastAsia"/>
                <w:bCs/>
                <w:color w:val="auto"/>
                <w:sz w:val="24"/>
                <w:lang w:bidi="ar"/>
              </w:rPr>
              <w:t>0.106</w:t>
            </w:r>
            <w:r>
              <w:rPr>
                <w:bCs/>
                <w:color w:val="auto"/>
                <w:sz w:val="24"/>
                <w:lang w:bidi="ar"/>
              </w:rPr>
              <w:t>t/a</w:t>
            </w:r>
            <w:r>
              <w:rPr>
                <w:rFonts w:hint="eastAsia" w:hAnsi="宋体"/>
                <w:bCs/>
                <w:color w:val="auto"/>
                <w:sz w:val="24"/>
                <w:lang w:bidi="ar"/>
              </w:rPr>
              <w:t>（</w:t>
            </w:r>
            <w:r>
              <w:rPr>
                <w:bCs/>
                <w:color w:val="auto"/>
                <w:sz w:val="24"/>
                <w:lang w:bidi="ar"/>
              </w:rPr>
              <w:t>0.0</w:t>
            </w:r>
            <w:r>
              <w:rPr>
                <w:rFonts w:hint="eastAsia"/>
                <w:bCs/>
                <w:color w:val="auto"/>
                <w:sz w:val="24"/>
                <w:lang w:bidi="ar"/>
              </w:rPr>
              <w:t>442</w:t>
            </w:r>
            <w:r>
              <w:rPr>
                <w:bCs/>
                <w:color w:val="auto"/>
                <w:sz w:val="24"/>
                <w:lang w:bidi="ar"/>
              </w:rPr>
              <w:t>kg/h</w:t>
            </w:r>
            <w:r>
              <w:rPr>
                <w:rFonts w:hint="eastAsia" w:hAnsi="宋体"/>
                <w:bCs/>
                <w:color w:val="auto"/>
                <w:sz w:val="24"/>
                <w:lang w:bidi="ar"/>
              </w:rPr>
              <w:t>）。</w:t>
            </w:r>
          </w:p>
          <w:p w14:paraId="47C1E3FA">
            <w:pPr>
              <w:widowControl/>
              <w:spacing w:line="360" w:lineRule="auto"/>
              <w:ind w:firstLine="480" w:firstLineChars="200"/>
              <w:rPr>
                <w:color w:val="auto"/>
                <w:sz w:val="24"/>
              </w:rPr>
            </w:pPr>
            <w:r>
              <w:rPr>
                <w:rFonts w:hint="eastAsia"/>
                <w:color w:val="auto"/>
                <w:sz w:val="24"/>
              </w:rPr>
              <w:t>②浸漆</w:t>
            </w:r>
            <w:r>
              <w:rPr>
                <w:rFonts w:hint="eastAsia"/>
                <w:color w:val="auto"/>
                <w:sz w:val="24"/>
                <w:lang w:eastAsia="zh-CN"/>
              </w:rPr>
              <w:t>、</w:t>
            </w:r>
            <w:r>
              <w:rPr>
                <w:rFonts w:hint="eastAsia"/>
                <w:color w:val="auto"/>
                <w:sz w:val="24"/>
              </w:rPr>
              <w:t>烘干废气</w:t>
            </w:r>
          </w:p>
          <w:p w14:paraId="7AA01673">
            <w:pPr>
              <w:adjustRightInd w:val="0"/>
              <w:snapToGrid w:val="0"/>
              <w:spacing w:line="360" w:lineRule="auto"/>
              <w:ind w:firstLine="480" w:firstLineChars="200"/>
              <w:rPr>
                <w:snapToGrid w:val="0"/>
                <w:color w:val="auto"/>
                <w:kern w:val="0"/>
                <w:sz w:val="24"/>
              </w:rPr>
            </w:pPr>
            <w:r>
              <w:rPr>
                <w:rFonts w:hint="eastAsia"/>
                <w:snapToGrid w:val="0"/>
                <w:color w:val="auto"/>
                <w:kern w:val="0"/>
                <w:sz w:val="24"/>
              </w:rPr>
              <w:t>项目浸漆工序在密闭浸漆系统内进行</w:t>
            </w:r>
            <w:r>
              <w:rPr>
                <w:rFonts w:hint="eastAsia"/>
                <w:snapToGrid w:val="0"/>
                <w:color w:val="auto"/>
                <w:kern w:val="0"/>
                <w:sz w:val="24"/>
                <w:lang w:eastAsia="zh-CN"/>
              </w:rPr>
              <w:t>，烘干工序在</w:t>
            </w:r>
            <w:r>
              <w:rPr>
                <w:rFonts w:hint="eastAsia"/>
                <w:snapToGrid w:val="0"/>
                <w:color w:val="auto"/>
                <w:kern w:val="0"/>
                <w:sz w:val="24"/>
                <w:lang w:val="en-US" w:eastAsia="zh-CN"/>
              </w:rPr>
              <w:t>1#</w:t>
            </w:r>
            <w:r>
              <w:rPr>
                <w:rFonts w:hint="eastAsia"/>
                <w:snapToGrid w:val="0"/>
                <w:color w:val="auto"/>
                <w:kern w:val="0"/>
                <w:sz w:val="24"/>
                <w:lang w:eastAsia="zh-CN"/>
              </w:rPr>
              <w:t>烘干房（长</w:t>
            </w:r>
            <w:r>
              <w:rPr>
                <w:rFonts w:hint="eastAsia"/>
                <w:snapToGrid w:val="0"/>
                <w:color w:val="auto"/>
                <w:kern w:val="0"/>
                <w:sz w:val="24"/>
                <w:lang w:val="en-US" w:eastAsia="zh-CN"/>
              </w:rPr>
              <w:t>8m，宽6m，高2.5m，体积为120m</w:t>
            </w:r>
            <w:r>
              <w:rPr>
                <w:rFonts w:hint="eastAsia"/>
                <w:snapToGrid w:val="0"/>
                <w:color w:val="auto"/>
                <w:kern w:val="0"/>
                <w:sz w:val="24"/>
                <w:vertAlign w:val="superscript"/>
                <w:lang w:val="en-US" w:eastAsia="zh-CN"/>
              </w:rPr>
              <w:t>3</w:t>
            </w:r>
            <w:r>
              <w:rPr>
                <w:rFonts w:hint="eastAsia"/>
                <w:snapToGrid w:val="0"/>
                <w:color w:val="auto"/>
                <w:kern w:val="0"/>
                <w:sz w:val="24"/>
                <w:lang w:eastAsia="zh-CN"/>
              </w:rPr>
              <w:t>）内进行，烘干温度为</w:t>
            </w:r>
            <w:r>
              <w:rPr>
                <w:rFonts w:hint="eastAsia"/>
                <w:snapToGrid w:val="0"/>
                <w:color w:val="auto"/>
                <w:kern w:val="0"/>
                <w:sz w:val="24"/>
                <w:lang w:val="en-US" w:eastAsia="zh-CN"/>
              </w:rPr>
              <w:t>120-150</w:t>
            </w:r>
            <w:r>
              <w:rPr>
                <w:rFonts w:hint="eastAsia"/>
                <w:color w:val="auto"/>
                <w:sz w:val="24"/>
              </w:rPr>
              <w:t>℃</w:t>
            </w:r>
            <w:r>
              <w:rPr>
                <w:rFonts w:hint="eastAsia"/>
                <w:color w:val="auto"/>
                <w:sz w:val="24"/>
                <w:lang w:eastAsia="zh-CN"/>
              </w:rPr>
              <w:t>，每批次烘干时间约</w:t>
            </w:r>
            <w:r>
              <w:rPr>
                <w:rFonts w:hint="eastAsia"/>
                <w:color w:val="auto"/>
                <w:sz w:val="24"/>
                <w:lang w:val="en-US" w:eastAsia="zh-CN"/>
              </w:rPr>
              <w:t>2h</w:t>
            </w:r>
            <w:r>
              <w:rPr>
                <w:rFonts w:hint="eastAsia"/>
                <w:snapToGrid w:val="0"/>
                <w:color w:val="auto"/>
                <w:kern w:val="0"/>
                <w:sz w:val="24"/>
              </w:rPr>
              <w:t>，</w:t>
            </w:r>
            <w:r>
              <w:rPr>
                <w:rFonts w:hint="eastAsia"/>
                <w:snapToGrid w:val="0"/>
                <w:color w:val="auto"/>
                <w:kern w:val="0"/>
                <w:sz w:val="24"/>
                <w:lang w:eastAsia="zh-CN"/>
              </w:rPr>
              <w:t>均</w:t>
            </w:r>
            <w:r>
              <w:rPr>
                <w:rFonts w:hint="eastAsia"/>
                <w:snapToGrid w:val="0"/>
                <w:color w:val="auto"/>
                <w:kern w:val="0"/>
                <w:sz w:val="24"/>
              </w:rPr>
              <w:t>位于</w:t>
            </w:r>
            <w:r>
              <w:rPr>
                <w:rFonts w:hint="eastAsia"/>
                <w:snapToGrid w:val="0"/>
                <w:color w:val="auto"/>
                <w:kern w:val="0"/>
                <w:sz w:val="24"/>
                <w:lang w:val="en-US" w:eastAsia="zh-CN"/>
              </w:rPr>
              <w:t>2#</w:t>
            </w:r>
            <w:r>
              <w:rPr>
                <w:rFonts w:hint="eastAsia"/>
                <w:snapToGrid w:val="0"/>
                <w:color w:val="auto"/>
                <w:kern w:val="0"/>
                <w:sz w:val="24"/>
              </w:rPr>
              <w:t>生产车间内，项目水性环氧绝缘树脂漆用量为2t/a，根据企业提供的检测报告、MSDS，挥发性有机化合物的含量为19g/L，密度为1.6</w:t>
            </w:r>
            <w:r>
              <w:rPr>
                <w:rFonts w:hint="eastAsia"/>
                <w:snapToGrid w:val="0"/>
                <w:color w:val="auto"/>
                <w:kern w:val="0"/>
                <w:sz w:val="24"/>
                <w:lang w:eastAsia="zh-CN"/>
              </w:rPr>
              <w:t>—</w:t>
            </w:r>
            <w:r>
              <w:rPr>
                <w:rFonts w:hint="eastAsia"/>
                <w:snapToGrid w:val="0"/>
                <w:color w:val="auto"/>
                <w:kern w:val="0"/>
                <w:sz w:val="24"/>
              </w:rPr>
              <w:t>2.1g/cm</w:t>
            </w:r>
            <w:r>
              <w:rPr>
                <w:rFonts w:hint="eastAsia"/>
                <w:snapToGrid w:val="0"/>
                <w:color w:val="auto"/>
                <w:kern w:val="0"/>
                <w:sz w:val="24"/>
                <w:vertAlign w:val="superscript"/>
              </w:rPr>
              <w:t>3</w:t>
            </w:r>
            <w:r>
              <w:rPr>
                <w:rFonts w:hint="eastAsia"/>
                <w:snapToGrid w:val="0"/>
                <w:color w:val="auto"/>
                <w:kern w:val="0"/>
                <w:sz w:val="24"/>
              </w:rPr>
              <w:t>，根据《江苏省重点行业挥发性有机物排放量计算暂行办法》（苏环办</w:t>
            </w:r>
            <w:r>
              <w:rPr>
                <w:rFonts w:hint="eastAsia"/>
                <w:snapToGrid w:val="0"/>
                <w:color w:val="auto"/>
                <w:kern w:val="0"/>
                <w:sz w:val="24"/>
                <w:lang w:eastAsia="zh-CN"/>
              </w:rPr>
              <w:t>〔2016〕154号</w:t>
            </w:r>
            <w:r>
              <w:rPr>
                <w:rFonts w:hint="eastAsia"/>
                <w:snapToGrid w:val="0"/>
                <w:color w:val="auto"/>
                <w:kern w:val="0"/>
                <w:sz w:val="24"/>
              </w:rPr>
              <w:t>）“物料中VOCs含量可以以供货商提供的质检报告（MS/DS文件）为核定依据，如文件中的溶剂含量数据为百分比范围，取其范围中值”，因此，本次评价水性环氧绝缘树脂漆密度取1.85g/cm</w:t>
            </w:r>
            <w:r>
              <w:rPr>
                <w:rFonts w:hint="eastAsia"/>
                <w:snapToGrid w:val="0"/>
                <w:color w:val="auto"/>
                <w:kern w:val="0"/>
                <w:sz w:val="24"/>
                <w:vertAlign w:val="superscript"/>
              </w:rPr>
              <w:t>3</w:t>
            </w:r>
            <w:r>
              <w:rPr>
                <w:rFonts w:hint="eastAsia"/>
                <w:snapToGrid w:val="0"/>
                <w:color w:val="auto"/>
                <w:kern w:val="0"/>
                <w:sz w:val="24"/>
              </w:rPr>
              <w:t>，</w:t>
            </w:r>
            <w:r>
              <w:rPr>
                <w:rFonts w:hint="eastAsia"/>
                <w:color w:val="auto"/>
                <w:kern w:val="0"/>
                <w:sz w:val="24"/>
                <w:szCs w:val="20"/>
              </w:rPr>
              <w:t>NMHC</w:t>
            </w:r>
            <w:r>
              <w:rPr>
                <w:rFonts w:hint="eastAsia"/>
                <w:snapToGrid w:val="0"/>
                <w:color w:val="auto"/>
                <w:kern w:val="0"/>
                <w:sz w:val="24"/>
              </w:rPr>
              <w:t>产生量0.0205t/a。</w:t>
            </w:r>
          </w:p>
          <w:p w14:paraId="0B9E20D8">
            <w:pPr>
              <w:adjustRightInd w:val="0"/>
              <w:snapToGrid w:val="0"/>
              <w:spacing w:line="360" w:lineRule="auto"/>
              <w:ind w:firstLine="480" w:firstLineChars="200"/>
              <w:rPr>
                <w:snapToGrid w:val="0"/>
                <w:color w:val="auto"/>
                <w:kern w:val="0"/>
                <w:sz w:val="24"/>
              </w:rPr>
            </w:pPr>
            <w:r>
              <w:rPr>
                <w:rFonts w:hint="eastAsia"/>
                <w:snapToGrid w:val="0"/>
                <w:color w:val="auto"/>
                <w:kern w:val="0"/>
                <w:sz w:val="24"/>
              </w:rPr>
              <w:t>喷漆工段产生的废气主要分为两个部分：喷涂废气、烘干废气，有机废气在喷涂</w:t>
            </w:r>
            <w:r>
              <w:rPr>
                <w:rFonts w:hint="eastAsia"/>
                <w:snapToGrid w:val="0"/>
                <w:color w:val="auto"/>
                <w:kern w:val="0"/>
                <w:sz w:val="24"/>
                <w:lang w:eastAsia="zh-CN"/>
              </w:rPr>
              <w:t>和烘干</w:t>
            </w:r>
            <w:r>
              <w:rPr>
                <w:rFonts w:hint="eastAsia"/>
                <w:snapToGrid w:val="0"/>
                <w:color w:val="auto"/>
                <w:kern w:val="0"/>
                <w:sz w:val="24"/>
              </w:rPr>
              <w:t>过程中挥发，参照</w:t>
            </w:r>
            <w:r>
              <w:rPr>
                <w:rFonts w:hint="eastAsia"/>
                <w:color w:val="auto"/>
                <w:sz w:val="24"/>
                <w:lang w:bidi="ar"/>
              </w:rPr>
              <w:t>《污染源源强核算技术指南</w:t>
            </w:r>
            <w:r>
              <w:rPr>
                <w:color w:val="auto"/>
                <w:sz w:val="24"/>
                <w:lang w:bidi="ar"/>
              </w:rPr>
              <w:t xml:space="preserve"> </w:t>
            </w:r>
            <w:r>
              <w:rPr>
                <w:rFonts w:hint="eastAsia"/>
                <w:color w:val="auto"/>
                <w:sz w:val="24"/>
                <w:lang w:bidi="ar"/>
              </w:rPr>
              <w:t>汽车制造》（</w:t>
            </w:r>
            <w:r>
              <w:rPr>
                <w:color w:val="auto"/>
                <w:sz w:val="24"/>
                <w:lang w:bidi="ar"/>
              </w:rPr>
              <w:t>HJ1097—2020</w:t>
            </w:r>
            <w:r>
              <w:rPr>
                <w:rFonts w:hint="eastAsia"/>
                <w:color w:val="auto"/>
                <w:sz w:val="24"/>
                <w:lang w:bidi="ar"/>
              </w:rPr>
              <w:t>），使用水性涂料进行零部件静电喷涂过程中，喷涂、烘干（含热流平）工段有机溶剂挥发量占比按</w:t>
            </w:r>
            <w:r>
              <w:rPr>
                <w:color w:val="auto"/>
                <w:sz w:val="24"/>
                <w:lang w:bidi="ar"/>
              </w:rPr>
              <w:t>7:3</w:t>
            </w:r>
            <w:r>
              <w:rPr>
                <w:rFonts w:hint="eastAsia"/>
                <w:color w:val="auto"/>
                <w:sz w:val="24"/>
                <w:lang w:bidi="ar"/>
              </w:rPr>
              <w:t>计算</w:t>
            </w:r>
            <w:r>
              <w:rPr>
                <w:rFonts w:hint="eastAsia"/>
                <w:snapToGrid w:val="0"/>
                <w:color w:val="auto"/>
                <w:kern w:val="0"/>
                <w:sz w:val="24"/>
              </w:rPr>
              <w:t>。</w:t>
            </w:r>
          </w:p>
          <w:p w14:paraId="5319C921">
            <w:pPr>
              <w:adjustRightInd w:val="0"/>
              <w:snapToGrid w:val="0"/>
              <w:spacing w:line="360" w:lineRule="auto"/>
              <w:ind w:firstLine="480" w:firstLineChars="200"/>
              <w:rPr>
                <w:color w:val="auto"/>
                <w:kern w:val="0"/>
                <w:sz w:val="24"/>
              </w:rPr>
            </w:pPr>
            <w:r>
              <w:rPr>
                <w:rFonts w:hint="eastAsia"/>
                <w:color w:val="auto"/>
                <w:kern w:val="0"/>
                <w:sz w:val="24"/>
              </w:rPr>
              <w:t>A.浸漆废气</w:t>
            </w:r>
          </w:p>
          <w:p w14:paraId="5C55AA2B">
            <w:pPr>
              <w:adjustRightInd w:val="0"/>
              <w:snapToGrid w:val="0"/>
              <w:spacing w:line="360" w:lineRule="auto"/>
              <w:ind w:firstLine="480" w:firstLineChars="200"/>
              <w:rPr>
                <w:bCs/>
                <w:color w:val="auto"/>
                <w:sz w:val="24"/>
              </w:rPr>
            </w:pPr>
            <w:r>
              <w:rPr>
                <w:rFonts w:hint="eastAsia"/>
                <w:color w:val="auto"/>
                <w:kern w:val="0"/>
                <w:sz w:val="24"/>
              </w:rPr>
              <w:t>项目浸漆工序</w:t>
            </w:r>
            <w:r>
              <w:rPr>
                <w:rFonts w:hint="eastAsia"/>
                <w:color w:val="auto"/>
                <w:kern w:val="0"/>
                <w:sz w:val="24"/>
                <w:szCs w:val="20"/>
              </w:rPr>
              <w:t>NMHC</w:t>
            </w:r>
            <w:r>
              <w:rPr>
                <w:rFonts w:hint="eastAsia"/>
                <w:snapToGrid w:val="0"/>
                <w:color w:val="auto"/>
                <w:kern w:val="0"/>
                <w:sz w:val="24"/>
              </w:rPr>
              <w:t>产生量为0.0144t/a</w:t>
            </w:r>
            <w:r>
              <w:rPr>
                <w:rFonts w:hint="eastAsia"/>
                <w:snapToGrid w:val="0"/>
                <w:color w:val="auto"/>
                <w:kern w:val="0"/>
                <w:sz w:val="24"/>
                <w:lang w:eastAsia="zh-CN"/>
              </w:rPr>
              <w:t>，</w:t>
            </w:r>
            <w:r>
              <w:rPr>
                <w:rFonts w:hint="eastAsia"/>
                <w:color w:val="auto"/>
                <w:kern w:val="0"/>
                <w:sz w:val="24"/>
              </w:rPr>
              <w:t>经密闭</w:t>
            </w:r>
            <w:r>
              <w:rPr>
                <w:rFonts w:hint="eastAsia"/>
                <w:color w:val="auto"/>
                <w:kern w:val="0"/>
                <w:sz w:val="24"/>
                <w:lang w:eastAsia="zh-CN"/>
              </w:rPr>
              <w:t>设备负压</w:t>
            </w:r>
            <w:r>
              <w:rPr>
                <w:rFonts w:hint="eastAsia"/>
                <w:color w:val="auto"/>
                <w:kern w:val="0"/>
                <w:sz w:val="24"/>
              </w:rPr>
              <w:t>收集</w:t>
            </w:r>
            <w:r>
              <w:rPr>
                <w:rFonts w:hint="eastAsia"/>
                <w:color w:val="auto"/>
                <w:kern w:val="0"/>
                <w:sz w:val="24"/>
                <w:lang w:val="en-US" w:eastAsia="zh-CN"/>
              </w:rPr>
              <w:t>+</w:t>
            </w:r>
            <w:r>
              <w:rPr>
                <w:rFonts w:hint="eastAsia"/>
                <w:color w:val="auto"/>
                <w:kern w:val="0"/>
                <w:sz w:val="24"/>
              </w:rPr>
              <w:t>干式过滤棉+二级活性炭处理装置处理后</w:t>
            </w:r>
            <w:r>
              <w:rPr>
                <w:rFonts w:hint="eastAsia"/>
                <w:color w:val="auto"/>
                <w:kern w:val="0"/>
                <w:sz w:val="24"/>
                <w:lang w:eastAsia="zh-CN"/>
              </w:rPr>
              <w:t>，</w:t>
            </w:r>
            <w:r>
              <w:rPr>
                <w:rFonts w:hint="eastAsia"/>
                <w:color w:val="auto"/>
                <w:kern w:val="0"/>
                <w:sz w:val="24"/>
              </w:rPr>
              <w:t>通过1根15米高2#排气筒排放。设计</w:t>
            </w:r>
            <w:r>
              <w:rPr>
                <w:color w:val="auto"/>
                <w:kern w:val="0"/>
                <w:sz w:val="24"/>
              </w:rPr>
              <w:t>风量为</w:t>
            </w:r>
            <w:r>
              <w:rPr>
                <w:rFonts w:hint="eastAsia"/>
                <w:color w:val="auto"/>
                <w:kern w:val="0"/>
                <w:sz w:val="24"/>
              </w:rPr>
              <w:t>2</w:t>
            </w:r>
            <w:r>
              <w:rPr>
                <w:color w:val="auto"/>
                <w:kern w:val="0"/>
                <w:sz w:val="24"/>
              </w:rPr>
              <w:t>000m</w:t>
            </w:r>
            <w:r>
              <w:rPr>
                <w:color w:val="auto"/>
                <w:kern w:val="0"/>
                <w:sz w:val="24"/>
                <w:vertAlign w:val="superscript"/>
              </w:rPr>
              <w:t>3</w:t>
            </w:r>
            <w:r>
              <w:rPr>
                <w:color w:val="auto"/>
                <w:kern w:val="0"/>
                <w:sz w:val="24"/>
              </w:rPr>
              <w:t>/h，年工作</w:t>
            </w:r>
            <w:r>
              <w:rPr>
                <w:rFonts w:hint="eastAsia"/>
                <w:color w:val="auto"/>
                <w:kern w:val="0"/>
                <w:sz w:val="24"/>
              </w:rPr>
              <w:t>2</w:t>
            </w:r>
            <w:r>
              <w:rPr>
                <w:rFonts w:hint="eastAsia"/>
                <w:color w:val="auto"/>
                <w:kern w:val="0"/>
                <w:sz w:val="24"/>
                <w:lang w:val="en-US" w:eastAsia="zh-CN"/>
              </w:rPr>
              <w:t>35</w:t>
            </w:r>
            <w:r>
              <w:rPr>
                <w:color w:val="auto"/>
                <w:kern w:val="0"/>
                <w:sz w:val="24"/>
              </w:rPr>
              <w:t>0h</w:t>
            </w:r>
            <w:r>
              <w:rPr>
                <w:rFonts w:hint="eastAsia"/>
                <w:color w:val="auto"/>
                <w:kern w:val="0"/>
                <w:sz w:val="24"/>
              </w:rPr>
              <w:t>，</w:t>
            </w:r>
            <w:r>
              <w:rPr>
                <w:color w:val="auto"/>
                <w:kern w:val="0"/>
                <w:sz w:val="24"/>
              </w:rPr>
              <w:t>收集效率</w:t>
            </w:r>
            <w:r>
              <w:rPr>
                <w:rFonts w:hint="eastAsia"/>
                <w:color w:val="auto"/>
                <w:kern w:val="0"/>
                <w:sz w:val="24"/>
              </w:rPr>
              <w:t>取95</w:t>
            </w:r>
            <w:r>
              <w:rPr>
                <w:color w:val="auto"/>
                <w:kern w:val="0"/>
                <w:sz w:val="24"/>
              </w:rPr>
              <w:t>%</w:t>
            </w:r>
            <w:r>
              <w:rPr>
                <w:rFonts w:hint="eastAsia"/>
                <w:color w:val="auto"/>
                <w:kern w:val="0"/>
                <w:sz w:val="24"/>
                <w:lang w:eastAsia="zh-CN"/>
              </w:rPr>
              <w:t>，</w:t>
            </w:r>
            <w:r>
              <w:rPr>
                <w:color w:val="auto"/>
                <w:kern w:val="0"/>
                <w:sz w:val="24"/>
              </w:rPr>
              <w:t>处理效率为9</w:t>
            </w:r>
            <w:r>
              <w:rPr>
                <w:rFonts w:hint="eastAsia"/>
                <w:color w:val="auto"/>
                <w:kern w:val="0"/>
                <w:sz w:val="24"/>
              </w:rPr>
              <w:t>0</w:t>
            </w:r>
            <w:r>
              <w:rPr>
                <w:color w:val="auto"/>
                <w:kern w:val="0"/>
                <w:sz w:val="24"/>
              </w:rPr>
              <w:t>%，</w:t>
            </w:r>
            <w:r>
              <w:rPr>
                <w:rFonts w:hint="eastAsia"/>
                <w:color w:val="auto"/>
                <w:kern w:val="0"/>
                <w:sz w:val="24"/>
                <w:lang w:eastAsia="zh-CN"/>
              </w:rPr>
              <w:t>则</w:t>
            </w:r>
            <w:r>
              <w:rPr>
                <w:rFonts w:hint="eastAsia"/>
                <w:snapToGrid w:val="0"/>
                <w:color w:val="auto"/>
                <w:kern w:val="0"/>
                <w:sz w:val="24"/>
              </w:rPr>
              <w:t>NMHC</w:t>
            </w:r>
            <w:r>
              <w:rPr>
                <w:color w:val="auto"/>
                <w:kern w:val="0"/>
                <w:sz w:val="24"/>
              </w:rPr>
              <w:t>有组织产生量为</w:t>
            </w:r>
            <w:r>
              <w:rPr>
                <w:rFonts w:hint="eastAsia"/>
                <w:color w:val="auto"/>
                <w:kern w:val="0"/>
                <w:sz w:val="24"/>
              </w:rPr>
              <w:t>0.0137</w:t>
            </w:r>
            <w:r>
              <w:rPr>
                <w:color w:val="auto"/>
                <w:kern w:val="0"/>
                <w:sz w:val="24"/>
              </w:rPr>
              <w:t>t/a</w:t>
            </w:r>
            <w:r>
              <w:rPr>
                <w:rFonts w:hint="eastAsia"/>
                <w:color w:val="auto"/>
                <w:kern w:val="0"/>
                <w:sz w:val="24"/>
              </w:rPr>
              <w:t>（0.005</w:t>
            </w:r>
            <w:r>
              <w:rPr>
                <w:rFonts w:hint="eastAsia"/>
                <w:color w:val="auto"/>
                <w:kern w:val="0"/>
                <w:sz w:val="24"/>
                <w:lang w:val="en-US" w:eastAsia="zh-CN"/>
              </w:rPr>
              <w:t>8</w:t>
            </w:r>
            <w:r>
              <w:rPr>
                <w:color w:val="auto"/>
                <w:kern w:val="0"/>
                <w:sz w:val="24"/>
              </w:rPr>
              <w:t>kg/h</w:t>
            </w:r>
            <w:r>
              <w:rPr>
                <w:rFonts w:hint="eastAsia"/>
                <w:color w:val="auto"/>
                <w:kern w:val="0"/>
                <w:sz w:val="24"/>
              </w:rPr>
              <w:t>、2.</w:t>
            </w:r>
            <w:r>
              <w:rPr>
                <w:rFonts w:hint="eastAsia"/>
                <w:color w:val="auto"/>
                <w:kern w:val="0"/>
                <w:sz w:val="24"/>
                <w:lang w:val="en-US" w:eastAsia="zh-CN"/>
              </w:rPr>
              <w:t>90</w:t>
            </w:r>
            <w:r>
              <w:rPr>
                <w:color w:val="auto"/>
                <w:kern w:val="0"/>
                <w:sz w:val="24"/>
              </w:rPr>
              <w:t>mg/m</w:t>
            </w:r>
            <w:r>
              <w:rPr>
                <w:color w:val="auto"/>
                <w:kern w:val="0"/>
                <w:sz w:val="24"/>
                <w:vertAlign w:val="superscript"/>
              </w:rPr>
              <w:t>3</w:t>
            </w:r>
            <w:r>
              <w:rPr>
                <w:rFonts w:hint="eastAsia"/>
                <w:color w:val="auto"/>
                <w:kern w:val="0"/>
                <w:sz w:val="24"/>
              </w:rPr>
              <w:t>）</w:t>
            </w:r>
            <w:r>
              <w:rPr>
                <w:rFonts w:hint="eastAsia"/>
                <w:color w:val="auto"/>
                <w:kern w:val="0"/>
                <w:sz w:val="24"/>
                <w:lang w:eastAsia="zh-CN"/>
              </w:rPr>
              <w:t>，</w:t>
            </w:r>
            <w:r>
              <w:rPr>
                <w:rFonts w:hint="eastAsia"/>
                <w:snapToGrid w:val="0"/>
                <w:color w:val="auto"/>
                <w:kern w:val="0"/>
                <w:sz w:val="24"/>
              </w:rPr>
              <w:t>NMHC</w:t>
            </w:r>
            <w:r>
              <w:rPr>
                <w:color w:val="auto"/>
                <w:kern w:val="0"/>
                <w:sz w:val="24"/>
              </w:rPr>
              <w:t>有组织排放量为</w:t>
            </w:r>
            <w:r>
              <w:rPr>
                <w:rFonts w:hint="eastAsia"/>
                <w:color w:val="auto"/>
                <w:kern w:val="0"/>
                <w:sz w:val="24"/>
              </w:rPr>
              <w:t>0.0014</w:t>
            </w:r>
            <w:r>
              <w:rPr>
                <w:color w:val="auto"/>
                <w:kern w:val="0"/>
                <w:sz w:val="24"/>
              </w:rPr>
              <w:t>t/a</w:t>
            </w:r>
            <w:r>
              <w:rPr>
                <w:rFonts w:hint="eastAsia"/>
                <w:color w:val="auto"/>
                <w:kern w:val="0"/>
                <w:sz w:val="24"/>
              </w:rPr>
              <w:t>（0.0006</w:t>
            </w:r>
            <w:r>
              <w:rPr>
                <w:color w:val="auto"/>
                <w:kern w:val="0"/>
                <w:sz w:val="24"/>
              </w:rPr>
              <w:t>kg/h</w:t>
            </w:r>
            <w:r>
              <w:rPr>
                <w:rFonts w:hint="eastAsia"/>
                <w:color w:val="auto"/>
                <w:kern w:val="0"/>
                <w:sz w:val="24"/>
              </w:rPr>
              <w:t>、0.30</w:t>
            </w:r>
            <w:r>
              <w:rPr>
                <w:color w:val="auto"/>
                <w:kern w:val="0"/>
                <w:sz w:val="24"/>
              </w:rPr>
              <w:t>mg/m</w:t>
            </w:r>
            <w:r>
              <w:rPr>
                <w:color w:val="auto"/>
                <w:kern w:val="0"/>
                <w:sz w:val="24"/>
                <w:vertAlign w:val="superscript"/>
              </w:rPr>
              <w:t>3</w:t>
            </w:r>
            <w:r>
              <w:rPr>
                <w:rFonts w:hint="eastAsia"/>
                <w:color w:val="auto"/>
                <w:kern w:val="0"/>
                <w:sz w:val="24"/>
              </w:rPr>
              <w:t>），</w:t>
            </w:r>
            <w:r>
              <w:rPr>
                <w:rFonts w:hint="eastAsia"/>
                <w:bCs/>
                <w:color w:val="auto"/>
                <w:sz w:val="24"/>
              </w:rPr>
              <w:t>NMHC无组织</w:t>
            </w:r>
            <w:r>
              <w:rPr>
                <w:color w:val="auto"/>
                <w:kern w:val="0"/>
                <w:sz w:val="24"/>
              </w:rPr>
              <w:t>排放</w:t>
            </w:r>
            <w:r>
              <w:rPr>
                <w:rFonts w:hint="eastAsia"/>
                <w:bCs/>
                <w:color w:val="auto"/>
                <w:sz w:val="24"/>
              </w:rPr>
              <w:t>量为0.0007t/a（</w:t>
            </w:r>
            <w:r>
              <w:rPr>
                <w:rFonts w:hint="eastAsia"/>
                <w:color w:val="auto"/>
                <w:kern w:val="0"/>
                <w:sz w:val="24"/>
              </w:rPr>
              <w:t>0.0003k</w:t>
            </w:r>
            <w:r>
              <w:rPr>
                <w:color w:val="auto"/>
                <w:kern w:val="0"/>
                <w:sz w:val="24"/>
              </w:rPr>
              <w:t>g/h</w:t>
            </w:r>
            <w:r>
              <w:rPr>
                <w:rFonts w:hint="eastAsia"/>
                <w:bCs/>
                <w:color w:val="auto"/>
                <w:sz w:val="24"/>
              </w:rPr>
              <w:t>）</w:t>
            </w:r>
            <w:r>
              <w:rPr>
                <w:rFonts w:hint="eastAsia"/>
                <w:color w:val="auto"/>
                <w:kern w:val="0"/>
                <w:sz w:val="24"/>
              </w:rPr>
              <w:t>。</w:t>
            </w:r>
          </w:p>
          <w:p w14:paraId="6A7D1B6D">
            <w:pPr>
              <w:adjustRightInd w:val="0"/>
              <w:snapToGrid w:val="0"/>
              <w:spacing w:line="360" w:lineRule="auto"/>
              <w:ind w:firstLine="480" w:firstLineChars="200"/>
              <w:rPr>
                <w:bCs/>
                <w:color w:val="auto"/>
                <w:sz w:val="24"/>
              </w:rPr>
            </w:pPr>
            <w:r>
              <w:rPr>
                <w:rFonts w:hint="eastAsia"/>
                <w:bCs/>
                <w:color w:val="auto"/>
                <w:sz w:val="24"/>
              </w:rPr>
              <w:t>B.烘干废气</w:t>
            </w:r>
          </w:p>
          <w:p w14:paraId="48C8F699">
            <w:pPr>
              <w:adjustRightInd w:val="0"/>
              <w:snapToGrid w:val="0"/>
              <w:spacing w:line="360" w:lineRule="auto"/>
              <w:ind w:firstLine="480" w:firstLineChars="200"/>
              <w:rPr>
                <w:snapToGrid w:val="0"/>
                <w:color w:val="auto"/>
                <w:kern w:val="0"/>
                <w:sz w:val="24"/>
              </w:rPr>
            </w:pPr>
            <w:r>
              <w:rPr>
                <w:rFonts w:hint="eastAsia"/>
                <w:bCs/>
                <w:color w:val="auto"/>
                <w:sz w:val="24"/>
              </w:rPr>
              <w:t>浸漆后需烘干处理，其烘干过程中工件表面的油漆挥发形成有机废气，烘干废气占有机废气的30%</w:t>
            </w:r>
            <w:r>
              <w:rPr>
                <w:rFonts w:hint="eastAsia"/>
                <w:bCs/>
                <w:color w:val="auto"/>
                <w:sz w:val="24"/>
                <w:lang w:eastAsia="zh-CN"/>
              </w:rPr>
              <w:t>，烘干工序</w:t>
            </w:r>
            <w:r>
              <w:rPr>
                <w:rFonts w:hint="eastAsia"/>
                <w:bCs/>
                <w:color w:val="auto"/>
                <w:sz w:val="24"/>
                <w:lang w:val="en-US" w:eastAsia="zh-CN"/>
              </w:rPr>
              <w:t>NMHC产生量为0.0062t/a</w:t>
            </w:r>
            <w:r>
              <w:rPr>
                <w:rFonts w:hint="eastAsia"/>
                <w:bCs/>
                <w:color w:val="auto"/>
                <w:sz w:val="24"/>
              </w:rPr>
              <w:t>，</w:t>
            </w:r>
            <w:r>
              <w:rPr>
                <w:rFonts w:hint="eastAsia"/>
                <w:bCs/>
                <w:color w:val="auto"/>
                <w:sz w:val="24"/>
                <w:lang w:eastAsia="zh-CN"/>
              </w:rPr>
              <w:t>烘干废气经密闭车间负压收集</w:t>
            </w:r>
            <w:r>
              <w:rPr>
                <w:rFonts w:hint="eastAsia"/>
                <w:bCs/>
                <w:color w:val="auto"/>
                <w:sz w:val="24"/>
                <w:lang w:val="en-US" w:eastAsia="zh-CN"/>
              </w:rPr>
              <w:t>+</w:t>
            </w:r>
            <w:r>
              <w:rPr>
                <w:rFonts w:hint="eastAsia"/>
                <w:color w:val="auto"/>
                <w:kern w:val="0"/>
                <w:sz w:val="24"/>
              </w:rPr>
              <w:t>干式过滤棉+二级活性炭处理装置处理后</w:t>
            </w:r>
            <w:r>
              <w:rPr>
                <w:rFonts w:hint="eastAsia"/>
                <w:color w:val="auto"/>
                <w:kern w:val="0"/>
                <w:sz w:val="24"/>
                <w:lang w:eastAsia="zh-CN"/>
              </w:rPr>
              <w:t>，</w:t>
            </w:r>
            <w:r>
              <w:rPr>
                <w:rFonts w:hint="eastAsia"/>
                <w:color w:val="auto"/>
                <w:kern w:val="0"/>
                <w:sz w:val="24"/>
              </w:rPr>
              <w:t>通过1根15米高2#排气筒排放</w:t>
            </w:r>
            <w:r>
              <w:rPr>
                <w:rFonts w:hint="eastAsia"/>
                <w:color w:val="auto"/>
                <w:kern w:val="0"/>
                <w:sz w:val="24"/>
                <w:lang w:eastAsia="zh-CN"/>
              </w:rPr>
              <w:t>，</w:t>
            </w:r>
            <w:r>
              <w:rPr>
                <w:rFonts w:hint="eastAsia"/>
                <w:color w:val="auto"/>
                <w:kern w:val="0"/>
                <w:sz w:val="24"/>
              </w:rPr>
              <w:t>设计</w:t>
            </w:r>
            <w:r>
              <w:rPr>
                <w:color w:val="auto"/>
                <w:kern w:val="0"/>
                <w:sz w:val="24"/>
              </w:rPr>
              <w:t>风量为</w:t>
            </w:r>
            <w:r>
              <w:rPr>
                <w:rFonts w:hint="eastAsia"/>
                <w:color w:val="auto"/>
                <w:kern w:val="0"/>
                <w:sz w:val="24"/>
              </w:rPr>
              <w:t>2</w:t>
            </w:r>
            <w:r>
              <w:rPr>
                <w:color w:val="auto"/>
                <w:kern w:val="0"/>
                <w:sz w:val="24"/>
              </w:rPr>
              <w:t>000m</w:t>
            </w:r>
            <w:r>
              <w:rPr>
                <w:color w:val="auto"/>
                <w:kern w:val="0"/>
                <w:sz w:val="24"/>
                <w:vertAlign w:val="superscript"/>
              </w:rPr>
              <w:t>3</w:t>
            </w:r>
            <w:r>
              <w:rPr>
                <w:color w:val="auto"/>
                <w:kern w:val="0"/>
                <w:sz w:val="24"/>
              </w:rPr>
              <w:t>/h，年工作</w:t>
            </w:r>
            <w:r>
              <w:rPr>
                <w:rFonts w:hint="eastAsia"/>
                <w:color w:val="auto"/>
                <w:kern w:val="0"/>
                <w:sz w:val="24"/>
              </w:rPr>
              <w:t>2</w:t>
            </w:r>
            <w:r>
              <w:rPr>
                <w:rFonts w:hint="eastAsia"/>
                <w:color w:val="auto"/>
                <w:kern w:val="0"/>
                <w:sz w:val="24"/>
                <w:lang w:val="en-US" w:eastAsia="zh-CN"/>
              </w:rPr>
              <w:t>35</w:t>
            </w:r>
            <w:r>
              <w:rPr>
                <w:color w:val="auto"/>
                <w:kern w:val="0"/>
                <w:sz w:val="24"/>
              </w:rPr>
              <w:t>0h</w:t>
            </w:r>
            <w:r>
              <w:rPr>
                <w:rFonts w:hint="eastAsia"/>
                <w:color w:val="auto"/>
                <w:kern w:val="0"/>
                <w:sz w:val="24"/>
              </w:rPr>
              <w:t>，</w:t>
            </w:r>
            <w:r>
              <w:rPr>
                <w:color w:val="auto"/>
                <w:kern w:val="0"/>
                <w:sz w:val="24"/>
              </w:rPr>
              <w:t>收集效率</w:t>
            </w:r>
            <w:r>
              <w:rPr>
                <w:rFonts w:hint="eastAsia"/>
                <w:color w:val="auto"/>
                <w:kern w:val="0"/>
                <w:sz w:val="24"/>
              </w:rPr>
              <w:t>取95</w:t>
            </w:r>
            <w:r>
              <w:rPr>
                <w:color w:val="auto"/>
                <w:kern w:val="0"/>
                <w:sz w:val="24"/>
              </w:rPr>
              <w:t>%，处理效率</w:t>
            </w:r>
            <w:r>
              <w:rPr>
                <w:rFonts w:hint="eastAsia"/>
                <w:color w:val="auto"/>
                <w:kern w:val="0"/>
                <w:sz w:val="24"/>
                <w:lang w:eastAsia="zh-CN"/>
              </w:rPr>
              <w:t>为</w:t>
            </w:r>
            <w:r>
              <w:rPr>
                <w:color w:val="auto"/>
                <w:kern w:val="0"/>
                <w:sz w:val="24"/>
              </w:rPr>
              <w:t>9</w:t>
            </w:r>
            <w:r>
              <w:rPr>
                <w:rFonts w:hint="eastAsia"/>
                <w:color w:val="auto"/>
                <w:kern w:val="0"/>
                <w:sz w:val="24"/>
              </w:rPr>
              <w:t>0</w:t>
            </w:r>
            <w:r>
              <w:rPr>
                <w:color w:val="auto"/>
                <w:kern w:val="0"/>
                <w:sz w:val="24"/>
              </w:rPr>
              <w:t>%</w:t>
            </w:r>
            <w:r>
              <w:rPr>
                <w:rFonts w:hint="eastAsia"/>
                <w:color w:val="auto"/>
                <w:kern w:val="0"/>
                <w:sz w:val="24"/>
                <w:lang w:eastAsia="zh-CN"/>
              </w:rPr>
              <w:t>，则</w:t>
            </w:r>
            <w:r>
              <w:rPr>
                <w:rFonts w:hint="eastAsia"/>
                <w:bCs/>
                <w:color w:val="auto"/>
                <w:sz w:val="24"/>
              </w:rPr>
              <w:t>NMHC</w:t>
            </w:r>
            <w:r>
              <w:rPr>
                <w:color w:val="auto"/>
                <w:kern w:val="0"/>
                <w:sz w:val="24"/>
              </w:rPr>
              <w:t>有组织产生量为</w:t>
            </w:r>
            <w:r>
              <w:rPr>
                <w:rFonts w:hint="eastAsia"/>
                <w:color w:val="auto"/>
                <w:kern w:val="0"/>
                <w:sz w:val="24"/>
              </w:rPr>
              <w:t>0.0059</w:t>
            </w:r>
            <w:r>
              <w:rPr>
                <w:color w:val="auto"/>
                <w:kern w:val="0"/>
                <w:sz w:val="24"/>
              </w:rPr>
              <w:t>t/a</w:t>
            </w:r>
            <w:r>
              <w:rPr>
                <w:rFonts w:hint="eastAsia"/>
                <w:color w:val="auto"/>
                <w:kern w:val="0"/>
                <w:sz w:val="24"/>
              </w:rPr>
              <w:t>（0.0025</w:t>
            </w:r>
            <w:r>
              <w:rPr>
                <w:color w:val="auto"/>
                <w:kern w:val="0"/>
                <w:sz w:val="24"/>
              </w:rPr>
              <w:t>kg/h</w:t>
            </w:r>
            <w:r>
              <w:rPr>
                <w:rFonts w:hint="eastAsia"/>
                <w:color w:val="auto"/>
                <w:kern w:val="0"/>
                <w:sz w:val="24"/>
              </w:rPr>
              <w:t>、1.25</w:t>
            </w:r>
            <w:r>
              <w:rPr>
                <w:color w:val="auto"/>
                <w:kern w:val="0"/>
                <w:sz w:val="24"/>
              </w:rPr>
              <w:t>mg/m</w:t>
            </w:r>
            <w:r>
              <w:rPr>
                <w:color w:val="auto"/>
                <w:kern w:val="0"/>
                <w:sz w:val="24"/>
                <w:vertAlign w:val="superscript"/>
              </w:rPr>
              <w:t>3</w:t>
            </w:r>
            <w:r>
              <w:rPr>
                <w:rFonts w:hint="eastAsia"/>
                <w:color w:val="auto"/>
                <w:kern w:val="0"/>
                <w:sz w:val="24"/>
              </w:rPr>
              <w:t>）</w:t>
            </w:r>
            <w:r>
              <w:rPr>
                <w:rFonts w:hint="eastAsia"/>
                <w:color w:val="auto"/>
                <w:kern w:val="0"/>
                <w:sz w:val="24"/>
                <w:lang w:eastAsia="zh-CN"/>
              </w:rPr>
              <w:t>，</w:t>
            </w:r>
            <w:r>
              <w:rPr>
                <w:rFonts w:hint="eastAsia"/>
                <w:bCs/>
                <w:color w:val="auto"/>
                <w:sz w:val="24"/>
              </w:rPr>
              <w:t>NMHC</w:t>
            </w:r>
            <w:r>
              <w:rPr>
                <w:color w:val="auto"/>
                <w:kern w:val="0"/>
                <w:sz w:val="24"/>
              </w:rPr>
              <w:t>有组织排放量为</w:t>
            </w:r>
            <w:r>
              <w:rPr>
                <w:rFonts w:hint="eastAsia"/>
                <w:color w:val="auto"/>
                <w:kern w:val="0"/>
                <w:sz w:val="24"/>
              </w:rPr>
              <w:t>0.0006</w:t>
            </w:r>
            <w:r>
              <w:rPr>
                <w:color w:val="auto"/>
                <w:kern w:val="0"/>
                <w:sz w:val="24"/>
              </w:rPr>
              <w:t>t/a</w:t>
            </w:r>
            <w:r>
              <w:rPr>
                <w:rFonts w:hint="eastAsia"/>
                <w:color w:val="auto"/>
                <w:kern w:val="0"/>
                <w:sz w:val="24"/>
              </w:rPr>
              <w:t>、（0.0003</w:t>
            </w:r>
            <w:r>
              <w:rPr>
                <w:color w:val="auto"/>
                <w:kern w:val="0"/>
                <w:sz w:val="24"/>
              </w:rPr>
              <w:t>kg/h</w:t>
            </w:r>
            <w:r>
              <w:rPr>
                <w:rFonts w:hint="eastAsia"/>
                <w:color w:val="auto"/>
                <w:kern w:val="0"/>
                <w:sz w:val="24"/>
              </w:rPr>
              <w:t>、0.15</w:t>
            </w:r>
            <w:r>
              <w:rPr>
                <w:color w:val="auto"/>
                <w:kern w:val="0"/>
                <w:sz w:val="24"/>
              </w:rPr>
              <w:t>mg/m</w:t>
            </w:r>
            <w:r>
              <w:rPr>
                <w:color w:val="auto"/>
                <w:kern w:val="0"/>
                <w:sz w:val="24"/>
                <w:vertAlign w:val="superscript"/>
              </w:rPr>
              <w:t>3</w:t>
            </w:r>
            <w:r>
              <w:rPr>
                <w:rFonts w:hint="eastAsia"/>
                <w:color w:val="auto"/>
                <w:kern w:val="0"/>
                <w:sz w:val="24"/>
              </w:rPr>
              <w:t>），</w:t>
            </w:r>
            <w:r>
              <w:rPr>
                <w:rFonts w:hint="eastAsia"/>
                <w:bCs/>
                <w:color w:val="auto"/>
                <w:sz w:val="24"/>
              </w:rPr>
              <w:t>NMHC无组织</w:t>
            </w:r>
            <w:r>
              <w:rPr>
                <w:color w:val="auto"/>
                <w:kern w:val="0"/>
                <w:sz w:val="24"/>
              </w:rPr>
              <w:t>排放</w:t>
            </w:r>
            <w:r>
              <w:rPr>
                <w:rFonts w:hint="eastAsia"/>
                <w:bCs/>
                <w:color w:val="auto"/>
                <w:sz w:val="24"/>
              </w:rPr>
              <w:t>量为0.0003t/a（</w:t>
            </w:r>
            <w:r>
              <w:rPr>
                <w:rFonts w:hint="eastAsia"/>
                <w:color w:val="auto"/>
                <w:kern w:val="0"/>
                <w:sz w:val="24"/>
              </w:rPr>
              <w:t>0.0001k</w:t>
            </w:r>
            <w:r>
              <w:rPr>
                <w:color w:val="auto"/>
                <w:kern w:val="0"/>
                <w:sz w:val="24"/>
              </w:rPr>
              <w:t>g/h</w:t>
            </w:r>
            <w:r>
              <w:rPr>
                <w:rFonts w:hint="eastAsia"/>
                <w:bCs/>
                <w:color w:val="auto"/>
                <w:sz w:val="24"/>
              </w:rPr>
              <w:t>）</w:t>
            </w:r>
            <w:r>
              <w:rPr>
                <w:rFonts w:hint="eastAsia"/>
                <w:color w:val="auto"/>
                <w:kern w:val="0"/>
                <w:sz w:val="24"/>
              </w:rPr>
              <w:t>。</w:t>
            </w:r>
          </w:p>
          <w:bookmarkEnd w:id="25"/>
          <w:p w14:paraId="11733FC6">
            <w:pPr>
              <w:adjustRightInd w:val="0"/>
              <w:snapToGrid w:val="0"/>
              <w:spacing w:line="360" w:lineRule="auto"/>
              <w:ind w:firstLine="480" w:firstLineChars="200"/>
              <w:rPr>
                <w:bCs/>
                <w:color w:val="auto"/>
                <w:sz w:val="24"/>
              </w:rPr>
            </w:pPr>
            <w:bookmarkStart w:id="26" w:name="OLE_LINK16"/>
            <w:r>
              <w:rPr>
                <w:rFonts w:hint="eastAsia"/>
                <w:bCs/>
                <w:color w:val="auto"/>
                <w:sz w:val="24"/>
              </w:rPr>
              <w:t>③喷漆</w:t>
            </w:r>
            <w:r>
              <w:rPr>
                <w:rFonts w:hint="eastAsia"/>
                <w:bCs/>
                <w:color w:val="auto"/>
                <w:sz w:val="24"/>
                <w:lang w:eastAsia="zh-CN"/>
              </w:rPr>
              <w:t>、</w:t>
            </w:r>
            <w:r>
              <w:rPr>
                <w:rFonts w:hint="eastAsia"/>
                <w:bCs/>
                <w:color w:val="auto"/>
                <w:sz w:val="24"/>
              </w:rPr>
              <w:t>烘干废气</w:t>
            </w:r>
          </w:p>
          <w:p w14:paraId="490F6249">
            <w:pPr>
              <w:adjustRightInd w:val="0"/>
              <w:snapToGrid w:val="0"/>
              <w:spacing w:line="360" w:lineRule="auto"/>
              <w:ind w:firstLine="480" w:firstLineChars="200"/>
              <w:rPr>
                <w:snapToGrid w:val="0"/>
                <w:color w:val="auto"/>
                <w:kern w:val="0"/>
                <w:sz w:val="24"/>
              </w:rPr>
            </w:pPr>
            <w:r>
              <w:rPr>
                <w:rFonts w:hint="eastAsia"/>
                <w:snapToGrid w:val="0"/>
                <w:color w:val="auto"/>
                <w:kern w:val="0"/>
                <w:sz w:val="24"/>
              </w:rPr>
              <w:t>项目电机生产过程中需要进行喷漆</w:t>
            </w:r>
            <w:r>
              <w:rPr>
                <w:rFonts w:hint="eastAsia"/>
                <w:snapToGrid w:val="0"/>
                <w:color w:val="auto"/>
                <w:kern w:val="0"/>
                <w:sz w:val="24"/>
                <w:lang w:eastAsia="zh-CN"/>
              </w:rPr>
              <w:t>、</w:t>
            </w:r>
            <w:r>
              <w:rPr>
                <w:rFonts w:hint="eastAsia"/>
                <w:snapToGrid w:val="0"/>
                <w:color w:val="auto"/>
                <w:kern w:val="0"/>
                <w:sz w:val="24"/>
              </w:rPr>
              <w:t>烘干，</w:t>
            </w:r>
            <w:r>
              <w:rPr>
                <w:rFonts w:hint="eastAsia"/>
                <w:snapToGrid w:val="0"/>
                <w:color w:val="auto"/>
                <w:kern w:val="0"/>
                <w:sz w:val="24"/>
                <w:lang w:eastAsia="zh-CN"/>
              </w:rPr>
              <w:t>其中</w:t>
            </w:r>
            <w:r>
              <w:rPr>
                <w:rFonts w:hint="eastAsia"/>
                <w:snapToGrid w:val="0"/>
                <w:color w:val="auto"/>
                <w:kern w:val="0"/>
                <w:sz w:val="24"/>
              </w:rPr>
              <w:t>喷漆工序在密闭喷漆房内进行</w:t>
            </w:r>
            <w:r>
              <w:rPr>
                <w:rFonts w:hint="eastAsia"/>
                <w:snapToGrid w:val="0"/>
                <w:color w:val="auto"/>
                <w:kern w:val="0"/>
                <w:sz w:val="24"/>
                <w:lang w:eastAsia="zh-CN"/>
              </w:rPr>
              <w:t>，</w:t>
            </w:r>
            <w:r>
              <w:rPr>
                <w:rFonts w:hint="eastAsia"/>
                <w:snapToGrid w:val="0"/>
                <w:color w:val="auto"/>
                <w:kern w:val="0"/>
                <w:sz w:val="24"/>
              </w:rPr>
              <w:t>喷漆过程中通过压缩空气使漆料形成雾状，喷涂在工件表面，但仍有一部分附着在工件表面，成为漆雾</w:t>
            </w:r>
            <w:r>
              <w:rPr>
                <w:rFonts w:hint="eastAsia"/>
                <w:snapToGrid w:val="0"/>
                <w:color w:val="auto"/>
                <w:kern w:val="0"/>
                <w:sz w:val="24"/>
                <w:lang w:eastAsia="zh-CN"/>
              </w:rPr>
              <w:t>；烘干工序在</w:t>
            </w:r>
            <w:r>
              <w:rPr>
                <w:rFonts w:hint="eastAsia"/>
                <w:snapToGrid w:val="0"/>
                <w:color w:val="auto"/>
                <w:kern w:val="0"/>
                <w:sz w:val="24"/>
                <w:lang w:val="en-US" w:eastAsia="zh-CN"/>
              </w:rPr>
              <w:t>1#</w:t>
            </w:r>
            <w:r>
              <w:rPr>
                <w:rFonts w:hint="eastAsia"/>
                <w:snapToGrid w:val="0"/>
                <w:color w:val="auto"/>
                <w:kern w:val="0"/>
                <w:sz w:val="24"/>
                <w:lang w:eastAsia="zh-CN"/>
              </w:rPr>
              <w:t>烘干房（长</w:t>
            </w:r>
            <w:r>
              <w:rPr>
                <w:rFonts w:hint="eastAsia"/>
                <w:snapToGrid w:val="0"/>
                <w:color w:val="auto"/>
                <w:kern w:val="0"/>
                <w:sz w:val="24"/>
                <w:lang w:val="en-US" w:eastAsia="zh-CN"/>
              </w:rPr>
              <w:t>8m，宽6m，高2.5m，体积为120m</w:t>
            </w:r>
            <w:r>
              <w:rPr>
                <w:rFonts w:hint="eastAsia"/>
                <w:snapToGrid w:val="0"/>
                <w:color w:val="auto"/>
                <w:kern w:val="0"/>
                <w:sz w:val="24"/>
                <w:vertAlign w:val="superscript"/>
                <w:lang w:val="en-US" w:eastAsia="zh-CN"/>
              </w:rPr>
              <w:t>3</w:t>
            </w:r>
            <w:r>
              <w:rPr>
                <w:rFonts w:hint="eastAsia"/>
                <w:snapToGrid w:val="0"/>
                <w:color w:val="auto"/>
                <w:kern w:val="0"/>
                <w:sz w:val="24"/>
                <w:lang w:eastAsia="zh-CN"/>
              </w:rPr>
              <w:t>）内进行，烘干温度为</w:t>
            </w:r>
            <w:r>
              <w:rPr>
                <w:rFonts w:hint="eastAsia"/>
                <w:snapToGrid w:val="0"/>
                <w:color w:val="auto"/>
                <w:kern w:val="0"/>
                <w:sz w:val="24"/>
                <w:lang w:val="en-US" w:eastAsia="zh-CN"/>
              </w:rPr>
              <w:t>120-150</w:t>
            </w:r>
            <w:r>
              <w:rPr>
                <w:rFonts w:hint="eastAsia"/>
                <w:color w:val="auto"/>
                <w:sz w:val="24"/>
              </w:rPr>
              <w:t>℃</w:t>
            </w:r>
            <w:r>
              <w:rPr>
                <w:rFonts w:hint="eastAsia"/>
                <w:color w:val="auto"/>
                <w:sz w:val="24"/>
                <w:lang w:eastAsia="zh-CN"/>
              </w:rPr>
              <w:t>，每批次烘干时间约</w:t>
            </w:r>
            <w:r>
              <w:rPr>
                <w:rFonts w:hint="eastAsia"/>
                <w:color w:val="auto"/>
                <w:sz w:val="24"/>
                <w:lang w:val="en-US" w:eastAsia="zh-CN"/>
              </w:rPr>
              <w:t>2h。</w:t>
            </w:r>
          </w:p>
          <w:p w14:paraId="44A4333E">
            <w:pPr>
              <w:adjustRightInd w:val="0"/>
              <w:snapToGrid w:val="0"/>
              <w:spacing w:line="360" w:lineRule="auto"/>
              <w:ind w:firstLine="480" w:firstLineChars="200"/>
              <w:rPr>
                <w:snapToGrid w:val="0"/>
                <w:color w:val="auto"/>
                <w:kern w:val="0"/>
                <w:sz w:val="24"/>
              </w:rPr>
            </w:pPr>
            <w:r>
              <w:rPr>
                <w:rFonts w:hint="eastAsia"/>
                <w:snapToGrid w:val="0"/>
                <w:color w:val="auto"/>
                <w:kern w:val="0"/>
                <w:sz w:val="24"/>
              </w:rPr>
              <w:t>根据《涂装技术实用手册》（叶扬祥，潘肇基：机械工业出版社），喷漆固体分附着率约为70%，即70%的漆料固分附着在工件表面，剩余30%形成漆雾。</w:t>
            </w:r>
          </w:p>
          <w:p w14:paraId="50EF9AD3">
            <w:pPr>
              <w:adjustRightInd w:val="0"/>
              <w:snapToGrid w:val="0"/>
              <w:spacing w:line="360" w:lineRule="auto"/>
              <w:ind w:firstLine="480" w:firstLineChars="200"/>
              <w:rPr>
                <w:snapToGrid w:val="0"/>
                <w:color w:val="auto"/>
                <w:kern w:val="0"/>
                <w:sz w:val="24"/>
              </w:rPr>
            </w:pPr>
            <w:r>
              <w:rPr>
                <w:rFonts w:hint="eastAsia"/>
                <w:snapToGrid w:val="0"/>
                <w:color w:val="auto"/>
                <w:kern w:val="0"/>
                <w:sz w:val="24"/>
              </w:rPr>
              <w:t>项目水性丙烯酸聚氨酯面漆用量为2t/a，在喷涂过程中，30%形成漆雾颗粒物，年喷漆时间</w:t>
            </w:r>
            <w:r>
              <w:rPr>
                <w:rFonts w:hint="eastAsia"/>
                <w:color w:val="auto"/>
                <w:kern w:val="0"/>
                <w:sz w:val="24"/>
              </w:rPr>
              <w:t>2</w:t>
            </w:r>
            <w:r>
              <w:rPr>
                <w:rFonts w:hint="eastAsia"/>
                <w:color w:val="auto"/>
                <w:kern w:val="0"/>
                <w:sz w:val="24"/>
                <w:lang w:val="en-US" w:eastAsia="zh-CN"/>
              </w:rPr>
              <w:t>35</w:t>
            </w:r>
            <w:r>
              <w:rPr>
                <w:color w:val="auto"/>
                <w:kern w:val="0"/>
                <w:sz w:val="24"/>
              </w:rPr>
              <w:t>0h</w:t>
            </w:r>
            <w:r>
              <w:rPr>
                <w:rFonts w:hint="eastAsia"/>
                <w:snapToGrid w:val="0"/>
                <w:color w:val="auto"/>
                <w:kern w:val="0"/>
                <w:sz w:val="24"/>
              </w:rPr>
              <w:t>，根据企业提供的MSDS、检测报告，水性丙烯酸聚氨酯面漆挥发性有机化合物的含量为84g/L</w:t>
            </w:r>
            <w:r>
              <w:rPr>
                <w:rFonts w:hint="eastAsia"/>
                <w:snapToGrid w:val="0"/>
                <w:color w:val="auto"/>
                <w:kern w:val="0"/>
                <w:sz w:val="24"/>
                <w:lang w:eastAsia="zh-CN"/>
              </w:rPr>
              <w:t>，固体分</w:t>
            </w:r>
            <w:r>
              <w:rPr>
                <w:bCs/>
                <w:color w:val="auto"/>
                <w:sz w:val="24"/>
              </w:rPr>
              <w:t>含量为</w:t>
            </w:r>
            <w:r>
              <w:rPr>
                <w:rFonts w:hint="eastAsia"/>
                <w:bCs/>
                <w:color w:val="auto"/>
                <w:sz w:val="24"/>
              </w:rPr>
              <w:t>7</w:t>
            </w:r>
            <w:r>
              <w:rPr>
                <w:rFonts w:hint="eastAsia"/>
                <w:bCs/>
                <w:color w:val="auto"/>
                <w:sz w:val="24"/>
                <w:lang w:val="en-US" w:eastAsia="zh-CN"/>
              </w:rPr>
              <w:t>0</w:t>
            </w:r>
            <w:r>
              <w:rPr>
                <w:bCs/>
                <w:color w:val="auto"/>
                <w:sz w:val="24"/>
              </w:rPr>
              <w:t>%</w:t>
            </w:r>
            <w:r>
              <w:rPr>
                <w:rFonts w:hint="eastAsia"/>
                <w:snapToGrid w:val="0"/>
                <w:color w:val="auto"/>
                <w:kern w:val="0"/>
                <w:sz w:val="24"/>
              </w:rPr>
              <w:t>，密度为1.2</w:t>
            </w:r>
            <w:r>
              <w:rPr>
                <w:rFonts w:hint="eastAsia"/>
                <w:snapToGrid w:val="0"/>
                <w:color w:val="auto"/>
                <w:kern w:val="0"/>
                <w:sz w:val="24"/>
                <w:lang w:eastAsia="zh-CN"/>
              </w:rPr>
              <w:t>—</w:t>
            </w:r>
            <w:r>
              <w:rPr>
                <w:rFonts w:hint="eastAsia"/>
                <w:snapToGrid w:val="0"/>
                <w:color w:val="auto"/>
                <w:kern w:val="0"/>
                <w:sz w:val="24"/>
              </w:rPr>
              <w:t>1.3g/cm</w:t>
            </w:r>
            <w:r>
              <w:rPr>
                <w:rFonts w:hint="eastAsia"/>
                <w:snapToGrid w:val="0"/>
                <w:color w:val="auto"/>
                <w:kern w:val="0"/>
                <w:sz w:val="24"/>
                <w:vertAlign w:val="superscript"/>
              </w:rPr>
              <w:t>3</w:t>
            </w:r>
            <w:r>
              <w:rPr>
                <w:rFonts w:hint="eastAsia"/>
                <w:snapToGrid w:val="0"/>
                <w:color w:val="auto"/>
                <w:kern w:val="0"/>
                <w:sz w:val="24"/>
              </w:rPr>
              <w:t>，根据《江苏省重点行业挥发性有机物排放量计算暂行办法》（苏环办</w:t>
            </w:r>
            <w:r>
              <w:rPr>
                <w:rFonts w:hint="eastAsia"/>
                <w:snapToGrid w:val="0"/>
                <w:color w:val="auto"/>
                <w:kern w:val="0"/>
                <w:sz w:val="24"/>
                <w:lang w:eastAsia="zh-CN"/>
              </w:rPr>
              <w:t>〔2016〕154号</w:t>
            </w:r>
            <w:r>
              <w:rPr>
                <w:rFonts w:hint="eastAsia"/>
                <w:snapToGrid w:val="0"/>
                <w:color w:val="auto"/>
                <w:kern w:val="0"/>
                <w:sz w:val="24"/>
              </w:rPr>
              <w:t>）“物料中VOCs含量可以以供货商提供的质检报告（MS/DS文件）为核定依据，如文件中的溶剂含量数据为百分比范围，取其范围中值”，因此，本次评价水性丙烯酸聚氨酯面漆密度取1.25g/cm</w:t>
            </w:r>
            <w:r>
              <w:rPr>
                <w:rFonts w:hint="eastAsia"/>
                <w:snapToGrid w:val="0"/>
                <w:color w:val="auto"/>
                <w:kern w:val="0"/>
                <w:sz w:val="24"/>
                <w:vertAlign w:val="superscript"/>
              </w:rPr>
              <w:t>3</w:t>
            </w:r>
            <w:r>
              <w:rPr>
                <w:rFonts w:hint="eastAsia"/>
                <w:snapToGrid w:val="0"/>
                <w:color w:val="auto"/>
                <w:kern w:val="0"/>
                <w:sz w:val="24"/>
              </w:rPr>
              <w:t>，则NMHC产生量</w:t>
            </w:r>
            <w:r>
              <w:rPr>
                <w:rFonts w:hint="eastAsia"/>
                <w:snapToGrid w:val="0"/>
                <w:color w:val="auto"/>
                <w:kern w:val="0"/>
                <w:sz w:val="24"/>
                <w:lang w:eastAsia="zh-CN"/>
              </w:rPr>
              <w:t>为</w:t>
            </w:r>
            <w:r>
              <w:rPr>
                <w:rFonts w:hint="eastAsia"/>
                <w:snapToGrid w:val="0"/>
                <w:color w:val="auto"/>
                <w:kern w:val="0"/>
                <w:sz w:val="24"/>
                <w:lang w:val="en-US" w:eastAsia="zh-CN"/>
              </w:rPr>
              <w:t>2t/a÷1.25</w:t>
            </w:r>
            <w:r>
              <w:rPr>
                <w:rFonts w:hint="eastAsia"/>
                <w:snapToGrid w:val="0"/>
                <w:color w:val="auto"/>
                <w:kern w:val="0"/>
                <w:sz w:val="24"/>
              </w:rPr>
              <w:t>g/cm</w:t>
            </w:r>
            <w:r>
              <w:rPr>
                <w:rFonts w:hint="eastAsia"/>
                <w:snapToGrid w:val="0"/>
                <w:color w:val="auto"/>
                <w:kern w:val="0"/>
                <w:sz w:val="24"/>
                <w:vertAlign w:val="superscript"/>
              </w:rPr>
              <w:t>3</w:t>
            </w:r>
            <w:r>
              <w:rPr>
                <w:rFonts w:hint="eastAsia"/>
                <w:snapToGrid w:val="0"/>
                <w:color w:val="auto"/>
                <w:kern w:val="0"/>
                <w:sz w:val="24"/>
                <w:vertAlign w:val="baseline"/>
              </w:rPr>
              <w:t>×</w:t>
            </w:r>
            <w:r>
              <w:rPr>
                <w:rFonts w:hint="eastAsia"/>
                <w:snapToGrid w:val="0"/>
                <w:color w:val="auto"/>
                <w:kern w:val="0"/>
                <w:sz w:val="24"/>
              </w:rPr>
              <w:t>84g/L</w:t>
            </w:r>
            <w:r>
              <w:rPr>
                <w:rFonts w:hint="eastAsia"/>
                <w:snapToGrid w:val="0"/>
                <w:color w:val="auto"/>
                <w:kern w:val="0"/>
                <w:sz w:val="24"/>
                <w:vertAlign w:val="baseline"/>
                <w:lang w:val="en-US" w:eastAsia="zh-CN"/>
              </w:rPr>
              <w:t>÷1000=</w:t>
            </w:r>
            <w:r>
              <w:rPr>
                <w:rFonts w:hint="eastAsia"/>
                <w:snapToGrid w:val="0"/>
                <w:color w:val="auto"/>
                <w:kern w:val="0"/>
                <w:sz w:val="24"/>
              </w:rPr>
              <w:t>0.1344t/a</w:t>
            </w:r>
            <w:r>
              <w:rPr>
                <w:rFonts w:hint="eastAsia"/>
                <w:snapToGrid w:val="0"/>
                <w:color w:val="auto"/>
                <w:kern w:val="0"/>
                <w:sz w:val="24"/>
                <w:lang w:eastAsia="zh-CN"/>
              </w:rPr>
              <w:t>，</w:t>
            </w:r>
            <w:r>
              <w:rPr>
                <w:rFonts w:hint="eastAsia"/>
                <w:snapToGrid w:val="0"/>
                <w:color w:val="auto"/>
                <w:kern w:val="0"/>
                <w:sz w:val="24"/>
              </w:rPr>
              <w:t>漆雾颗粒物产生量为</w:t>
            </w:r>
            <w:r>
              <w:rPr>
                <w:rFonts w:hint="eastAsia"/>
                <w:snapToGrid w:val="0"/>
                <w:color w:val="auto"/>
                <w:kern w:val="0"/>
                <w:sz w:val="24"/>
                <w:lang w:val="en-US" w:eastAsia="zh-CN"/>
              </w:rPr>
              <w:t>0.42</w:t>
            </w:r>
            <w:r>
              <w:rPr>
                <w:rFonts w:hint="eastAsia"/>
                <w:snapToGrid w:val="0"/>
                <w:color w:val="auto"/>
                <w:kern w:val="0"/>
                <w:sz w:val="24"/>
              </w:rPr>
              <w:t>t/a。</w:t>
            </w:r>
          </w:p>
          <w:p w14:paraId="6718022D">
            <w:pPr>
              <w:adjustRightInd w:val="0"/>
              <w:snapToGrid w:val="0"/>
              <w:spacing w:line="360" w:lineRule="auto"/>
              <w:ind w:firstLine="480" w:firstLineChars="200"/>
              <w:rPr>
                <w:snapToGrid w:val="0"/>
                <w:color w:val="auto"/>
                <w:kern w:val="0"/>
                <w:sz w:val="24"/>
              </w:rPr>
            </w:pPr>
            <w:r>
              <w:rPr>
                <w:rFonts w:hint="eastAsia"/>
                <w:snapToGrid w:val="0"/>
                <w:color w:val="auto"/>
                <w:kern w:val="0"/>
                <w:sz w:val="24"/>
              </w:rPr>
              <w:t>喷漆工段产生的废气主要分为两个部分：喷涂废气、烘干废气，有机废气大多在喷涂过程中挥发，参照</w:t>
            </w:r>
            <w:r>
              <w:rPr>
                <w:rFonts w:hint="eastAsia"/>
                <w:color w:val="auto"/>
                <w:sz w:val="24"/>
                <w:lang w:bidi="ar"/>
              </w:rPr>
              <w:t>《污染源源强核算技术指南</w:t>
            </w:r>
            <w:r>
              <w:rPr>
                <w:color w:val="auto"/>
                <w:sz w:val="24"/>
                <w:lang w:bidi="ar"/>
              </w:rPr>
              <w:t xml:space="preserve"> </w:t>
            </w:r>
            <w:r>
              <w:rPr>
                <w:rFonts w:hint="eastAsia"/>
                <w:color w:val="auto"/>
                <w:sz w:val="24"/>
                <w:lang w:bidi="ar"/>
              </w:rPr>
              <w:t>汽车制造》（</w:t>
            </w:r>
            <w:r>
              <w:rPr>
                <w:color w:val="auto"/>
                <w:sz w:val="24"/>
                <w:lang w:bidi="ar"/>
              </w:rPr>
              <w:t>HJ1097—2020</w:t>
            </w:r>
            <w:r>
              <w:rPr>
                <w:rFonts w:hint="eastAsia"/>
                <w:color w:val="auto"/>
                <w:sz w:val="24"/>
                <w:lang w:bidi="ar"/>
              </w:rPr>
              <w:t>），使用水性涂料进行零部件静电喷涂过程中，喷涂、烘干（含热流平）工段有机溶剂挥发量占比按</w:t>
            </w:r>
            <w:r>
              <w:rPr>
                <w:color w:val="auto"/>
                <w:sz w:val="24"/>
                <w:lang w:bidi="ar"/>
              </w:rPr>
              <w:t>7:3</w:t>
            </w:r>
            <w:r>
              <w:rPr>
                <w:rFonts w:hint="eastAsia"/>
                <w:color w:val="auto"/>
                <w:sz w:val="24"/>
                <w:lang w:bidi="ar"/>
              </w:rPr>
              <w:t>计算</w:t>
            </w:r>
            <w:r>
              <w:rPr>
                <w:rFonts w:hint="eastAsia"/>
                <w:snapToGrid w:val="0"/>
                <w:color w:val="auto"/>
                <w:kern w:val="0"/>
                <w:sz w:val="24"/>
              </w:rPr>
              <w:t>。</w:t>
            </w:r>
          </w:p>
          <w:p w14:paraId="6810B24D">
            <w:pPr>
              <w:adjustRightInd w:val="0"/>
              <w:snapToGrid w:val="0"/>
              <w:spacing w:line="360" w:lineRule="auto"/>
              <w:ind w:firstLine="480" w:firstLineChars="200"/>
              <w:rPr>
                <w:color w:val="auto"/>
                <w:kern w:val="0"/>
                <w:sz w:val="24"/>
              </w:rPr>
            </w:pPr>
            <w:r>
              <w:rPr>
                <w:rFonts w:hint="eastAsia"/>
                <w:color w:val="auto"/>
                <w:kern w:val="0"/>
                <w:sz w:val="24"/>
              </w:rPr>
              <w:t>A.喷漆废气</w:t>
            </w:r>
          </w:p>
          <w:p w14:paraId="49656D16">
            <w:pPr>
              <w:adjustRightInd w:val="0"/>
              <w:snapToGrid w:val="0"/>
              <w:spacing w:line="360" w:lineRule="auto"/>
              <w:ind w:firstLine="480" w:firstLineChars="200"/>
              <w:rPr>
                <w:bCs/>
                <w:color w:val="auto"/>
                <w:sz w:val="24"/>
              </w:rPr>
            </w:pPr>
            <w:r>
              <w:rPr>
                <w:rFonts w:hint="eastAsia"/>
                <w:color w:val="auto"/>
                <w:kern w:val="0"/>
                <w:sz w:val="24"/>
              </w:rPr>
              <w:t>项目喷涂工序颗粒物产生量为</w:t>
            </w:r>
            <w:r>
              <w:rPr>
                <w:rFonts w:hint="eastAsia"/>
                <w:snapToGrid w:val="0"/>
                <w:color w:val="auto"/>
                <w:kern w:val="0"/>
                <w:sz w:val="24"/>
                <w:lang w:val="en-US" w:eastAsia="zh-CN"/>
              </w:rPr>
              <w:t>0.42</w:t>
            </w:r>
            <w:r>
              <w:rPr>
                <w:rFonts w:hint="eastAsia"/>
                <w:snapToGrid w:val="0"/>
                <w:color w:val="auto"/>
                <w:kern w:val="0"/>
                <w:sz w:val="24"/>
              </w:rPr>
              <w:t>t/a，NMHC产生量为0.0941t/a。</w:t>
            </w:r>
            <w:r>
              <w:rPr>
                <w:rFonts w:hint="eastAsia"/>
                <w:color w:val="auto"/>
                <w:kern w:val="0"/>
                <w:sz w:val="24"/>
              </w:rPr>
              <w:t>经密闭</w:t>
            </w:r>
            <w:r>
              <w:rPr>
                <w:rFonts w:hint="eastAsia"/>
                <w:color w:val="auto"/>
                <w:kern w:val="0"/>
                <w:sz w:val="24"/>
                <w:lang w:eastAsia="zh-CN"/>
              </w:rPr>
              <w:t>车间负压</w:t>
            </w:r>
            <w:r>
              <w:rPr>
                <w:rFonts w:hint="eastAsia"/>
                <w:color w:val="auto"/>
                <w:kern w:val="0"/>
                <w:sz w:val="24"/>
              </w:rPr>
              <w:t>收集</w:t>
            </w:r>
            <w:r>
              <w:rPr>
                <w:rFonts w:hint="eastAsia"/>
                <w:color w:val="auto"/>
                <w:kern w:val="0"/>
                <w:sz w:val="24"/>
                <w:lang w:val="en-US" w:eastAsia="zh-CN"/>
              </w:rPr>
              <w:t>+</w:t>
            </w:r>
            <w:r>
              <w:rPr>
                <w:rFonts w:hint="eastAsia"/>
                <w:color w:val="auto"/>
                <w:kern w:val="0"/>
                <w:sz w:val="24"/>
              </w:rPr>
              <w:t>干式过滤棉+二级活性炭处理装置处理后</w:t>
            </w:r>
            <w:r>
              <w:rPr>
                <w:rFonts w:hint="eastAsia"/>
                <w:color w:val="auto"/>
                <w:kern w:val="0"/>
                <w:sz w:val="24"/>
                <w:lang w:eastAsia="zh-CN"/>
              </w:rPr>
              <w:t>，</w:t>
            </w:r>
            <w:r>
              <w:rPr>
                <w:rFonts w:hint="eastAsia"/>
                <w:color w:val="auto"/>
                <w:kern w:val="0"/>
                <w:sz w:val="24"/>
              </w:rPr>
              <w:t>通过1根15米高</w:t>
            </w:r>
            <w:r>
              <w:rPr>
                <w:rFonts w:hint="eastAsia"/>
                <w:color w:val="auto"/>
                <w:kern w:val="0"/>
                <w:sz w:val="24"/>
                <w:lang w:val="en-US" w:eastAsia="zh-CN"/>
              </w:rPr>
              <w:t>2</w:t>
            </w:r>
            <w:r>
              <w:rPr>
                <w:rFonts w:hint="eastAsia"/>
                <w:color w:val="auto"/>
                <w:kern w:val="0"/>
                <w:sz w:val="24"/>
              </w:rPr>
              <w:t>#排气筒排放。设计</w:t>
            </w:r>
            <w:r>
              <w:rPr>
                <w:color w:val="auto"/>
                <w:kern w:val="0"/>
                <w:sz w:val="24"/>
              </w:rPr>
              <w:t>风量为</w:t>
            </w:r>
            <w:r>
              <w:rPr>
                <w:rFonts w:hint="eastAsia"/>
                <w:color w:val="auto"/>
                <w:kern w:val="0"/>
                <w:sz w:val="24"/>
              </w:rPr>
              <w:t>5</w:t>
            </w:r>
            <w:r>
              <w:rPr>
                <w:color w:val="auto"/>
                <w:kern w:val="0"/>
                <w:sz w:val="24"/>
              </w:rPr>
              <w:t>000m</w:t>
            </w:r>
            <w:r>
              <w:rPr>
                <w:color w:val="auto"/>
                <w:kern w:val="0"/>
                <w:sz w:val="24"/>
                <w:vertAlign w:val="superscript"/>
              </w:rPr>
              <w:t>3</w:t>
            </w:r>
            <w:r>
              <w:rPr>
                <w:color w:val="auto"/>
                <w:kern w:val="0"/>
                <w:sz w:val="24"/>
              </w:rPr>
              <w:t>/h，年工作</w:t>
            </w:r>
            <w:r>
              <w:rPr>
                <w:rFonts w:hint="eastAsia"/>
                <w:color w:val="auto"/>
                <w:kern w:val="0"/>
                <w:sz w:val="24"/>
              </w:rPr>
              <w:t>2</w:t>
            </w:r>
            <w:r>
              <w:rPr>
                <w:rFonts w:hint="eastAsia"/>
                <w:color w:val="auto"/>
                <w:kern w:val="0"/>
                <w:sz w:val="24"/>
                <w:lang w:val="en-US" w:eastAsia="zh-CN"/>
              </w:rPr>
              <w:t>35</w:t>
            </w:r>
            <w:r>
              <w:rPr>
                <w:color w:val="auto"/>
                <w:kern w:val="0"/>
                <w:sz w:val="24"/>
              </w:rPr>
              <w:t>0h，收集效率</w:t>
            </w:r>
            <w:r>
              <w:rPr>
                <w:rFonts w:hint="eastAsia"/>
                <w:color w:val="auto"/>
                <w:kern w:val="0"/>
                <w:sz w:val="24"/>
              </w:rPr>
              <w:t>取95</w:t>
            </w:r>
            <w:r>
              <w:rPr>
                <w:color w:val="auto"/>
                <w:kern w:val="0"/>
                <w:sz w:val="24"/>
              </w:rPr>
              <w:t>%</w:t>
            </w:r>
            <w:r>
              <w:rPr>
                <w:rFonts w:hint="eastAsia"/>
                <w:color w:val="auto"/>
                <w:kern w:val="0"/>
                <w:sz w:val="24"/>
                <w:lang w:eastAsia="zh-CN"/>
              </w:rPr>
              <w:t>，</w:t>
            </w:r>
            <w:r>
              <w:rPr>
                <w:color w:val="auto"/>
                <w:kern w:val="0"/>
                <w:sz w:val="24"/>
              </w:rPr>
              <w:t>处理效率为9</w:t>
            </w:r>
            <w:r>
              <w:rPr>
                <w:rFonts w:hint="eastAsia"/>
                <w:color w:val="auto"/>
                <w:kern w:val="0"/>
                <w:sz w:val="24"/>
              </w:rPr>
              <w:t>0</w:t>
            </w:r>
            <w:r>
              <w:rPr>
                <w:color w:val="auto"/>
                <w:kern w:val="0"/>
                <w:sz w:val="24"/>
              </w:rPr>
              <w:t>%，</w:t>
            </w:r>
            <w:r>
              <w:rPr>
                <w:rFonts w:hint="eastAsia"/>
                <w:color w:val="auto"/>
                <w:kern w:val="0"/>
                <w:sz w:val="24"/>
                <w:lang w:eastAsia="zh-CN"/>
              </w:rPr>
              <w:t>细颗粒物</w:t>
            </w:r>
            <w:r>
              <w:rPr>
                <w:color w:val="auto"/>
                <w:kern w:val="0"/>
                <w:sz w:val="24"/>
              </w:rPr>
              <w:t>有组织产生量为</w:t>
            </w:r>
            <w:r>
              <w:rPr>
                <w:rFonts w:hint="eastAsia"/>
                <w:color w:val="auto"/>
                <w:kern w:val="0"/>
                <w:sz w:val="24"/>
                <w:lang w:val="en-US" w:eastAsia="zh-CN"/>
              </w:rPr>
              <w:t>0.399</w:t>
            </w:r>
            <w:r>
              <w:rPr>
                <w:color w:val="auto"/>
                <w:kern w:val="0"/>
                <w:sz w:val="24"/>
              </w:rPr>
              <w:t>t/a</w:t>
            </w:r>
            <w:r>
              <w:rPr>
                <w:rFonts w:hint="eastAsia"/>
                <w:color w:val="auto"/>
                <w:kern w:val="0"/>
                <w:sz w:val="24"/>
              </w:rPr>
              <w:t>（0.</w:t>
            </w:r>
            <w:r>
              <w:rPr>
                <w:rFonts w:hint="eastAsia"/>
                <w:color w:val="auto"/>
                <w:kern w:val="0"/>
                <w:sz w:val="24"/>
                <w:lang w:val="en-US" w:eastAsia="zh-CN"/>
              </w:rPr>
              <w:t>1698</w:t>
            </w:r>
            <w:r>
              <w:rPr>
                <w:color w:val="auto"/>
                <w:kern w:val="0"/>
                <w:sz w:val="24"/>
              </w:rPr>
              <w:t>kg/h</w:t>
            </w:r>
            <w:r>
              <w:rPr>
                <w:rFonts w:hint="eastAsia"/>
                <w:color w:val="auto"/>
                <w:kern w:val="0"/>
                <w:sz w:val="24"/>
              </w:rPr>
              <w:t>，</w:t>
            </w:r>
            <w:r>
              <w:rPr>
                <w:rFonts w:hint="eastAsia"/>
                <w:color w:val="auto"/>
                <w:kern w:val="0"/>
                <w:sz w:val="24"/>
                <w:lang w:val="en-US" w:eastAsia="zh-CN"/>
              </w:rPr>
              <w:t>34</w:t>
            </w:r>
            <w:r>
              <w:rPr>
                <w:color w:val="auto"/>
                <w:kern w:val="0"/>
                <w:sz w:val="24"/>
              </w:rPr>
              <w:t>mg/m</w:t>
            </w:r>
            <w:r>
              <w:rPr>
                <w:color w:val="auto"/>
                <w:kern w:val="0"/>
                <w:sz w:val="24"/>
                <w:vertAlign w:val="superscript"/>
              </w:rPr>
              <w:t>3</w:t>
            </w:r>
            <w:r>
              <w:rPr>
                <w:rFonts w:hint="eastAsia"/>
                <w:color w:val="auto"/>
                <w:kern w:val="0"/>
                <w:sz w:val="24"/>
              </w:rPr>
              <w:t>）、</w:t>
            </w:r>
            <w:r>
              <w:rPr>
                <w:rFonts w:hint="eastAsia"/>
                <w:snapToGrid w:val="0"/>
                <w:color w:val="auto"/>
                <w:kern w:val="0"/>
                <w:sz w:val="24"/>
              </w:rPr>
              <w:t>NMHC</w:t>
            </w:r>
            <w:r>
              <w:rPr>
                <w:color w:val="auto"/>
                <w:kern w:val="0"/>
                <w:sz w:val="24"/>
              </w:rPr>
              <w:t>有组织产生量为</w:t>
            </w:r>
            <w:r>
              <w:rPr>
                <w:rFonts w:hint="eastAsia"/>
                <w:color w:val="auto"/>
                <w:kern w:val="0"/>
                <w:sz w:val="24"/>
              </w:rPr>
              <w:t>0.0894</w:t>
            </w:r>
            <w:r>
              <w:rPr>
                <w:color w:val="auto"/>
                <w:kern w:val="0"/>
                <w:sz w:val="24"/>
              </w:rPr>
              <w:t>t/a</w:t>
            </w:r>
            <w:r>
              <w:rPr>
                <w:rFonts w:hint="eastAsia"/>
                <w:color w:val="auto"/>
                <w:kern w:val="0"/>
                <w:sz w:val="24"/>
              </w:rPr>
              <w:t>（0.0</w:t>
            </w:r>
            <w:r>
              <w:rPr>
                <w:rFonts w:hint="eastAsia"/>
                <w:color w:val="auto"/>
                <w:kern w:val="0"/>
                <w:sz w:val="24"/>
                <w:lang w:val="en-US" w:eastAsia="zh-CN"/>
              </w:rPr>
              <w:t>380</w:t>
            </w:r>
            <w:r>
              <w:rPr>
                <w:color w:val="auto"/>
                <w:kern w:val="0"/>
                <w:sz w:val="24"/>
              </w:rPr>
              <w:t>kg/h</w:t>
            </w:r>
            <w:r>
              <w:rPr>
                <w:rFonts w:hint="eastAsia"/>
                <w:color w:val="auto"/>
                <w:kern w:val="0"/>
                <w:sz w:val="24"/>
              </w:rPr>
              <w:t>、7.</w:t>
            </w:r>
            <w:r>
              <w:rPr>
                <w:rFonts w:hint="eastAsia"/>
                <w:color w:val="auto"/>
                <w:kern w:val="0"/>
                <w:sz w:val="24"/>
                <w:lang w:val="en-US" w:eastAsia="zh-CN"/>
              </w:rPr>
              <w:t>6</w:t>
            </w:r>
            <w:r>
              <w:rPr>
                <w:color w:val="auto"/>
                <w:kern w:val="0"/>
                <w:sz w:val="24"/>
              </w:rPr>
              <w:t>mg/m</w:t>
            </w:r>
            <w:r>
              <w:rPr>
                <w:color w:val="auto"/>
                <w:kern w:val="0"/>
                <w:sz w:val="24"/>
                <w:vertAlign w:val="superscript"/>
              </w:rPr>
              <w:t>3</w:t>
            </w:r>
            <w:r>
              <w:rPr>
                <w:rFonts w:hint="eastAsia"/>
                <w:color w:val="auto"/>
                <w:kern w:val="0"/>
                <w:sz w:val="24"/>
              </w:rPr>
              <w:t>）</w:t>
            </w:r>
            <w:r>
              <w:rPr>
                <w:rFonts w:hint="eastAsia"/>
                <w:color w:val="auto"/>
                <w:kern w:val="0"/>
                <w:sz w:val="24"/>
                <w:lang w:eastAsia="zh-CN"/>
              </w:rPr>
              <w:t>，</w:t>
            </w:r>
            <w:r>
              <w:rPr>
                <w:rFonts w:hint="eastAsia"/>
                <w:color w:val="auto"/>
                <w:kern w:val="0"/>
                <w:sz w:val="24"/>
              </w:rPr>
              <w:t>颗粒物</w:t>
            </w:r>
            <w:r>
              <w:rPr>
                <w:color w:val="auto"/>
                <w:kern w:val="0"/>
                <w:sz w:val="24"/>
              </w:rPr>
              <w:t>有组织排放量为</w:t>
            </w:r>
            <w:r>
              <w:rPr>
                <w:rFonts w:hint="eastAsia"/>
                <w:color w:val="auto"/>
                <w:kern w:val="0"/>
                <w:sz w:val="24"/>
                <w:lang w:val="en-US" w:eastAsia="zh-CN"/>
              </w:rPr>
              <w:t>0.0399</w:t>
            </w:r>
            <w:r>
              <w:rPr>
                <w:color w:val="auto"/>
                <w:kern w:val="0"/>
                <w:sz w:val="24"/>
              </w:rPr>
              <w:t>t/a</w:t>
            </w:r>
            <w:r>
              <w:rPr>
                <w:rFonts w:hint="eastAsia"/>
                <w:color w:val="auto"/>
                <w:kern w:val="0"/>
                <w:sz w:val="24"/>
              </w:rPr>
              <w:t>（</w:t>
            </w:r>
            <w:r>
              <w:rPr>
                <w:rFonts w:hint="eastAsia"/>
                <w:color w:val="auto"/>
                <w:kern w:val="0"/>
                <w:sz w:val="24"/>
                <w:lang w:val="en-US" w:eastAsia="zh-CN"/>
              </w:rPr>
              <w:t>0.017</w:t>
            </w:r>
            <w:r>
              <w:rPr>
                <w:color w:val="auto"/>
                <w:kern w:val="0"/>
                <w:sz w:val="24"/>
              </w:rPr>
              <w:t>kg/h</w:t>
            </w:r>
            <w:r>
              <w:rPr>
                <w:rFonts w:hint="eastAsia"/>
                <w:color w:val="auto"/>
                <w:kern w:val="0"/>
                <w:sz w:val="24"/>
              </w:rPr>
              <w:t>、</w:t>
            </w:r>
            <w:r>
              <w:rPr>
                <w:rFonts w:hint="eastAsia"/>
                <w:color w:val="auto"/>
                <w:kern w:val="0"/>
                <w:sz w:val="24"/>
                <w:lang w:val="en-US" w:eastAsia="zh-CN"/>
              </w:rPr>
              <w:t>3.4</w:t>
            </w:r>
            <w:r>
              <w:rPr>
                <w:color w:val="auto"/>
                <w:kern w:val="0"/>
                <w:sz w:val="24"/>
              </w:rPr>
              <w:t>mg/m</w:t>
            </w:r>
            <w:r>
              <w:rPr>
                <w:color w:val="auto"/>
                <w:kern w:val="0"/>
                <w:sz w:val="24"/>
                <w:vertAlign w:val="superscript"/>
              </w:rPr>
              <w:t>3</w:t>
            </w:r>
            <w:r>
              <w:rPr>
                <w:rFonts w:hint="eastAsia"/>
                <w:color w:val="auto"/>
                <w:kern w:val="0"/>
                <w:sz w:val="24"/>
              </w:rPr>
              <w:t>），</w:t>
            </w:r>
            <w:r>
              <w:rPr>
                <w:rFonts w:hint="eastAsia"/>
                <w:snapToGrid w:val="0"/>
                <w:color w:val="auto"/>
                <w:kern w:val="0"/>
                <w:sz w:val="24"/>
              </w:rPr>
              <w:t>NMHC</w:t>
            </w:r>
            <w:r>
              <w:rPr>
                <w:color w:val="auto"/>
                <w:kern w:val="0"/>
                <w:sz w:val="24"/>
              </w:rPr>
              <w:t>有组织排放量为</w:t>
            </w:r>
            <w:r>
              <w:rPr>
                <w:rFonts w:hint="eastAsia"/>
                <w:color w:val="auto"/>
                <w:kern w:val="0"/>
                <w:sz w:val="24"/>
              </w:rPr>
              <w:t>0.0089</w:t>
            </w:r>
            <w:r>
              <w:rPr>
                <w:color w:val="auto"/>
                <w:kern w:val="0"/>
                <w:sz w:val="24"/>
              </w:rPr>
              <w:t>t/a</w:t>
            </w:r>
            <w:r>
              <w:rPr>
                <w:rFonts w:hint="eastAsia"/>
                <w:color w:val="auto"/>
                <w:kern w:val="0"/>
                <w:sz w:val="24"/>
              </w:rPr>
              <w:t>（0.003</w:t>
            </w:r>
            <w:r>
              <w:rPr>
                <w:rFonts w:hint="eastAsia"/>
                <w:color w:val="auto"/>
                <w:kern w:val="0"/>
                <w:sz w:val="24"/>
                <w:lang w:val="en-US" w:eastAsia="zh-CN"/>
              </w:rPr>
              <w:t>8</w:t>
            </w:r>
            <w:r>
              <w:rPr>
                <w:color w:val="auto"/>
                <w:kern w:val="0"/>
                <w:sz w:val="24"/>
              </w:rPr>
              <w:t>kg/h</w:t>
            </w:r>
            <w:r>
              <w:rPr>
                <w:rFonts w:hint="eastAsia"/>
                <w:color w:val="auto"/>
                <w:kern w:val="0"/>
                <w:sz w:val="24"/>
              </w:rPr>
              <w:t>、0.7</w:t>
            </w:r>
            <w:r>
              <w:rPr>
                <w:rFonts w:hint="eastAsia"/>
                <w:color w:val="auto"/>
                <w:kern w:val="0"/>
                <w:sz w:val="24"/>
                <w:lang w:val="en-US" w:eastAsia="zh-CN"/>
              </w:rPr>
              <w:t>6</w:t>
            </w:r>
            <w:r>
              <w:rPr>
                <w:color w:val="auto"/>
                <w:kern w:val="0"/>
                <w:sz w:val="24"/>
              </w:rPr>
              <w:t>mg/m</w:t>
            </w:r>
            <w:r>
              <w:rPr>
                <w:color w:val="auto"/>
                <w:kern w:val="0"/>
                <w:sz w:val="24"/>
                <w:vertAlign w:val="superscript"/>
              </w:rPr>
              <w:t>3</w:t>
            </w:r>
            <w:r>
              <w:rPr>
                <w:rFonts w:hint="eastAsia"/>
                <w:color w:val="auto"/>
                <w:kern w:val="0"/>
                <w:sz w:val="24"/>
              </w:rPr>
              <w:t>）</w:t>
            </w:r>
            <w:bookmarkEnd w:id="26"/>
            <w:r>
              <w:rPr>
                <w:rFonts w:hint="eastAsia"/>
                <w:color w:val="auto"/>
                <w:kern w:val="0"/>
                <w:sz w:val="24"/>
              </w:rPr>
              <w:t>，</w:t>
            </w:r>
            <w:r>
              <w:rPr>
                <w:rFonts w:hint="eastAsia"/>
                <w:bCs/>
                <w:color w:val="auto"/>
                <w:sz w:val="24"/>
              </w:rPr>
              <w:t>颗粒物无组织</w:t>
            </w:r>
            <w:r>
              <w:rPr>
                <w:color w:val="auto"/>
                <w:kern w:val="0"/>
                <w:sz w:val="24"/>
              </w:rPr>
              <w:t>排放</w:t>
            </w:r>
            <w:r>
              <w:rPr>
                <w:rFonts w:hint="eastAsia"/>
                <w:bCs/>
                <w:color w:val="auto"/>
                <w:sz w:val="24"/>
              </w:rPr>
              <w:t>量为</w:t>
            </w:r>
            <w:r>
              <w:rPr>
                <w:rFonts w:hint="eastAsia"/>
                <w:bCs/>
                <w:color w:val="auto"/>
                <w:sz w:val="24"/>
                <w:lang w:val="en-US" w:eastAsia="zh-CN"/>
              </w:rPr>
              <w:t>0.021</w:t>
            </w:r>
            <w:r>
              <w:rPr>
                <w:rFonts w:hint="eastAsia"/>
                <w:bCs/>
                <w:color w:val="auto"/>
                <w:sz w:val="24"/>
              </w:rPr>
              <w:t>t/a（</w:t>
            </w:r>
            <w:r>
              <w:rPr>
                <w:rFonts w:hint="eastAsia"/>
                <w:color w:val="auto"/>
                <w:kern w:val="0"/>
                <w:sz w:val="24"/>
              </w:rPr>
              <w:t>0.0</w:t>
            </w:r>
            <w:r>
              <w:rPr>
                <w:rFonts w:hint="eastAsia"/>
                <w:color w:val="auto"/>
                <w:kern w:val="0"/>
                <w:sz w:val="24"/>
                <w:lang w:val="en-US" w:eastAsia="zh-CN"/>
              </w:rPr>
              <w:t>089</w:t>
            </w:r>
            <w:r>
              <w:rPr>
                <w:rFonts w:hint="eastAsia"/>
                <w:color w:val="auto"/>
                <w:kern w:val="0"/>
                <w:sz w:val="24"/>
              </w:rPr>
              <w:t>k</w:t>
            </w:r>
            <w:r>
              <w:rPr>
                <w:color w:val="auto"/>
                <w:kern w:val="0"/>
                <w:sz w:val="24"/>
              </w:rPr>
              <w:t>g/h</w:t>
            </w:r>
            <w:r>
              <w:rPr>
                <w:rFonts w:hint="eastAsia"/>
                <w:bCs/>
                <w:color w:val="auto"/>
                <w:sz w:val="24"/>
              </w:rPr>
              <w:t>），NMHC无组织</w:t>
            </w:r>
            <w:r>
              <w:rPr>
                <w:color w:val="auto"/>
                <w:kern w:val="0"/>
                <w:sz w:val="24"/>
              </w:rPr>
              <w:t>排放</w:t>
            </w:r>
            <w:r>
              <w:rPr>
                <w:rFonts w:hint="eastAsia"/>
                <w:bCs/>
                <w:color w:val="auto"/>
                <w:sz w:val="24"/>
              </w:rPr>
              <w:t>量为0.0047t/a（</w:t>
            </w:r>
            <w:r>
              <w:rPr>
                <w:rFonts w:hint="eastAsia"/>
                <w:color w:val="auto"/>
                <w:kern w:val="0"/>
                <w:sz w:val="24"/>
              </w:rPr>
              <w:t>0.002k</w:t>
            </w:r>
            <w:r>
              <w:rPr>
                <w:color w:val="auto"/>
                <w:kern w:val="0"/>
                <w:sz w:val="24"/>
              </w:rPr>
              <w:t>g/h</w:t>
            </w:r>
            <w:r>
              <w:rPr>
                <w:rFonts w:hint="eastAsia"/>
                <w:bCs/>
                <w:color w:val="auto"/>
                <w:sz w:val="24"/>
              </w:rPr>
              <w:t>）</w:t>
            </w:r>
            <w:r>
              <w:rPr>
                <w:rFonts w:hint="eastAsia"/>
                <w:color w:val="auto"/>
                <w:kern w:val="0"/>
                <w:sz w:val="24"/>
              </w:rPr>
              <w:t>。</w:t>
            </w:r>
          </w:p>
          <w:p w14:paraId="52FDC8E7">
            <w:pPr>
              <w:adjustRightInd w:val="0"/>
              <w:snapToGrid w:val="0"/>
              <w:spacing w:line="360" w:lineRule="auto"/>
              <w:ind w:firstLine="480" w:firstLineChars="200"/>
              <w:rPr>
                <w:bCs/>
                <w:color w:val="auto"/>
                <w:sz w:val="24"/>
              </w:rPr>
            </w:pPr>
            <w:r>
              <w:rPr>
                <w:rFonts w:hint="eastAsia"/>
                <w:bCs/>
                <w:color w:val="auto"/>
                <w:sz w:val="24"/>
              </w:rPr>
              <w:t>B.烘干废气</w:t>
            </w:r>
          </w:p>
          <w:p w14:paraId="788C188B">
            <w:pPr>
              <w:adjustRightInd w:val="0"/>
              <w:snapToGrid w:val="0"/>
              <w:spacing w:line="360" w:lineRule="auto"/>
              <w:ind w:firstLine="480" w:firstLineChars="200"/>
              <w:rPr>
                <w:bCs/>
                <w:color w:val="auto"/>
                <w:sz w:val="24"/>
              </w:rPr>
            </w:pPr>
            <w:r>
              <w:rPr>
                <w:rFonts w:hint="eastAsia"/>
                <w:bCs/>
                <w:color w:val="auto"/>
                <w:sz w:val="24"/>
              </w:rPr>
              <w:t>喷漆后需烘干处理，其烘干过程中工件表面的油漆挥发形成有机废气，烘干废气占有机废气的30%，则</w:t>
            </w:r>
            <w:r>
              <w:rPr>
                <w:rFonts w:hint="eastAsia"/>
                <w:bCs/>
                <w:color w:val="auto"/>
                <w:sz w:val="24"/>
                <w:lang w:eastAsia="zh-CN"/>
              </w:rPr>
              <w:t>烘干</w:t>
            </w:r>
            <w:r>
              <w:rPr>
                <w:rFonts w:hint="eastAsia"/>
                <w:bCs/>
                <w:color w:val="auto"/>
                <w:sz w:val="24"/>
              </w:rPr>
              <w:t>工序NMHC的产生量为0.0403</w:t>
            </w:r>
            <w:r>
              <w:rPr>
                <w:color w:val="auto"/>
                <w:kern w:val="0"/>
                <w:sz w:val="24"/>
              </w:rPr>
              <w:t>t/a</w:t>
            </w:r>
            <w:r>
              <w:rPr>
                <w:rFonts w:hint="eastAsia"/>
                <w:color w:val="auto"/>
                <w:kern w:val="0"/>
                <w:sz w:val="24"/>
              </w:rPr>
              <w:t>。</w:t>
            </w:r>
            <w:r>
              <w:rPr>
                <w:rFonts w:hint="eastAsia"/>
                <w:bCs/>
                <w:color w:val="auto"/>
                <w:sz w:val="24"/>
                <w:lang w:eastAsia="zh-CN"/>
              </w:rPr>
              <w:t>烘干废气经密闭车间负压收集</w:t>
            </w:r>
            <w:r>
              <w:rPr>
                <w:rFonts w:hint="eastAsia"/>
                <w:bCs/>
                <w:color w:val="auto"/>
                <w:sz w:val="24"/>
                <w:lang w:val="en-US" w:eastAsia="zh-CN"/>
              </w:rPr>
              <w:t>+</w:t>
            </w:r>
            <w:r>
              <w:rPr>
                <w:rFonts w:hint="eastAsia"/>
                <w:color w:val="auto"/>
                <w:kern w:val="0"/>
                <w:sz w:val="24"/>
              </w:rPr>
              <w:t>干式过滤棉+二级活性炭处理装置处理后</w:t>
            </w:r>
            <w:r>
              <w:rPr>
                <w:rFonts w:hint="eastAsia"/>
                <w:color w:val="auto"/>
                <w:kern w:val="0"/>
                <w:sz w:val="24"/>
                <w:lang w:eastAsia="zh-CN"/>
              </w:rPr>
              <w:t>，</w:t>
            </w:r>
            <w:r>
              <w:rPr>
                <w:rFonts w:hint="eastAsia"/>
                <w:color w:val="auto"/>
                <w:kern w:val="0"/>
                <w:sz w:val="24"/>
              </w:rPr>
              <w:t>通过1根15米高</w:t>
            </w:r>
            <w:r>
              <w:rPr>
                <w:rFonts w:hint="eastAsia"/>
                <w:color w:val="auto"/>
                <w:kern w:val="0"/>
                <w:sz w:val="24"/>
                <w:lang w:val="en-US" w:eastAsia="zh-CN"/>
              </w:rPr>
              <w:t>2</w:t>
            </w:r>
            <w:r>
              <w:rPr>
                <w:rFonts w:hint="eastAsia"/>
                <w:color w:val="auto"/>
                <w:kern w:val="0"/>
                <w:sz w:val="24"/>
              </w:rPr>
              <w:t>#排气筒排放</w:t>
            </w:r>
            <w:r>
              <w:rPr>
                <w:rFonts w:hint="eastAsia"/>
                <w:bCs/>
                <w:color w:val="auto"/>
                <w:sz w:val="24"/>
                <w:lang w:eastAsia="zh-CN"/>
              </w:rPr>
              <w:t>，</w:t>
            </w:r>
            <w:r>
              <w:rPr>
                <w:rFonts w:hint="eastAsia"/>
                <w:color w:val="auto"/>
                <w:kern w:val="0"/>
                <w:sz w:val="24"/>
              </w:rPr>
              <w:t>设计</w:t>
            </w:r>
            <w:r>
              <w:rPr>
                <w:color w:val="auto"/>
                <w:kern w:val="0"/>
                <w:sz w:val="24"/>
              </w:rPr>
              <w:t>风量为</w:t>
            </w:r>
            <w:r>
              <w:rPr>
                <w:rFonts w:hint="eastAsia"/>
                <w:color w:val="auto"/>
                <w:kern w:val="0"/>
                <w:sz w:val="24"/>
              </w:rPr>
              <w:t>3</w:t>
            </w:r>
            <w:r>
              <w:rPr>
                <w:color w:val="auto"/>
                <w:kern w:val="0"/>
                <w:sz w:val="24"/>
              </w:rPr>
              <w:t>000m</w:t>
            </w:r>
            <w:r>
              <w:rPr>
                <w:color w:val="auto"/>
                <w:kern w:val="0"/>
                <w:sz w:val="24"/>
                <w:vertAlign w:val="superscript"/>
              </w:rPr>
              <w:t>3</w:t>
            </w:r>
            <w:r>
              <w:rPr>
                <w:color w:val="auto"/>
                <w:kern w:val="0"/>
                <w:sz w:val="24"/>
              </w:rPr>
              <w:t>/h，年工作</w:t>
            </w:r>
            <w:r>
              <w:rPr>
                <w:rFonts w:hint="eastAsia"/>
                <w:color w:val="auto"/>
                <w:kern w:val="0"/>
                <w:sz w:val="24"/>
              </w:rPr>
              <w:t>2</w:t>
            </w:r>
            <w:r>
              <w:rPr>
                <w:rFonts w:hint="eastAsia"/>
                <w:color w:val="auto"/>
                <w:kern w:val="0"/>
                <w:sz w:val="24"/>
                <w:lang w:val="en-US" w:eastAsia="zh-CN"/>
              </w:rPr>
              <w:t>35</w:t>
            </w:r>
            <w:r>
              <w:rPr>
                <w:color w:val="auto"/>
                <w:kern w:val="0"/>
                <w:sz w:val="24"/>
              </w:rPr>
              <w:t>0h，收集效率</w:t>
            </w:r>
            <w:r>
              <w:rPr>
                <w:rFonts w:hint="eastAsia"/>
                <w:color w:val="auto"/>
                <w:kern w:val="0"/>
                <w:sz w:val="24"/>
              </w:rPr>
              <w:t>取95</w:t>
            </w:r>
            <w:r>
              <w:rPr>
                <w:color w:val="auto"/>
                <w:kern w:val="0"/>
                <w:sz w:val="24"/>
              </w:rPr>
              <w:t>%，处理效率为9</w:t>
            </w:r>
            <w:r>
              <w:rPr>
                <w:rFonts w:hint="eastAsia"/>
                <w:color w:val="auto"/>
                <w:kern w:val="0"/>
                <w:sz w:val="24"/>
              </w:rPr>
              <w:t>0</w:t>
            </w:r>
            <w:r>
              <w:rPr>
                <w:color w:val="auto"/>
                <w:kern w:val="0"/>
                <w:sz w:val="24"/>
              </w:rPr>
              <w:t>%</w:t>
            </w:r>
            <w:r>
              <w:rPr>
                <w:rFonts w:hint="eastAsia"/>
                <w:color w:val="auto"/>
                <w:kern w:val="0"/>
                <w:sz w:val="24"/>
                <w:lang w:eastAsia="zh-CN"/>
              </w:rPr>
              <w:t>，则</w:t>
            </w:r>
            <w:r>
              <w:rPr>
                <w:rFonts w:hint="eastAsia"/>
                <w:bCs/>
                <w:color w:val="auto"/>
                <w:sz w:val="24"/>
              </w:rPr>
              <w:t>NMHC</w:t>
            </w:r>
            <w:r>
              <w:rPr>
                <w:color w:val="auto"/>
                <w:kern w:val="0"/>
                <w:sz w:val="24"/>
              </w:rPr>
              <w:t>有组织</w:t>
            </w:r>
            <w:r>
              <w:rPr>
                <w:rFonts w:hint="eastAsia"/>
                <w:color w:val="auto"/>
                <w:kern w:val="0"/>
                <w:sz w:val="24"/>
                <w:lang w:eastAsia="zh-CN"/>
              </w:rPr>
              <w:t>产生</w:t>
            </w:r>
            <w:r>
              <w:rPr>
                <w:color w:val="auto"/>
                <w:kern w:val="0"/>
                <w:sz w:val="24"/>
              </w:rPr>
              <w:t>量为</w:t>
            </w:r>
            <w:r>
              <w:rPr>
                <w:rFonts w:hint="eastAsia"/>
                <w:color w:val="auto"/>
                <w:kern w:val="0"/>
                <w:sz w:val="24"/>
                <w:lang w:val="en-US" w:eastAsia="zh-CN"/>
              </w:rPr>
              <w:t>0.0383</w:t>
            </w:r>
            <w:r>
              <w:rPr>
                <w:color w:val="auto"/>
                <w:kern w:val="0"/>
                <w:sz w:val="24"/>
              </w:rPr>
              <w:t>t/a</w:t>
            </w:r>
            <w:r>
              <w:rPr>
                <w:rFonts w:hint="eastAsia"/>
                <w:color w:val="auto"/>
                <w:kern w:val="0"/>
                <w:sz w:val="24"/>
              </w:rPr>
              <w:t>（0.0</w:t>
            </w:r>
            <w:r>
              <w:rPr>
                <w:rFonts w:hint="eastAsia"/>
                <w:color w:val="auto"/>
                <w:kern w:val="0"/>
                <w:sz w:val="24"/>
                <w:lang w:val="en-US" w:eastAsia="zh-CN"/>
              </w:rPr>
              <w:t>163</w:t>
            </w:r>
            <w:r>
              <w:rPr>
                <w:color w:val="auto"/>
                <w:kern w:val="0"/>
                <w:sz w:val="24"/>
              </w:rPr>
              <w:t>kg/h</w:t>
            </w:r>
            <w:r>
              <w:rPr>
                <w:rFonts w:hint="eastAsia"/>
                <w:color w:val="auto"/>
                <w:kern w:val="0"/>
                <w:sz w:val="24"/>
              </w:rPr>
              <w:t>、</w:t>
            </w:r>
            <w:r>
              <w:rPr>
                <w:rFonts w:hint="eastAsia"/>
                <w:color w:val="auto"/>
                <w:kern w:val="0"/>
                <w:sz w:val="24"/>
                <w:lang w:val="en-US" w:eastAsia="zh-CN"/>
              </w:rPr>
              <w:t>5.43</w:t>
            </w:r>
            <w:r>
              <w:rPr>
                <w:color w:val="auto"/>
                <w:kern w:val="0"/>
                <w:sz w:val="24"/>
              </w:rPr>
              <w:t>mg/m</w:t>
            </w:r>
            <w:r>
              <w:rPr>
                <w:color w:val="auto"/>
                <w:kern w:val="0"/>
                <w:sz w:val="24"/>
                <w:vertAlign w:val="superscript"/>
              </w:rPr>
              <w:t>3</w:t>
            </w:r>
            <w:r>
              <w:rPr>
                <w:rFonts w:hint="eastAsia"/>
                <w:color w:val="auto"/>
                <w:kern w:val="0"/>
                <w:sz w:val="24"/>
              </w:rPr>
              <w:t>）</w:t>
            </w:r>
            <w:r>
              <w:rPr>
                <w:rFonts w:hint="eastAsia"/>
                <w:color w:val="auto"/>
                <w:kern w:val="0"/>
                <w:sz w:val="24"/>
                <w:lang w:eastAsia="zh-CN"/>
              </w:rPr>
              <w:t>，</w:t>
            </w:r>
            <w:r>
              <w:rPr>
                <w:rFonts w:hint="eastAsia"/>
                <w:color w:val="auto"/>
                <w:kern w:val="0"/>
                <w:sz w:val="24"/>
                <w:lang w:val="en-US" w:eastAsia="zh-CN"/>
              </w:rPr>
              <w:t>NMHC</w:t>
            </w:r>
            <w:r>
              <w:rPr>
                <w:color w:val="auto"/>
                <w:kern w:val="0"/>
                <w:sz w:val="24"/>
              </w:rPr>
              <w:t>有组织排放量为</w:t>
            </w:r>
            <w:r>
              <w:rPr>
                <w:rFonts w:hint="eastAsia"/>
                <w:color w:val="auto"/>
                <w:kern w:val="0"/>
                <w:sz w:val="24"/>
              </w:rPr>
              <w:t>0.0038</w:t>
            </w:r>
            <w:r>
              <w:rPr>
                <w:color w:val="auto"/>
                <w:kern w:val="0"/>
                <w:sz w:val="24"/>
              </w:rPr>
              <w:t>t/a</w:t>
            </w:r>
            <w:r>
              <w:rPr>
                <w:rFonts w:hint="eastAsia"/>
                <w:color w:val="auto"/>
                <w:kern w:val="0"/>
                <w:sz w:val="24"/>
              </w:rPr>
              <w:t>（0.0016</w:t>
            </w:r>
            <w:r>
              <w:rPr>
                <w:color w:val="auto"/>
                <w:kern w:val="0"/>
                <w:sz w:val="24"/>
              </w:rPr>
              <w:t>kg/h</w:t>
            </w:r>
            <w:r>
              <w:rPr>
                <w:rFonts w:hint="eastAsia"/>
                <w:color w:val="auto"/>
                <w:kern w:val="0"/>
                <w:sz w:val="24"/>
              </w:rPr>
              <w:t>、0.53</w:t>
            </w:r>
            <w:r>
              <w:rPr>
                <w:color w:val="auto"/>
                <w:kern w:val="0"/>
                <w:sz w:val="24"/>
              </w:rPr>
              <w:t>mg/m</w:t>
            </w:r>
            <w:r>
              <w:rPr>
                <w:color w:val="auto"/>
                <w:kern w:val="0"/>
                <w:sz w:val="24"/>
                <w:vertAlign w:val="superscript"/>
              </w:rPr>
              <w:t>3</w:t>
            </w:r>
            <w:r>
              <w:rPr>
                <w:rFonts w:hint="eastAsia"/>
                <w:color w:val="auto"/>
                <w:kern w:val="0"/>
                <w:sz w:val="24"/>
              </w:rPr>
              <w:t>），</w:t>
            </w:r>
            <w:r>
              <w:rPr>
                <w:rFonts w:hint="eastAsia"/>
                <w:bCs/>
                <w:color w:val="auto"/>
                <w:sz w:val="24"/>
              </w:rPr>
              <w:t>NMHC无组织排放量为0.002t/a（0.000</w:t>
            </w:r>
            <w:r>
              <w:rPr>
                <w:rFonts w:hint="eastAsia"/>
                <w:bCs/>
                <w:color w:val="auto"/>
                <w:sz w:val="24"/>
                <w:lang w:val="en-US" w:eastAsia="zh-CN"/>
              </w:rPr>
              <w:t>9</w:t>
            </w:r>
            <w:r>
              <w:rPr>
                <w:rFonts w:hint="eastAsia"/>
                <w:color w:val="auto"/>
                <w:kern w:val="0"/>
                <w:sz w:val="24"/>
              </w:rPr>
              <w:t>k</w:t>
            </w:r>
            <w:r>
              <w:rPr>
                <w:color w:val="auto"/>
                <w:kern w:val="0"/>
                <w:sz w:val="24"/>
              </w:rPr>
              <w:t>g/h</w:t>
            </w:r>
            <w:r>
              <w:rPr>
                <w:rFonts w:hint="eastAsia"/>
                <w:bCs/>
                <w:color w:val="auto"/>
                <w:sz w:val="24"/>
              </w:rPr>
              <w:t>）</w:t>
            </w:r>
            <w:r>
              <w:rPr>
                <w:rFonts w:hint="eastAsia"/>
                <w:color w:val="auto"/>
                <w:kern w:val="0"/>
                <w:sz w:val="24"/>
              </w:rPr>
              <w:t>。</w:t>
            </w:r>
          </w:p>
          <w:p w14:paraId="04ED3A95">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bCs/>
                <w:color w:val="auto"/>
                <w:spacing w:val="-10"/>
                <w:sz w:val="24"/>
                <w:lang w:eastAsia="zh-CN"/>
              </w:rPr>
            </w:pPr>
            <w:r>
              <w:rPr>
                <w:rFonts w:hint="eastAsia"/>
                <w:bCs/>
                <w:color w:val="auto"/>
                <w:spacing w:val="-10"/>
                <w:sz w:val="24"/>
                <w:lang w:eastAsia="zh-CN"/>
              </w:rPr>
              <w:t>④擦拭废气</w:t>
            </w:r>
          </w:p>
          <w:p w14:paraId="2593D43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bCs/>
                <w:color w:val="auto"/>
                <w:spacing w:val="-10"/>
                <w:sz w:val="24"/>
                <w:lang w:val="en-US" w:eastAsia="zh-CN"/>
              </w:rPr>
            </w:pPr>
            <w:r>
              <w:rPr>
                <w:rFonts w:hint="eastAsia"/>
                <w:color w:val="auto"/>
                <w:sz w:val="24"/>
                <w:lang w:eastAsia="zh-CN" w:bidi="ar"/>
              </w:rPr>
              <w:t>本项目</w:t>
            </w:r>
            <w:r>
              <w:rPr>
                <w:rFonts w:hint="eastAsia"/>
                <w:color w:val="auto"/>
                <w:sz w:val="24"/>
                <w:lang w:eastAsia="zh-CN"/>
              </w:rPr>
              <w:t>擦拭过程中</w:t>
            </w:r>
            <w:r>
              <w:rPr>
                <w:rFonts w:hint="eastAsia"/>
                <w:color w:val="auto"/>
                <w:sz w:val="24"/>
                <w:lang w:val="en-US" w:eastAsia="zh-CN"/>
              </w:rPr>
              <w:t>70%</w:t>
            </w:r>
            <w:r>
              <w:rPr>
                <w:rFonts w:hint="eastAsia"/>
                <w:color w:val="auto"/>
                <w:sz w:val="24"/>
                <w:lang w:eastAsia="zh-CN"/>
              </w:rPr>
              <w:t>乙醇使用量为</w:t>
            </w:r>
            <w:r>
              <w:rPr>
                <w:rFonts w:hint="eastAsia"/>
                <w:color w:val="auto"/>
                <w:sz w:val="24"/>
                <w:lang w:val="en-US" w:eastAsia="zh-CN"/>
              </w:rPr>
              <w:t>0.1t/a，乙醇中的挥发性有机物（以NMHC计）含量最大为0.07t/a，本次评价挥发性有机物（以NMHC计）含量以最大计，则擦拭过程NMHC产生量为0.07t/a，通过密闭车间负压收集+二级活性炭吸附+15m高2#排气筒排放，设计风量为12</w:t>
            </w:r>
            <w:r>
              <w:rPr>
                <w:color w:val="auto"/>
                <w:kern w:val="0"/>
                <w:sz w:val="24"/>
              </w:rPr>
              <w:t>000m</w:t>
            </w:r>
            <w:r>
              <w:rPr>
                <w:color w:val="auto"/>
                <w:kern w:val="0"/>
                <w:sz w:val="24"/>
                <w:vertAlign w:val="superscript"/>
              </w:rPr>
              <w:t>3</w:t>
            </w:r>
            <w:r>
              <w:rPr>
                <w:color w:val="auto"/>
                <w:kern w:val="0"/>
                <w:sz w:val="24"/>
              </w:rPr>
              <w:t>/h，年工作</w:t>
            </w:r>
            <w:r>
              <w:rPr>
                <w:rFonts w:hint="eastAsia"/>
                <w:color w:val="auto"/>
                <w:kern w:val="0"/>
                <w:sz w:val="24"/>
                <w:lang w:val="en-US" w:eastAsia="zh-CN"/>
              </w:rPr>
              <w:t>5</w:t>
            </w:r>
            <w:r>
              <w:rPr>
                <w:color w:val="auto"/>
                <w:kern w:val="0"/>
                <w:sz w:val="24"/>
              </w:rPr>
              <w:t>0h，收集效率</w:t>
            </w:r>
            <w:r>
              <w:rPr>
                <w:rFonts w:hint="eastAsia"/>
                <w:color w:val="auto"/>
                <w:kern w:val="0"/>
                <w:sz w:val="24"/>
              </w:rPr>
              <w:t>取95</w:t>
            </w:r>
            <w:r>
              <w:rPr>
                <w:color w:val="auto"/>
                <w:kern w:val="0"/>
                <w:sz w:val="24"/>
              </w:rPr>
              <w:t>%，处理效率为9</w:t>
            </w:r>
            <w:r>
              <w:rPr>
                <w:rFonts w:hint="eastAsia"/>
                <w:color w:val="auto"/>
                <w:kern w:val="0"/>
                <w:sz w:val="24"/>
              </w:rPr>
              <w:t>0</w:t>
            </w:r>
            <w:r>
              <w:rPr>
                <w:color w:val="auto"/>
                <w:kern w:val="0"/>
                <w:sz w:val="24"/>
              </w:rPr>
              <w:t>%</w:t>
            </w:r>
            <w:r>
              <w:rPr>
                <w:rFonts w:hint="eastAsia"/>
                <w:color w:val="auto"/>
                <w:kern w:val="0"/>
                <w:sz w:val="24"/>
                <w:lang w:eastAsia="zh-CN"/>
              </w:rPr>
              <w:t>，则</w:t>
            </w:r>
            <w:r>
              <w:rPr>
                <w:rFonts w:hint="eastAsia"/>
                <w:bCs/>
                <w:color w:val="auto"/>
                <w:sz w:val="24"/>
              </w:rPr>
              <w:t>NMHC</w:t>
            </w:r>
            <w:r>
              <w:rPr>
                <w:color w:val="auto"/>
                <w:kern w:val="0"/>
                <w:sz w:val="24"/>
              </w:rPr>
              <w:t>有组织</w:t>
            </w:r>
            <w:r>
              <w:rPr>
                <w:rFonts w:hint="eastAsia"/>
                <w:color w:val="auto"/>
                <w:kern w:val="0"/>
                <w:sz w:val="24"/>
                <w:lang w:eastAsia="zh-CN"/>
              </w:rPr>
              <w:t>产生量</w:t>
            </w:r>
            <w:r>
              <w:rPr>
                <w:color w:val="auto"/>
                <w:kern w:val="0"/>
                <w:sz w:val="24"/>
              </w:rPr>
              <w:t>为</w:t>
            </w:r>
            <w:r>
              <w:rPr>
                <w:rFonts w:hint="eastAsia"/>
                <w:color w:val="auto"/>
                <w:kern w:val="0"/>
                <w:sz w:val="24"/>
              </w:rPr>
              <w:t>0.0</w:t>
            </w:r>
            <w:r>
              <w:rPr>
                <w:rFonts w:hint="eastAsia"/>
                <w:color w:val="auto"/>
                <w:kern w:val="0"/>
                <w:sz w:val="24"/>
                <w:lang w:val="en-US" w:eastAsia="zh-CN"/>
              </w:rPr>
              <w:t>665</w:t>
            </w:r>
            <w:r>
              <w:rPr>
                <w:color w:val="auto"/>
                <w:kern w:val="0"/>
                <w:sz w:val="24"/>
              </w:rPr>
              <w:t>t/a</w:t>
            </w:r>
            <w:r>
              <w:rPr>
                <w:rFonts w:hint="eastAsia"/>
                <w:color w:val="auto"/>
                <w:kern w:val="0"/>
                <w:sz w:val="24"/>
              </w:rPr>
              <w:t>（</w:t>
            </w:r>
            <w:r>
              <w:rPr>
                <w:rFonts w:hint="eastAsia"/>
                <w:color w:val="auto"/>
                <w:kern w:val="0"/>
                <w:sz w:val="24"/>
                <w:lang w:val="en-US" w:eastAsia="zh-CN"/>
              </w:rPr>
              <w:t>1.33</w:t>
            </w:r>
            <w:r>
              <w:rPr>
                <w:color w:val="auto"/>
                <w:kern w:val="0"/>
                <w:sz w:val="24"/>
              </w:rPr>
              <w:t>kg/h</w:t>
            </w:r>
            <w:r>
              <w:rPr>
                <w:rFonts w:hint="eastAsia"/>
                <w:color w:val="auto"/>
                <w:kern w:val="0"/>
                <w:sz w:val="24"/>
              </w:rPr>
              <w:t>、</w:t>
            </w:r>
            <w:r>
              <w:rPr>
                <w:rFonts w:hint="eastAsia"/>
                <w:color w:val="auto"/>
                <w:kern w:val="0"/>
                <w:sz w:val="24"/>
                <w:lang w:val="en-US" w:eastAsia="zh-CN"/>
              </w:rPr>
              <w:t>110.8</w:t>
            </w:r>
            <w:r>
              <w:rPr>
                <w:color w:val="auto"/>
                <w:kern w:val="0"/>
                <w:sz w:val="24"/>
              </w:rPr>
              <w:t>mg/m</w:t>
            </w:r>
            <w:r>
              <w:rPr>
                <w:color w:val="auto"/>
                <w:kern w:val="0"/>
                <w:sz w:val="24"/>
                <w:vertAlign w:val="superscript"/>
              </w:rPr>
              <w:t>3</w:t>
            </w:r>
            <w:r>
              <w:rPr>
                <w:rFonts w:hint="eastAsia"/>
                <w:color w:val="auto"/>
                <w:kern w:val="0"/>
                <w:sz w:val="24"/>
              </w:rPr>
              <w:t>）</w:t>
            </w:r>
            <w:r>
              <w:rPr>
                <w:rFonts w:hint="eastAsia"/>
                <w:color w:val="auto"/>
                <w:kern w:val="0"/>
                <w:sz w:val="24"/>
                <w:lang w:eastAsia="zh-CN"/>
              </w:rPr>
              <w:t>，有组织</w:t>
            </w:r>
            <w:r>
              <w:rPr>
                <w:color w:val="auto"/>
                <w:kern w:val="0"/>
                <w:sz w:val="24"/>
              </w:rPr>
              <w:t>排放量为</w:t>
            </w:r>
            <w:r>
              <w:rPr>
                <w:rFonts w:hint="eastAsia"/>
                <w:color w:val="auto"/>
                <w:kern w:val="0"/>
                <w:sz w:val="24"/>
              </w:rPr>
              <w:t>0.00</w:t>
            </w:r>
            <w:r>
              <w:rPr>
                <w:rFonts w:hint="eastAsia"/>
                <w:color w:val="auto"/>
                <w:kern w:val="0"/>
                <w:sz w:val="24"/>
                <w:lang w:val="en-US" w:eastAsia="zh-CN"/>
              </w:rPr>
              <w:t>67</w:t>
            </w:r>
            <w:r>
              <w:rPr>
                <w:color w:val="auto"/>
                <w:kern w:val="0"/>
                <w:sz w:val="24"/>
              </w:rPr>
              <w:t>t/a</w:t>
            </w:r>
            <w:r>
              <w:rPr>
                <w:rFonts w:hint="eastAsia"/>
                <w:color w:val="auto"/>
                <w:kern w:val="0"/>
                <w:sz w:val="24"/>
              </w:rPr>
              <w:t>（0.</w:t>
            </w:r>
            <w:r>
              <w:rPr>
                <w:rFonts w:hint="eastAsia"/>
                <w:color w:val="auto"/>
                <w:kern w:val="0"/>
                <w:sz w:val="24"/>
                <w:lang w:val="en-US" w:eastAsia="zh-CN"/>
              </w:rPr>
              <w:t>134</w:t>
            </w:r>
            <w:r>
              <w:rPr>
                <w:color w:val="auto"/>
                <w:kern w:val="0"/>
                <w:sz w:val="24"/>
              </w:rPr>
              <w:t>kg/h</w:t>
            </w:r>
            <w:r>
              <w:rPr>
                <w:rFonts w:hint="eastAsia"/>
                <w:color w:val="auto"/>
                <w:kern w:val="0"/>
                <w:sz w:val="24"/>
              </w:rPr>
              <w:t>、</w:t>
            </w:r>
            <w:r>
              <w:rPr>
                <w:rFonts w:hint="eastAsia"/>
                <w:color w:val="auto"/>
                <w:kern w:val="0"/>
                <w:sz w:val="24"/>
                <w:lang w:val="en-US" w:eastAsia="zh-CN"/>
              </w:rPr>
              <w:t>11.2</w:t>
            </w:r>
            <w:r>
              <w:rPr>
                <w:color w:val="auto"/>
                <w:kern w:val="0"/>
                <w:sz w:val="24"/>
              </w:rPr>
              <w:t>mg/m</w:t>
            </w:r>
            <w:r>
              <w:rPr>
                <w:color w:val="auto"/>
                <w:kern w:val="0"/>
                <w:sz w:val="24"/>
                <w:vertAlign w:val="superscript"/>
              </w:rPr>
              <w:t>3</w:t>
            </w:r>
            <w:r>
              <w:rPr>
                <w:rFonts w:hint="eastAsia"/>
                <w:color w:val="auto"/>
                <w:kern w:val="0"/>
                <w:sz w:val="24"/>
              </w:rPr>
              <w:t>），</w:t>
            </w:r>
            <w:r>
              <w:rPr>
                <w:rFonts w:hint="eastAsia"/>
                <w:bCs/>
                <w:color w:val="auto"/>
                <w:sz w:val="24"/>
              </w:rPr>
              <w:t>NMHC无组织排放量为0.00</w:t>
            </w:r>
            <w:r>
              <w:rPr>
                <w:rFonts w:hint="eastAsia"/>
                <w:bCs/>
                <w:color w:val="auto"/>
                <w:sz w:val="24"/>
                <w:lang w:val="en-US" w:eastAsia="zh-CN"/>
              </w:rPr>
              <w:t>35</w:t>
            </w:r>
            <w:r>
              <w:rPr>
                <w:rFonts w:hint="eastAsia"/>
                <w:bCs/>
                <w:color w:val="auto"/>
                <w:sz w:val="24"/>
              </w:rPr>
              <w:t>t/a（0.0</w:t>
            </w:r>
            <w:r>
              <w:rPr>
                <w:rFonts w:hint="eastAsia"/>
                <w:bCs/>
                <w:color w:val="auto"/>
                <w:sz w:val="24"/>
                <w:lang w:val="en-US" w:eastAsia="zh-CN"/>
              </w:rPr>
              <w:t>7</w:t>
            </w:r>
            <w:r>
              <w:rPr>
                <w:rFonts w:hint="eastAsia"/>
                <w:color w:val="auto"/>
                <w:kern w:val="0"/>
                <w:sz w:val="24"/>
              </w:rPr>
              <w:t>k</w:t>
            </w:r>
            <w:r>
              <w:rPr>
                <w:color w:val="auto"/>
                <w:kern w:val="0"/>
                <w:sz w:val="24"/>
              </w:rPr>
              <w:t>g/h</w:t>
            </w:r>
            <w:r>
              <w:rPr>
                <w:rFonts w:hint="eastAsia"/>
                <w:bCs/>
                <w:color w:val="auto"/>
                <w:sz w:val="24"/>
              </w:rPr>
              <w:t>）</w:t>
            </w:r>
            <w:r>
              <w:rPr>
                <w:rFonts w:hint="eastAsia"/>
                <w:bCs/>
                <w:color w:val="auto"/>
                <w:sz w:val="24"/>
                <w:lang w:eastAsia="zh-CN"/>
              </w:rPr>
              <w:t>。</w:t>
            </w:r>
          </w:p>
          <w:p w14:paraId="2C2AB0C4">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bCs/>
                <w:color w:val="auto"/>
                <w:spacing w:val="-10"/>
                <w:sz w:val="24"/>
                <w:lang w:eastAsia="zh-CN"/>
              </w:rPr>
            </w:pPr>
            <w:r>
              <w:rPr>
                <w:rFonts w:hint="eastAsia"/>
                <w:bCs/>
                <w:color w:val="auto"/>
                <w:spacing w:val="-10"/>
                <w:sz w:val="24"/>
                <w:lang w:eastAsia="zh-CN"/>
              </w:rPr>
              <w:t>⑤食堂废气</w:t>
            </w:r>
          </w:p>
          <w:p w14:paraId="4AF3609E">
            <w:pPr>
              <w:pStyle w:val="35"/>
              <w:adjustRightInd w:val="0"/>
              <w:snapToGrid w:val="0"/>
              <w:spacing w:after="0" w:line="360" w:lineRule="auto"/>
              <w:ind w:left="0" w:leftChars="0" w:firstLine="480" w:firstLineChars="200"/>
              <w:rPr>
                <w:rFonts w:hAnsiTheme="minorEastAsia" w:eastAsiaTheme="minorEastAsia"/>
                <w:color w:val="auto"/>
                <w:sz w:val="24"/>
              </w:rPr>
            </w:pPr>
            <w:r>
              <w:rPr>
                <w:rFonts w:hint="eastAsia" w:hAnsi="宋体"/>
                <w:color w:val="auto"/>
                <w:sz w:val="24"/>
              </w:rPr>
              <w:t>A.食堂油烟</w:t>
            </w:r>
          </w:p>
          <w:p w14:paraId="4724C4DE">
            <w:pPr>
              <w:adjustRightInd w:val="0"/>
              <w:snapToGrid w:val="0"/>
              <w:spacing w:line="360" w:lineRule="auto"/>
              <w:ind w:firstLine="480" w:firstLineChars="200"/>
              <w:rPr>
                <w:rFonts w:hAnsi="宋体"/>
                <w:color w:val="auto"/>
                <w:sz w:val="24"/>
              </w:rPr>
            </w:pPr>
            <w:r>
              <w:rPr>
                <w:rFonts w:hAnsi="宋体"/>
                <w:color w:val="auto"/>
                <w:sz w:val="24"/>
              </w:rPr>
              <w:t>本项目食堂供应</w:t>
            </w:r>
            <w:r>
              <w:rPr>
                <w:rFonts w:hint="eastAsia" w:hAnsi="宋体"/>
                <w:color w:val="auto"/>
                <w:sz w:val="24"/>
                <w:lang w:val="en-US" w:eastAsia="zh-CN"/>
              </w:rPr>
              <w:t>100</w:t>
            </w:r>
            <w:r>
              <w:rPr>
                <w:rFonts w:hAnsi="宋体"/>
                <w:color w:val="auto"/>
                <w:sz w:val="24"/>
              </w:rPr>
              <w:t>人/次</w:t>
            </w:r>
            <w:r>
              <w:rPr>
                <w:rFonts w:hint="eastAsia" w:hAnsi="宋体"/>
                <w:color w:val="auto"/>
                <w:sz w:val="24"/>
              </w:rPr>
              <w:t>•天</w:t>
            </w:r>
            <w:r>
              <w:rPr>
                <w:rFonts w:hAnsi="宋体"/>
                <w:color w:val="auto"/>
                <w:sz w:val="24"/>
              </w:rPr>
              <w:t>饭菜</w:t>
            </w:r>
            <w:r>
              <w:rPr>
                <w:rFonts w:hint="eastAsia" w:hAnsi="宋体"/>
                <w:color w:val="auto"/>
                <w:sz w:val="24"/>
              </w:rPr>
              <w:t>，基础灶头为</w:t>
            </w:r>
            <w:r>
              <w:rPr>
                <w:rFonts w:hint="eastAsia" w:hAnsi="宋体"/>
                <w:color w:val="auto"/>
                <w:sz w:val="24"/>
                <w:lang w:val="en-US" w:eastAsia="zh-CN"/>
              </w:rPr>
              <w:t>3</w:t>
            </w:r>
            <w:r>
              <w:rPr>
                <w:rFonts w:hint="eastAsia" w:hAnsi="宋体"/>
                <w:color w:val="auto"/>
                <w:sz w:val="24"/>
              </w:rPr>
              <w:t>个，单个灶台</w:t>
            </w:r>
            <w:r>
              <w:rPr>
                <w:rFonts w:hAnsi="宋体"/>
                <w:color w:val="auto"/>
                <w:sz w:val="24"/>
              </w:rPr>
              <w:t>排风量按</w:t>
            </w:r>
            <w:r>
              <w:rPr>
                <w:rFonts w:hint="eastAsia" w:hAnsi="宋体"/>
                <w:color w:val="auto"/>
                <w:sz w:val="24"/>
                <w:lang w:val="en-US" w:eastAsia="zh-CN"/>
              </w:rPr>
              <w:t>2</w:t>
            </w:r>
            <w:r>
              <w:rPr>
                <w:rFonts w:hAnsi="宋体"/>
                <w:color w:val="auto"/>
                <w:sz w:val="24"/>
              </w:rPr>
              <w:t>000m</w:t>
            </w:r>
            <w:r>
              <w:rPr>
                <w:rFonts w:hAnsi="宋体"/>
                <w:color w:val="auto"/>
                <w:sz w:val="24"/>
                <w:vertAlign w:val="superscript"/>
              </w:rPr>
              <w:t>3</w:t>
            </w:r>
            <w:r>
              <w:rPr>
                <w:rFonts w:hAnsi="宋体"/>
                <w:color w:val="auto"/>
                <w:sz w:val="24"/>
              </w:rPr>
              <w:t>/h计，年工作</w:t>
            </w:r>
            <w:r>
              <w:rPr>
                <w:rFonts w:hint="eastAsia" w:hAnsi="宋体"/>
                <w:color w:val="auto"/>
                <w:sz w:val="24"/>
                <w:lang w:val="en-US" w:eastAsia="zh-CN"/>
              </w:rPr>
              <w:t>300</w:t>
            </w:r>
            <w:r>
              <w:rPr>
                <w:rFonts w:hAnsi="宋体"/>
                <w:color w:val="auto"/>
                <w:sz w:val="24"/>
              </w:rPr>
              <w:t>天，日工作时间约</w:t>
            </w:r>
            <w:r>
              <w:rPr>
                <w:rFonts w:hint="eastAsia" w:hAnsi="宋体"/>
                <w:color w:val="auto"/>
                <w:sz w:val="24"/>
              </w:rPr>
              <w:t>2</w:t>
            </w:r>
            <w:r>
              <w:rPr>
                <w:rFonts w:hAnsi="宋体"/>
                <w:color w:val="auto"/>
                <w:sz w:val="24"/>
              </w:rPr>
              <w:t>h，则年油烟排放量为</w:t>
            </w:r>
            <w:r>
              <w:rPr>
                <w:rFonts w:hint="eastAsia" w:hAnsi="宋体"/>
                <w:color w:val="auto"/>
                <w:sz w:val="24"/>
                <w:lang w:val="en-US" w:eastAsia="zh-CN"/>
              </w:rPr>
              <w:t>360</w:t>
            </w:r>
            <w:r>
              <w:rPr>
                <w:rFonts w:hAnsi="宋体"/>
                <w:color w:val="auto"/>
                <w:sz w:val="24"/>
              </w:rPr>
              <w:t>万m</w:t>
            </w:r>
            <w:r>
              <w:rPr>
                <w:rFonts w:hAnsi="宋体"/>
                <w:color w:val="auto"/>
                <w:sz w:val="24"/>
                <w:vertAlign w:val="superscript"/>
              </w:rPr>
              <w:t>3</w:t>
            </w:r>
            <w:r>
              <w:rPr>
                <w:rFonts w:hAnsi="宋体"/>
                <w:color w:val="auto"/>
                <w:sz w:val="24"/>
              </w:rPr>
              <w:t>，食物在烹饪、加工过程中将挥发出油脂、有机质及热分解或裂解产物，从而产生油烟。根据对员工用油情况的类比调查，目前员工人均食用油用量约</w:t>
            </w:r>
            <w:r>
              <w:rPr>
                <w:rFonts w:hint="eastAsia" w:hAnsi="宋体"/>
                <w:color w:val="auto"/>
                <w:sz w:val="24"/>
              </w:rPr>
              <w:t>15</w:t>
            </w:r>
            <w:r>
              <w:rPr>
                <w:rFonts w:hAnsi="宋体"/>
                <w:color w:val="auto"/>
                <w:sz w:val="24"/>
              </w:rPr>
              <w:t>g/人·</w:t>
            </w:r>
            <w:r>
              <w:rPr>
                <w:rFonts w:hint="eastAsia" w:hAnsi="宋体"/>
                <w:color w:val="auto"/>
                <w:sz w:val="24"/>
              </w:rPr>
              <w:t>次</w:t>
            </w:r>
            <w:r>
              <w:rPr>
                <w:rFonts w:hAnsi="宋体"/>
                <w:color w:val="auto"/>
                <w:sz w:val="24"/>
              </w:rPr>
              <w:t>，一般油烟挥发量约占总耗油量的3%。本项目共约</w:t>
            </w:r>
            <w:r>
              <w:rPr>
                <w:rFonts w:hint="eastAsia" w:hAnsi="宋体"/>
                <w:color w:val="auto"/>
                <w:sz w:val="24"/>
                <w:lang w:val="en-US" w:eastAsia="zh-CN"/>
              </w:rPr>
              <w:t>100</w:t>
            </w:r>
            <w:r>
              <w:rPr>
                <w:rFonts w:hAnsi="宋体"/>
                <w:color w:val="auto"/>
                <w:sz w:val="24"/>
              </w:rPr>
              <w:t>人，则厨房油烟产生量约为0.0</w:t>
            </w:r>
            <w:r>
              <w:rPr>
                <w:rFonts w:hint="eastAsia" w:hAnsi="宋体"/>
                <w:color w:val="auto"/>
                <w:sz w:val="24"/>
                <w:lang w:val="en-US" w:eastAsia="zh-CN"/>
              </w:rPr>
              <w:t>135</w:t>
            </w:r>
            <w:r>
              <w:rPr>
                <w:rFonts w:hAnsi="宋体"/>
                <w:color w:val="auto"/>
                <w:sz w:val="24"/>
              </w:rPr>
              <w:t>t/a，</w:t>
            </w:r>
            <w:r>
              <w:rPr>
                <w:rFonts w:hint="eastAsia" w:hAnsi="宋体"/>
                <w:color w:val="auto"/>
                <w:sz w:val="24"/>
              </w:rPr>
              <w:t>产生速率为0.0</w:t>
            </w:r>
            <w:r>
              <w:rPr>
                <w:rFonts w:hint="eastAsia" w:hAnsi="宋体"/>
                <w:color w:val="auto"/>
                <w:sz w:val="24"/>
                <w:lang w:val="en-US" w:eastAsia="zh-CN"/>
              </w:rPr>
              <w:t>225</w:t>
            </w:r>
            <w:r>
              <w:rPr>
                <w:rFonts w:hint="eastAsia" w:hAnsi="宋体"/>
                <w:color w:val="auto"/>
                <w:sz w:val="24"/>
              </w:rPr>
              <w:t>kg/h，</w:t>
            </w:r>
            <w:r>
              <w:rPr>
                <w:rFonts w:hAnsi="宋体"/>
                <w:color w:val="auto"/>
                <w:sz w:val="24"/>
              </w:rPr>
              <w:t>产生浓度为</w:t>
            </w:r>
            <w:r>
              <w:rPr>
                <w:rFonts w:hint="eastAsia" w:hAnsi="宋体"/>
                <w:color w:val="auto"/>
                <w:sz w:val="24"/>
                <w:lang w:val="en-US" w:eastAsia="zh-CN"/>
              </w:rPr>
              <w:t>3.75</w:t>
            </w:r>
            <w:r>
              <w:rPr>
                <w:rFonts w:hAnsi="宋体"/>
                <w:color w:val="auto"/>
                <w:sz w:val="24"/>
              </w:rPr>
              <w:t>mg/m</w:t>
            </w:r>
            <w:r>
              <w:rPr>
                <w:rFonts w:hAnsi="宋体"/>
                <w:color w:val="auto"/>
                <w:sz w:val="24"/>
                <w:vertAlign w:val="superscript"/>
              </w:rPr>
              <w:t>3</w:t>
            </w:r>
            <w:r>
              <w:rPr>
                <w:rFonts w:hAnsi="宋体"/>
                <w:color w:val="auto"/>
                <w:sz w:val="24"/>
              </w:rPr>
              <w:t>。建设单位拟设置油烟净化器，排风量为</w:t>
            </w:r>
            <w:r>
              <w:rPr>
                <w:rFonts w:hint="eastAsia" w:hAnsi="宋体"/>
                <w:color w:val="auto"/>
                <w:sz w:val="24"/>
                <w:lang w:val="en-US" w:eastAsia="zh-CN"/>
              </w:rPr>
              <w:t>6</w:t>
            </w:r>
            <w:r>
              <w:rPr>
                <w:rFonts w:hAnsi="宋体"/>
                <w:color w:val="auto"/>
                <w:sz w:val="24"/>
              </w:rPr>
              <w:t>000m</w:t>
            </w:r>
            <w:r>
              <w:rPr>
                <w:rFonts w:hAnsi="宋体"/>
                <w:color w:val="auto"/>
                <w:sz w:val="24"/>
                <w:vertAlign w:val="superscript"/>
              </w:rPr>
              <w:t>3</w:t>
            </w:r>
            <w:r>
              <w:rPr>
                <w:rFonts w:hAnsi="宋体"/>
                <w:color w:val="auto"/>
                <w:sz w:val="24"/>
              </w:rPr>
              <w:t>/h，处理效率达</w:t>
            </w:r>
            <w:r>
              <w:rPr>
                <w:rFonts w:hint="eastAsia" w:hAnsi="宋体"/>
                <w:color w:val="auto"/>
                <w:sz w:val="24"/>
                <w:lang w:val="en-US" w:eastAsia="zh-CN"/>
              </w:rPr>
              <w:t>75</w:t>
            </w:r>
            <w:r>
              <w:rPr>
                <w:rFonts w:hAnsi="宋体"/>
                <w:color w:val="auto"/>
                <w:sz w:val="24"/>
              </w:rPr>
              <w:t>%，油烟废气经油烟净化器处理后，油烟排放量为0.00</w:t>
            </w:r>
            <w:r>
              <w:rPr>
                <w:rFonts w:hint="eastAsia" w:hAnsi="宋体"/>
                <w:color w:val="auto"/>
                <w:sz w:val="24"/>
                <w:lang w:val="en-US" w:eastAsia="zh-CN"/>
              </w:rPr>
              <w:t>34</w:t>
            </w:r>
            <w:r>
              <w:rPr>
                <w:rFonts w:hAnsi="宋体"/>
                <w:color w:val="auto"/>
                <w:sz w:val="24"/>
              </w:rPr>
              <w:t>t/a，</w:t>
            </w:r>
            <w:r>
              <w:rPr>
                <w:rFonts w:hint="eastAsia" w:hAnsi="宋体"/>
                <w:color w:val="auto"/>
                <w:sz w:val="24"/>
              </w:rPr>
              <w:t>排放速率为0.00</w:t>
            </w:r>
            <w:r>
              <w:rPr>
                <w:rFonts w:hint="eastAsia" w:hAnsi="宋体"/>
                <w:color w:val="auto"/>
                <w:sz w:val="24"/>
                <w:lang w:val="en-US" w:eastAsia="zh-CN"/>
              </w:rPr>
              <w:t>56</w:t>
            </w:r>
            <w:r>
              <w:rPr>
                <w:rFonts w:hint="eastAsia" w:hAnsi="宋体"/>
                <w:color w:val="auto"/>
                <w:sz w:val="24"/>
              </w:rPr>
              <w:t>kg/h，</w:t>
            </w:r>
            <w:r>
              <w:rPr>
                <w:rFonts w:hAnsi="宋体"/>
                <w:color w:val="auto"/>
                <w:sz w:val="24"/>
              </w:rPr>
              <w:t>排放浓度为</w:t>
            </w:r>
            <w:r>
              <w:rPr>
                <w:rFonts w:hint="eastAsia" w:hAnsi="宋体"/>
                <w:color w:val="auto"/>
                <w:sz w:val="24"/>
                <w:lang w:val="en-US" w:eastAsia="zh-CN"/>
              </w:rPr>
              <w:t>0.94</w:t>
            </w:r>
            <w:r>
              <w:rPr>
                <w:rFonts w:hAnsi="宋体"/>
                <w:color w:val="auto"/>
                <w:sz w:val="24"/>
              </w:rPr>
              <w:t>mg/m</w:t>
            </w:r>
            <w:r>
              <w:rPr>
                <w:rFonts w:hAnsi="宋体"/>
                <w:color w:val="auto"/>
                <w:sz w:val="24"/>
                <w:vertAlign w:val="superscript"/>
              </w:rPr>
              <w:t>3</w:t>
            </w:r>
            <w:r>
              <w:rPr>
                <w:rFonts w:hAnsi="宋体"/>
                <w:color w:val="auto"/>
                <w:sz w:val="24"/>
              </w:rPr>
              <w:t>。通过食堂专用烟道排放。</w:t>
            </w:r>
          </w:p>
          <w:p w14:paraId="682E6EBA">
            <w:pPr>
              <w:adjustRightInd w:val="0"/>
              <w:snapToGrid w:val="0"/>
              <w:jc w:val="center"/>
              <w:rPr>
                <w:b/>
                <w:color w:val="auto"/>
                <w:sz w:val="24"/>
              </w:rPr>
            </w:pPr>
            <w:r>
              <w:rPr>
                <w:b/>
                <w:color w:val="auto"/>
                <w:sz w:val="24"/>
              </w:rPr>
              <w:t>表</w:t>
            </w:r>
            <w:r>
              <w:rPr>
                <w:rFonts w:hint="eastAsia"/>
                <w:b/>
                <w:color w:val="auto"/>
                <w:sz w:val="24"/>
              </w:rPr>
              <w:t>4</w:t>
            </w:r>
            <w:r>
              <w:rPr>
                <w:b/>
                <w:color w:val="auto"/>
                <w:sz w:val="24"/>
              </w:rPr>
              <w:t>-</w:t>
            </w:r>
            <w:r>
              <w:rPr>
                <w:rFonts w:hint="eastAsia"/>
                <w:b/>
                <w:color w:val="auto"/>
                <w:sz w:val="24"/>
                <w:lang w:val="en-US" w:eastAsia="zh-CN"/>
              </w:rPr>
              <w:t>3</w:t>
            </w:r>
            <w:r>
              <w:rPr>
                <w:b/>
                <w:color w:val="auto"/>
                <w:sz w:val="24"/>
              </w:rPr>
              <w:t>食堂废气污染物排放量</w:t>
            </w:r>
          </w:p>
          <w:tbl>
            <w:tblPr>
              <w:tblStyle w:val="8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9"/>
              <w:gridCol w:w="429"/>
              <w:gridCol w:w="640"/>
              <w:gridCol w:w="782"/>
              <w:gridCol w:w="799"/>
              <w:gridCol w:w="658"/>
              <w:gridCol w:w="536"/>
              <w:gridCol w:w="782"/>
              <w:gridCol w:w="869"/>
              <w:gridCol w:w="874"/>
              <w:gridCol w:w="880"/>
              <w:gridCol w:w="859"/>
            </w:tblGrid>
            <w:tr w14:paraId="3C75AE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1" w:type="pct"/>
                  <w:vMerge w:val="restart"/>
                  <w:vAlign w:val="center"/>
                </w:tcPr>
                <w:p w14:paraId="54C0D770">
                  <w:pPr>
                    <w:adjustRightInd w:val="0"/>
                    <w:snapToGrid w:val="0"/>
                    <w:jc w:val="center"/>
                    <w:rPr>
                      <w:color w:val="auto"/>
                      <w:szCs w:val="21"/>
                    </w:rPr>
                  </w:pPr>
                  <w:r>
                    <w:rPr>
                      <w:rFonts w:hAnsi="宋体"/>
                      <w:color w:val="auto"/>
                      <w:szCs w:val="21"/>
                    </w:rPr>
                    <w:t>污染源</w:t>
                  </w:r>
                </w:p>
              </w:tc>
              <w:tc>
                <w:tcPr>
                  <w:tcW w:w="251" w:type="pct"/>
                  <w:vMerge w:val="restart"/>
                  <w:vAlign w:val="center"/>
                </w:tcPr>
                <w:p w14:paraId="79B67425">
                  <w:pPr>
                    <w:adjustRightInd w:val="0"/>
                    <w:snapToGrid w:val="0"/>
                    <w:jc w:val="center"/>
                    <w:rPr>
                      <w:color w:val="auto"/>
                      <w:szCs w:val="21"/>
                    </w:rPr>
                  </w:pPr>
                  <w:r>
                    <w:rPr>
                      <w:rFonts w:hAnsi="宋体"/>
                      <w:color w:val="auto"/>
                      <w:szCs w:val="21"/>
                    </w:rPr>
                    <w:t>污染物</w:t>
                  </w:r>
                </w:p>
              </w:tc>
              <w:tc>
                <w:tcPr>
                  <w:tcW w:w="374" w:type="pct"/>
                  <w:vMerge w:val="restart"/>
                  <w:vAlign w:val="center"/>
                </w:tcPr>
                <w:p w14:paraId="15BAEDDF">
                  <w:pPr>
                    <w:adjustRightInd w:val="0"/>
                    <w:snapToGrid w:val="0"/>
                    <w:jc w:val="center"/>
                    <w:rPr>
                      <w:color w:val="auto"/>
                      <w:szCs w:val="21"/>
                    </w:rPr>
                  </w:pPr>
                  <w:r>
                    <w:rPr>
                      <w:rFonts w:hAnsi="宋体"/>
                      <w:color w:val="auto"/>
                      <w:szCs w:val="21"/>
                    </w:rPr>
                    <w:t>风量</w:t>
                  </w:r>
                  <w:r>
                    <w:rPr>
                      <w:color w:val="auto"/>
                      <w:szCs w:val="21"/>
                    </w:rPr>
                    <w:t>m</w:t>
                  </w:r>
                  <w:r>
                    <w:rPr>
                      <w:color w:val="auto"/>
                      <w:szCs w:val="21"/>
                      <w:vertAlign w:val="superscript"/>
                    </w:rPr>
                    <w:t>3</w:t>
                  </w:r>
                  <w:r>
                    <w:rPr>
                      <w:color w:val="auto"/>
                      <w:szCs w:val="21"/>
                    </w:rPr>
                    <w:t>/h</w:t>
                  </w:r>
                </w:p>
              </w:tc>
              <w:tc>
                <w:tcPr>
                  <w:tcW w:w="925" w:type="pct"/>
                  <w:gridSpan w:val="2"/>
                  <w:vAlign w:val="center"/>
                </w:tcPr>
                <w:p w14:paraId="1FA0E9DA">
                  <w:pPr>
                    <w:adjustRightInd w:val="0"/>
                    <w:snapToGrid w:val="0"/>
                    <w:jc w:val="center"/>
                    <w:rPr>
                      <w:color w:val="auto"/>
                      <w:szCs w:val="21"/>
                    </w:rPr>
                  </w:pPr>
                  <w:r>
                    <w:rPr>
                      <w:rFonts w:hAnsi="宋体"/>
                      <w:color w:val="auto"/>
                      <w:szCs w:val="21"/>
                    </w:rPr>
                    <w:t>产生状况</w:t>
                  </w:r>
                </w:p>
              </w:tc>
              <w:tc>
                <w:tcPr>
                  <w:tcW w:w="385" w:type="pct"/>
                  <w:vMerge w:val="restart"/>
                  <w:vAlign w:val="center"/>
                </w:tcPr>
                <w:p w14:paraId="60FE5080">
                  <w:pPr>
                    <w:adjustRightInd w:val="0"/>
                    <w:snapToGrid w:val="0"/>
                    <w:jc w:val="center"/>
                    <w:rPr>
                      <w:color w:val="auto"/>
                      <w:szCs w:val="21"/>
                    </w:rPr>
                  </w:pPr>
                  <w:r>
                    <w:rPr>
                      <w:rFonts w:hAnsi="宋体"/>
                      <w:color w:val="auto"/>
                      <w:szCs w:val="21"/>
                    </w:rPr>
                    <w:t>治理措施</w:t>
                  </w:r>
                </w:p>
              </w:tc>
              <w:tc>
                <w:tcPr>
                  <w:tcW w:w="313" w:type="pct"/>
                  <w:vMerge w:val="restart"/>
                  <w:vAlign w:val="center"/>
                </w:tcPr>
                <w:p w14:paraId="5B076402">
                  <w:pPr>
                    <w:adjustRightInd w:val="0"/>
                    <w:snapToGrid w:val="0"/>
                    <w:jc w:val="center"/>
                    <w:rPr>
                      <w:color w:val="auto"/>
                      <w:szCs w:val="21"/>
                    </w:rPr>
                  </w:pPr>
                  <w:r>
                    <w:rPr>
                      <w:rFonts w:hAnsi="宋体"/>
                      <w:color w:val="auto"/>
                      <w:szCs w:val="21"/>
                    </w:rPr>
                    <w:t>去除率</w:t>
                  </w:r>
                  <w:r>
                    <w:rPr>
                      <w:color w:val="auto"/>
                      <w:szCs w:val="21"/>
                    </w:rPr>
                    <w:t>%</w:t>
                  </w:r>
                </w:p>
              </w:tc>
              <w:tc>
                <w:tcPr>
                  <w:tcW w:w="966" w:type="pct"/>
                  <w:gridSpan w:val="2"/>
                  <w:vAlign w:val="center"/>
                </w:tcPr>
                <w:p w14:paraId="64E4C6D5">
                  <w:pPr>
                    <w:adjustRightInd w:val="0"/>
                    <w:snapToGrid w:val="0"/>
                    <w:jc w:val="center"/>
                    <w:rPr>
                      <w:color w:val="auto"/>
                      <w:szCs w:val="21"/>
                    </w:rPr>
                  </w:pPr>
                  <w:r>
                    <w:rPr>
                      <w:rFonts w:hAnsi="宋体"/>
                      <w:color w:val="auto"/>
                      <w:szCs w:val="21"/>
                    </w:rPr>
                    <w:t>排放状况</w:t>
                  </w:r>
                </w:p>
              </w:tc>
              <w:tc>
                <w:tcPr>
                  <w:tcW w:w="511" w:type="pct"/>
                  <w:vAlign w:val="center"/>
                </w:tcPr>
                <w:p w14:paraId="7756ADB1">
                  <w:pPr>
                    <w:adjustRightInd w:val="0"/>
                    <w:snapToGrid w:val="0"/>
                    <w:jc w:val="center"/>
                    <w:rPr>
                      <w:color w:val="auto"/>
                      <w:szCs w:val="21"/>
                    </w:rPr>
                  </w:pPr>
                  <w:r>
                    <w:rPr>
                      <w:rFonts w:hAnsi="宋体"/>
                      <w:color w:val="auto"/>
                      <w:szCs w:val="21"/>
                    </w:rPr>
                    <w:t>执行标准</w:t>
                  </w:r>
                </w:p>
              </w:tc>
              <w:tc>
                <w:tcPr>
                  <w:tcW w:w="515" w:type="pct"/>
                  <w:vMerge w:val="restart"/>
                  <w:vAlign w:val="center"/>
                </w:tcPr>
                <w:p w14:paraId="34DCBA4B">
                  <w:pPr>
                    <w:adjustRightInd w:val="0"/>
                    <w:snapToGrid w:val="0"/>
                    <w:jc w:val="center"/>
                    <w:rPr>
                      <w:color w:val="auto"/>
                      <w:szCs w:val="21"/>
                    </w:rPr>
                  </w:pPr>
                  <w:r>
                    <w:rPr>
                      <w:rFonts w:hAnsi="宋体"/>
                      <w:color w:val="auto"/>
                      <w:szCs w:val="21"/>
                    </w:rPr>
                    <w:t>排放高度</w:t>
                  </w:r>
                  <w:r>
                    <w:rPr>
                      <w:color w:val="auto"/>
                      <w:szCs w:val="21"/>
                    </w:rPr>
                    <w:t>/</w:t>
                  </w:r>
                  <w:r>
                    <w:rPr>
                      <w:rFonts w:hAnsi="宋体"/>
                      <w:color w:val="auto"/>
                      <w:szCs w:val="21"/>
                    </w:rPr>
                    <w:t>内径</w:t>
                  </w:r>
                  <w:r>
                    <w:rPr>
                      <w:color w:val="auto"/>
                      <w:szCs w:val="21"/>
                    </w:rPr>
                    <w:t>m</w:t>
                  </w:r>
                </w:p>
              </w:tc>
              <w:tc>
                <w:tcPr>
                  <w:tcW w:w="503" w:type="pct"/>
                  <w:vMerge w:val="restart"/>
                  <w:vAlign w:val="center"/>
                </w:tcPr>
                <w:p w14:paraId="78164758">
                  <w:pPr>
                    <w:adjustRightInd w:val="0"/>
                    <w:snapToGrid w:val="0"/>
                    <w:jc w:val="center"/>
                    <w:rPr>
                      <w:color w:val="auto"/>
                      <w:szCs w:val="21"/>
                    </w:rPr>
                  </w:pPr>
                  <w:r>
                    <w:rPr>
                      <w:rFonts w:hAnsi="宋体"/>
                      <w:color w:val="auto"/>
                      <w:szCs w:val="21"/>
                    </w:rPr>
                    <w:t>年排放时间</w:t>
                  </w:r>
                  <w:r>
                    <w:rPr>
                      <w:color w:val="auto"/>
                      <w:szCs w:val="21"/>
                    </w:rPr>
                    <w:t>h</w:t>
                  </w:r>
                </w:p>
              </w:tc>
            </w:tr>
            <w:tr w14:paraId="727041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1" w:type="pct"/>
                  <w:vMerge w:val="continue"/>
                  <w:vAlign w:val="center"/>
                </w:tcPr>
                <w:p w14:paraId="136EF94F">
                  <w:pPr>
                    <w:adjustRightInd w:val="0"/>
                    <w:snapToGrid w:val="0"/>
                    <w:jc w:val="center"/>
                    <w:rPr>
                      <w:color w:val="auto"/>
                      <w:szCs w:val="21"/>
                    </w:rPr>
                  </w:pPr>
                </w:p>
              </w:tc>
              <w:tc>
                <w:tcPr>
                  <w:tcW w:w="251" w:type="pct"/>
                  <w:vMerge w:val="continue"/>
                  <w:vAlign w:val="center"/>
                </w:tcPr>
                <w:p w14:paraId="3CCD72B6">
                  <w:pPr>
                    <w:adjustRightInd w:val="0"/>
                    <w:snapToGrid w:val="0"/>
                    <w:jc w:val="center"/>
                    <w:rPr>
                      <w:color w:val="auto"/>
                      <w:szCs w:val="21"/>
                    </w:rPr>
                  </w:pPr>
                </w:p>
              </w:tc>
              <w:tc>
                <w:tcPr>
                  <w:tcW w:w="374" w:type="pct"/>
                  <w:vMerge w:val="continue"/>
                  <w:vAlign w:val="center"/>
                </w:tcPr>
                <w:p w14:paraId="1E40D9F9">
                  <w:pPr>
                    <w:adjustRightInd w:val="0"/>
                    <w:snapToGrid w:val="0"/>
                    <w:jc w:val="center"/>
                    <w:rPr>
                      <w:color w:val="auto"/>
                      <w:szCs w:val="21"/>
                    </w:rPr>
                  </w:pPr>
                </w:p>
              </w:tc>
              <w:tc>
                <w:tcPr>
                  <w:tcW w:w="458" w:type="pct"/>
                  <w:vAlign w:val="center"/>
                </w:tcPr>
                <w:p w14:paraId="4A3C17BC">
                  <w:pPr>
                    <w:adjustRightInd w:val="0"/>
                    <w:snapToGrid w:val="0"/>
                    <w:jc w:val="center"/>
                    <w:rPr>
                      <w:color w:val="auto"/>
                      <w:szCs w:val="21"/>
                    </w:rPr>
                  </w:pPr>
                  <w:r>
                    <w:rPr>
                      <w:rFonts w:hAnsi="宋体"/>
                      <w:color w:val="auto"/>
                      <w:szCs w:val="21"/>
                    </w:rPr>
                    <w:t>浓度</w:t>
                  </w:r>
                  <w:r>
                    <w:rPr>
                      <w:color w:val="auto"/>
                      <w:szCs w:val="21"/>
                    </w:rPr>
                    <w:t>mg/m</w:t>
                  </w:r>
                  <w:r>
                    <w:rPr>
                      <w:color w:val="auto"/>
                      <w:szCs w:val="21"/>
                      <w:vertAlign w:val="superscript"/>
                    </w:rPr>
                    <w:t>3</w:t>
                  </w:r>
                </w:p>
              </w:tc>
              <w:tc>
                <w:tcPr>
                  <w:tcW w:w="467" w:type="pct"/>
                  <w:vAlign w:val="center"/>
                </w:tcPr>
                <w:p w14:paraId="24E22D5A">
                  <w:pPr>
                    <w:adjustRightInd w:val="0"/>
                    <w:snapToGrid w:val="0"/>
                    <w:jc w:val="center"/>
                    <w:rPr>
                      <w:color w:val="auto"/>
                      <w:szCs w:val="21"/>
                    </w:rPr>
                  </w:pPr>
                  <w:r>
                    <w:rPr>
                      <w:rFonts w:hAnsi="宋体"/>
                      <w:color w:val="auto"/>
                      <w:szCs w:val="21"/>
                    </w:rPr>
                    <w:t>产生量</w:t>
                  </w:r>
                  <w:r>
                    <w:rPr>
                      <w:rFonts w:hint="eastAsia"/>
                      <w:color w:val="auto"/>
                      <w:szCs w:val="21"/>
                    </w:rPr>
                    <w:t>t</w:t>
                  </w:r>
                  <w:r>
                    <w:rPr>
                      <w:color w:val="auto"/>
                      <w:szCs w:val="21"/>
                    </w:rPr>
                    <w:t>/a</w:t>
                  </w:r>
                </w:p>
              </w:tc>
              <w:tc>
                <w:tcPr>
                  <w:tcW w:w="385" w:type="pct"/>
                  <w:vMerge w:val="continue"/>
                  <w:vAlign w:val="center"/>
                </w:tcPr>
                <w:p w14:paraId="5D7083A5">
                  <w:pPr>
                    <w:adjustRightInd w:val="0"/>
                    <w:snapToGrid w:val="0"/>
                    <w:jc w:val="center"/>
                    <w:rPr>
                      <w:color w:val="auto"/>
                      <w:szCs w:val="21"/>
                    </w:rPr>
                  </w:pPr>
                </w:p>
              </w:tc>
              <w:tc>
                <w:tcPr>
                  <w:tcW w:w="313" w:type="pct"/>
                  <w:vMerge w:val="continue"/>
                  <w:vAlign w:val="center"/>
                </w:tcPr>
                <w:p w14:paraId="78A31C90">
                  <w:pPr>
                    <w:adjustRightInd w:val="0"/>
                    <w:snapToGrid w:val="0"/>
                    <w:jc w:val="center"/>
                    <w:rPr>
                      <w:color w:val="auto"/>
                      <w:szCs w:val="21"/>
                    </w:rPr>
                  </w:pPr>
                </w:p>
              </w:tc>
              <w:tc>
                <w:tcPr>
                  <w:tcW w:w="458" w:type="pct"/>
                  <w:vAlign w:val="center"/>
                </w:tcPr>
                <w:p w14:paraId="553C0BD8">
                  <w:pPr>
                    <w:adjustRightInd w:val="0"/>
                    <w:snapToGrid w:val="0"/>
                    <w:jc w:val="center"/>
                    <w:rPr>
                      <w:color w:val="auto"/>
                      <w:szCs w:val="21"/>
                    </w:rPr>
                  </w:pPr>
                  <w:r>
                    <w:rPr>
                      <w:rFonts w:hAnsi="宋体"/>
                      <w:color w:val="auto"/>
                      <w:szCs w:val="21"/>
                    </w:rPr>
                    <w:t>浓度</w:t>
                  </w:r>
                  <w:r>
                    <w:rPr>
                      <w:color w:val="auto"/>
                      <w:szCs w:val="21"/>
                    </w:rPr>
                    <w:t>mg/m</w:t>
                  </w:r>
                  <w:r>
                    <w:rPr>
                      <w:color w:val="auto"/>
                      <w:szCs w:val="21"/>
                      <w:vertAlign w:val="superscript"/>
                    </w:rPr>
                    <w:t>3</w:t>
                  </w:r>
                </w:p>
              </w:tc>
              <w:tc>
                <w:tcPr>
                  <w:tcW w:w="508" w:type="pct"/>
                  <w:vAlign w:val="center"/>
                </w:tcPr>
                <w:p w14:paraId="20CADEF6">
                  <w:pPr>
                    <w:adjustRightInd w:val="0"/>
                    <w:snapToGrid w:val="0"/>
                    <w:jc w:val="center"/>
                    <w:rPr>
                      <w:color w:val="auto"/>
                      <w:szCs w:val="21"/>
                    </w:rPr>
                  </w:pPr>
                  <w:r>
                    <w:rPr>
                      <w:rFonts w:hAnsi="宋体"/>
                      <w:color w:val="auto"/>
                      <w:szCs w:val="21"/>
                    </w:rPr>
                    <w:t>排放量</w:t>
                  </w:r>
                  <w:r>
                    <w:rPr>
                      <w:rFonts w:hint="eastAsia"/>
                      <w:color w:val="auto"/>
                      <w:szCs w:val="21"/>
                    </w:rPr>
                    <w:t>t</w:t>
                  </w:r>
                  <w:r>
                    <w:rPr>
                      <w:color w:val="auto"/>
                      <w:szCs w:val="21"/>
                    </w:rPr>
                    <w:t>/a</w:t>
                  </w:r>
                </w:p>
              </w:tc>
              <w:tc>
                <w:tcPr>
                  <w:tcW w:w="511" w:type="pct"/>
                  <w:vAlign w:val="center"/>
                </w:tcPr>
                <w:p w14:paraId="59EE6FAB">
                  <w:pPr>
                    <w:adjustRightInd w:val="0"/>
                    <w:snapToGrid w:val="0"/>
                    <w:jc w:val="center"/>
                    <w:rPr>
                      <w:color w:val="auto"/>
                      <w:szCs w:val="21"/>
                    </w:rPr>
                  </w:pPr>
                  <w:r>
                    <w:rPr>
                      <w:rFonts w:hAnsi="宋体"/>
                      <w:color w:val="auto"/>
                      <w:szCs w:val="21"/>
                    </w:rPr>
                    <w:t>浓度</w:t>
                  </w:r>
                  <w:r>
                    <w:rPr>
                      <w:color w:val="auto"/>
                      <w:szCs w:val="21"/>
                    </w:rPr>
                    <w:t>mg/m</w:t>
                  </w:r>
                  <w:r>
                    <w:rPr>
                      <w:color w:val="auto"/>
                      <w:szCs w:val="21"/>
                      <w:vertAlign w:val="superscript"/>
                    </w:rPr>
                    <w:t>3</w:t>
                  </w:r>
                </w:p>
              </w:tc>
              <w:tc>
                <w:tcPr>
                  <w:tcW w:w="515" w:type="pct"/>
                  <w:vMerge w:val="continue"/>
                  <w:vAlign w:val="center"/>
                </w:tcPr>
                <w:p w14:paraId="4FCF855B">
                  <w:pPr>
                    <w:adjustRightInd w:val="0"/>
                    <w:snapToGrid w:val="0"/>
                    <w:jc w:val="center"/>
                    <w:rPr>
                      <w:color w:val="auto"/>
                      <w:szCs w:val="21"/>
                    </w:rPr>
                  </w:pPr>
                </w:p>
              </w:tc>
              <w:tc>
                <w:tcPr>
                  <w:tcW w:w="503" w:type="pct"/>
                  <w:vMerge w:val="continue"/>
                  <w:vAlign w:val="center"/>
                </w:tcPr>
                <w:p w14:paraId="425B8BE4">
                  <w:pPr>
                    <w:adjustRightInd w:val="0"/>
                    <w:snapToGrid w:val="0"/>
                    <w:jc w:val="center"/>
                    <w:rPr>
                      <w:color w:val="auto"/>
                      <w:szCs w:val="21"/>
                    </w:rPr>
                  </w:pPr>
                </w:p>
              </w:tc>
            </w:tr>
            <w:tr w14:paraId="4C682A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1" w:type="pct"/>
                  <w:vAlign w:val="center"/>
                </w:tcPr>
                <w:p w14:paraId="576F72E0">
                  <w:pPr>
                    <w:adjustRightInd w:val="0"/>
                    <w:snapToGrid w:val="0"/>
                    <w:jc w:val="center"/>
                    <w:rPr>
                      <w:color w:val="auto"/>
                      <w:szCs w:val="21"/>
                    </w:rPr>
                  </w:pPr>
                  <w:r>
                    <w:rPr>
                      <w:rFonts w:hAnsi="宋体"/>
                      <w:color w:val="auto"/>
                      <w:szCs w:val="21"/>
                    </w:rPr>
                    <w:t>烹饪</w:t>
                  </w:r>
                </w:p>
              </w:tc>
              <w:tc>
                <w:tcPr>
                  <w:tcW w:w="251" w:type="pct"/>
                  <w:vAlign w:val="center"/>
                </w:tcPr>
                <w:p w14:paraId="0EA0F0BF">
                  <w:pPr>
                    <w:adjustRightInd w:val="0"/>
                    <w:snapToGrid w:val="0"/>
                    <w:jc w:val="center"/>
                    <w:rPr>
                      <w:color w:val="auto"/>
                      <w:szCs w:val="21"/>
                    </w:rPr>
                  </w:pPr>
                  <w:r>
                    <w:rPr>
                      <w:rFonts w:hAnsi="宋体"/>
                      <w:color w:val="auto"/>
                      <w:szCs w:val="21"/>
                    </w:rPr>
                    <w:t>油烟</w:t>
                  </w:r>
                </w:p>
              </w:tc>
              <w:tc>
                <w:tcPr>
                  <w:tcW w:w="374" w:type="pct"/>
                  <w:vAlign w:val="center"/>
                </w:tcPr>
                <w:p w14:paraId="3D770AE1">
                  <w:pPr>
                    <w:adjustRightInd w:val="0"/>
                    <w:snapToGrid w:val="0"/>
                    <w:jc w:val="center"/>
                    <w:rPr>
                      <w:color w:val="auto"/>
                      <w:szCs w:val="21"/>
                    </w:rPr>
                  </w:pPr>
                  <w:r>
                    <w:rPr>
                      <w:rFonts w:hint="eastAsia"/>
                      <w:color w:val="auto"/>
                      <w:szCs w:val="21"/>
                      <w:lang w:val="en-US" w:eastAsia="zh-CN"/>
                    </w:rPr>
                    <w:t>6</w:t>
                  </w:r>
                  <w:r>
                    <w:rPr>
                      <w:color w:val="auto"/>
                      <w:szCs w:val="21"/>
                    </w:rPr>
                    <w:t>000</w:t>
                  </w:r>
                </w:p>
              </w:tc>
              <w:tc>
                <w:tcPr>
                  <w:tcW w:w="458" w:type="pct"/>
                  <w:vAlign w:val="center"/>
                </w:tcPr>
                <w:p w14:paraId="4DEB75AD">
                  <w:pPr>
                    <w:adjustRightInd w:val="0"/>
                    <w:snapToGrid w:val="0"/>
                    <w:jc w:val="center"/>
                    <w:rPr>
                      <w:rFonts w:hint="default" w:eastAsia="宋体"/>
                      <w:color w:val="auto"/>
                      <w:szCs w:val="21"/>
                      <w:lang w:val="en-US" w:eastAsia="zh-CN"/>
                    </w:rPr>
                  </w:pPr>
                  <w:r>
                    <w:rPr>
                      <w:rFonts w:hint="eastAsia"/>
                      <w:color w:val="auto"/>
                      <w:szCs w:val="21"/>
                      <w:lang w:val="en-US" w:eastAsia="zh-CN"/>
                    </w:rPr>
                    <w:t>3.75</w:t>
                  </w:r>
                </w:p>
              </w:tc>
              <w:tc>
                <w:tcPr>
                  <w:tcW w:w="467" w:type="pct"/>
                  <w:vAlign w:val="center"/>
                </w:tcPr>
                <w:p w14:paraId="703FB630">
                  <w:pPr>
                    <w:adjustRightInd w:val="0"/>
                    <w:snapToGrid w:val="0"/>
                    <w:jc w:val="center"/>
                    <w:rPr>
                      <w:rFonts w:hint="default" w:eastAsia="宋体"/>
                      <w:color w:val="auto"/>
                      <w:szCs w:val="21"/>
                      <w:lang w:val="en-US" w:eastAsia="zh-CN"/>
                    </w:rPr>
                  </w:pPr>
                  <w:r>
                    <w:rPr>
                      <w:rFonts w:hint="eastAsia"/>
                      <w:color w:val="auto"/>
                      <w:szCs w:val="21"/>
                      <w:lang w:val="en-US" w:eastAsia="zh-CN"/>
                    </w:rPr>
                    <w:t>0.0135</w:t>
                  </w:r>
                </w:p>
              </w:tc>
              <w:tc>
                <w:tcPr>
                  <w:tcW w:w="385" w:type="pct"/>
                  <w:vAlign w:val="center"/>
                </w:tcPr>
                <w:p w14:paraId="3664D52A">
                  <w:pPr>
                    <w:adjustRightInd w:val="0"/>
                    <w:snapToGrid w:val="0"/>
                    <w:jc w:val="center"/>
                    <w:rPr>
                      <w:color w:val="auto"/>
                      <w:szCs w:val="21"/>
                    </w:rPr>
                  </w:pPr>
                  <w:r>
                    <w:rPr>
                      <w:rFonts w:hAnsi="宋体"/>
                      <w:color w:val="auto"/>
                      <w:szCs w:val="21"/>
                    </w:rPr>
                    <w:t>油烟净化</w:t>
                  </w:r>
                  <w:r>
                    <w:rPr>
                      <w:rFonts w:hint="eastAsia" w:hAnsi="宋体"/>
                      <w:color w:val="auto"/>
                      <w:szCs w:val="21"/>
                    </w:rPr>
                    <w:t>器</w:t>
                  </w:r>
                </w:p>
              </w:tc>
              <w:tc>
                <w:tcPr>
                  <w:tcW w:w="313" w:type="pct"/>
                  <w:vAlign w:val="center"/>
                </w:tcPr>
                <w:p w14:paraId="4D7534B7">
                  <w:pPr>
                    <w:adjustRightInd w:val="0"/>
                    <w:snapToGrid w:val="0"/>
                    <w:jc w:val="center"/>
                    <w:rPr>
                      <w:rFonts w:hint="default" w:eastAsia="宋体"/>
                      <w:color w:val="auto"/>
                      <w:szCs w:val="21"/>
                      <w:lang w:val="en-US" w:eastAsia="zh-CN"/>
                    </w:rPr>
                  </w:pPr>
                  <w:r>
                    <w:rPr>
                      <w:rFonts w:hint="eastAsia"/>
                      <w:color w:val="auto"/>
                      <w:szCs w:val="21"/>
                      <w:lang w:val="en-US" w:eastAsia="zh-CN"/>
                    </w:rPr>
                    <w:t>75</w:t>
                  </w:r>
                </w:p>
              </w:tc>
              <w:tc>
                <w:tcPr>
                  <w:tcW w:w="458" w:type="pct"/>
                  <w:vAlign w:val="center"/>
                </w:tcPr>
                <w:p w14:paraId="02B77A7C">
                  <w:pPr>
                    <w:adjustRightInd w:val="0"/>
                    <w:snapToGrid w:val="0"/>
                    <w:jc w:val="center"/>
                    <w:rPr>
                      <w:rFonts w:hint="default" w:eastAsia="宋体"/>
                      <w:color w:val="auto"/>
                      <w:szCs w:val="21"/>
                      <w:lang w:val="en-US" w:eastAsia="zh-CN"/>
                    </w:rPr>
                  </w:pPr>
                  <w:r>
                    <w:rPr>
                      <w:rFonts w:hint="eastAsia"/>
                      <w:color w:val="auto"/>
                      <w:szCs w:val="21"/>
                      <w:lang w:val="en-US" w:eastAsia="zh-CN"/>
                    </w:rPr>
                    <w:t>0.94</w:t>
                  </w:r>
                </w:p>
              </w:tc>
              <w:tc>
                <w:tcPr>
                  <w:tcW w:w="508" w:type="pct"/>
                  <w:vAlign w:val="center"/>
                </w:tcPr>
                <w:p w14:paraId="203A9C29">
                  <w:pPr>
                    <w:adjustRightInd w:val="0"/>
                    <w:snapToGrid w:val="0"/>
                    <w:jc w:val="center"/>
                    <w:rPr>
                      <w:rFonts w:hint="default" w:eastAsia="宋体"/>
                      <w:color w:val="auto"/>
                      <w:szCs w:val="21"/>
                      <w:lang w:val="en-US" w:eastAsia="zh-CN"/>
                    </w:rPr>
                  </w:pPr>
                  <w:r>
                    <w:rPr>
                      <w:rFonts w:hint="eastAsia"/>
                      <w:color w:val="auto"/>
                      <w:szCs w:val="21"/>
                      <w:lang w:val="en-US" w:eastAsia="zh-CN"/>
                    </w:rPr>
                    <w:t>0.0034</w:t>
                  </w:r>
                </w:p>
              </w:tc>
              <w:tc>
                <w:tcPr>
                  <w:tcW w:w="511" w:type="pct"/>
                  <w:vAlign w:val="center"/>
                </w:tcPr>
                <w:p w14:paraId="256DFB41">
                  <w:pPr>
                    <w:adjustRightInd w:val="0"/>
                    <w:snapToGrid w:val="0"/>
                    <w:jc w:val="center"/>
                    <w:rPr>
                      <w:color w:val="auto"/>
                      <w:szCs w:val="21"/>
                    </w:rPr>
                  </w:pPr>
                  <w:r>
                    <w:rPr>
                      <w:rFonts w:hint="eastAsia"/>
                      <w:color w:val="auto"/>
                      <w:szCs w:val="21"/>
                    </w:rPr>
                    <w:t>2</w:t>
                  </w:r>
                  <w:r>
                    <w:rPr>
                      <w:color w:val="auto"/>
                      <w:szCs w:val="21"/>
                    </w:rPr>
                    <w:t>.0</w:t>
                  </w:r>
                </w:p>
              </w:tc>
              <w:tc>
                <w:tcPr>
                  <w:tcW w:w="515" w:type="pct"/>
                  <w:vAlign w:val="center"/>
                </w:tcPr>
                <w:p w14:paraId="5C925558">
                  <w:pPr>
                    <w:adjustRightInd w:val="0"/>
                    <w:snapToGrid w:val="0"/>
                    <w:jc w:val="center"/>
                    <w:rPr>
                      <w:color w:val="auto"/>
                      <w:szCs w:val="21"/>
                    </w:rPr>
                  </w:pPr>
                  <w:r>
                    <w:rPr>
                      <w:color w:val="auto"/>
                      <w:szCs w:val="21"/>
                    </w:rPr>
                    <w:t>12/0.</w:t>
                  </w:r>
                  <w:r>
                    <w:rPr>
                      <w:rFonts w:hint="eastAsia"/>
                      <w:color w:val="auto"/>
                      <w:szCs w:val="21"/>
                    </w:rPr>
                    <w:t>3</w:t>
                  </w:r>
                </w:p>
              </w:tc>
              <w:tc>
                <w:tcPr>
                  <w:tcW w:w="503" w:type="pct"/>
                  <w:vAlign w:val="center"/>
                </w:tcPr>
                <w:p w14:paraId="6B2C7751">
                  <w:pPr>
                    <w:adjustRightInd w:val="0"/>
                    <w:snapToGrid w:val="0"/>
                    <w:jc w:val="center"/>
                    <w:rPr>
                      <w:rFonts w:hint="default" w:eastAsia="宋体"/>
                      <w:color w:val="auto"/>
                      <w:szCs w:val="21"/>
                      <w:lang w:val="en-US" w:eastAsia="zh-CN"/>
                    </w:rPr>
                  </w:pPr>
                  <w:r>
                    <w:rPr>
                      <w:rFonts w:hint="eastAsia"/>
                      <w:color w:val="auto"/>
                      <w:szCs w:val="21"/>
                      <w:lang w:val="en-US" w:eastAsia="zh-CN"/>
                    </w:rPr>
                    <w:t>600</w:t>
                  </w:r>
                </w:p>
              </w:tc>
            </w:tr>
          </w:tbl>
          <w:p w14:paraId="3AAADC80">
            <w:pPr>
              <w:pStyle w:val="35"/>
              <w:adjustRightInd w:val="0"/>
              <w:snapToGrid w:val="0"/>
              <w:spacing w:beforeLines="50" w:after="0" w:line="360" w:lineRule="auto"/>
              <w:ind w:left="0" w:leftChars="0" w:firstLine="480" w:firstLineChars="200"/>
              <w:rPr>
                <w:rFonts w:hAnsi="宋体"/>
                <w:color w:val="auto"/>
                <w:sz w:val="24"/>
              </w:rPr>
            </w:pPr>
            <w:r>
              <w:rPr>
                <w:rFonts w:hint="eastAsia" w:hAnsi="宋体"/>
                <w:color w:val="auto"/>
                <w:sz w:val="24"/>
              </w:rPr>
              <w:t>B.燃料废气</w:t>
            </w:r>
          </w:p>
          <w:p w14:paraId="4F738AD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color w:val="auto"/>
                <w:spacing w:val="-10"/>
                <w:sz w:val="24"/>
                <w:lang w:eastAsia="zh-CN"/>
              </w:rPr>
            </w:pPr>
            <w:r>
              <w:rPr>
                <w:bCs/>
                <w:color w:val="auto"/>
                <w:sz w:val="24"/>
              </w:rPr>
              <w:t>项目食堂</w:t>
            </w:r>
            <w:r>
              <w:rPr>
                <w:rFonts w:hint="eastAsia"/>
                <w:color w:val="auto"/>
                <w:sz w:val="24"/>
              </w:rPr>
              <w:t>使用清洁能源</w:t>
            </w:r>
            <w:r>
              <w:rPr>
                <w:rFonts w:hint="eastAsia"/>
                <w:bCs/>
                <w:color w:val="auto"/>
                <w:sz w:val="24"/>
              </w:rPr>
              <w:t>天然气</w:t>
            </w:r>
            <w:r>
              <w:rPr>
                <w:bCs/>
                <w:color w:val="auto"/>
                <w:sz w:val="24"/>
              </w:rPr>
              <w:t>作为</w:t>
            </w:r>
            <w:r>
              <w:rPr>
                <w:rFonts w:hint="eastAsia"/>
                <w:bCs/>
                <w:color w:val="auto"/>
                <w:sz w:val="24"/>
              </w:rPr>
              <w:t>燃料</w:t>
            </w:r>
            <w:r>
              <w:rPr>
                <w:bCs/>
                <w:color w:val="auto"/>
                <w:sz w:val="24"/>
              </w:rPr>
              <w:t>，</w:t>
            </w:r>
            <w:r>
              <w:rPr>
                <w:rFonts w:hint="eastAsia"/>
                <w:bCs/>
                <w:color w:val="auto"/>
                <w:sz w:val="24"/>
              </w:rPr>
              <w:t>用量约为</w:t>
            </w:r>
            <w:r>
              <w:rPr>
                <w:rFonts w:hint="eastAsia"/>
                <w:bCs/>
                <w:color w:val="auto"/>
                <w:sz w:val="24"/>
                <w:lang w:val="en-US" w:eastAsia="zh-CN"/>
              </w:rPr>
              <w:t>0.5</w:t>
            </w:r>
            <w:r>
              <w:rPr>
                <w:rFonts w:hint="eastAsia"/>
                <w:bCs/>
                <w:color w:val="auto"/>
                <w:sz w:val="24"/>
              </w:rPr>
              <w:t>万立方米/年，燃料</w:t>
            </w:r>
            <w:r>
              <w:rPr>
                <w:bCs/>
                <w:color w:val="auto"/>
                <w:sz w:val="24"/>
              </w:rPr>
              <w:t>燃烧过程中</w:t>
            </w:r>
            <w:r>
              <w:rPr>
                <w:rFonts w:hint="eastAsia"/>
                <w:bCs/>
                <w:color w:val="auto"/>
                <w:sz w:val="24"/>
              </w:rPr>
              <w:t>会</w:t>
            </w:r>
            <w:r>
              <w:rPr>
                <w:bCs/>
                <w:color w:val="auto"/>
                <w:sz w:val="24"/>
              </w:rPr>
              <w:t>产生</w:t>
            </w:r>
            <w:r>
              <w:rPr>
                <w:rFonts w:hint="eastAsia"/>
                <w:bCs/>
                <w:color w:val="auto"/>
                <w:sz w:val="24"/>
              </w:rPr>
              <w:t>少量</w:t>
            </w:r>
            <w:r>
              <w:rPr>
                <w:bCs/>
                <w:color w:val="auto"/>
                <w:sz w:val="24"/>
              </w:rPr>
              <w:t>的</w:t>
            </w:r>
            <w:r>
              <w:rPr>
                <w:color w:val="auto"/>
                <w:sz w:val="24"/>
              </w:rPr>
              <w:t>SO</w:t>
            </w:r>
            <w:r>
              <w:rPr>
                <w:color w:val="auto"/>
                <w:sz w:val="24"/>
                <w:vertAlign w:val="subscript"/>
              </w:rPr>
              <w:t>2</w:t>
            </w:r>
            <w:r>
              <w:rPr>
                <w:color w:val="auto"/>
                <w:sz w:val="24"/>
              </w:rPr>
              <w:t>、NO</w:t>
            </w:r>
            <w:r>
              <w:rPr>
                <w:color w:val="auto"/>
                <w:sz w:val="24"/>
                <w:vertAlign w:val="subscript"/>
              </w:rPr>
              <w:t>X</w:t>
            </w:r>
            <w:r>
              <w:rPr>
                <w:color w:val="auto"/>
                <w:sz w:val="24"/>
              </w:rPr>
              <w:t>和烟尘</w:t>
            </w:r>
            <w:r>
              <w:rPr>
                <w:bCs/>
                <w:color w:val="auto"/>
                <w:sz w:val="24"/>
              </w:rPr>
              <w:t>，</w:t>
            </w:r>
            <w:r>
              <w:rPr>
                <w:rFonts w:hint="eastAsia"/>
                <w:bCs/>
                <w:color w:val="auto"/>
                <w:sz w:val="24"/>
              </w:rPr>
              <w:t>采用</w:t>
            </w:r>
            <w:r>
              <w:rPr>
                <w:bCs/>
                <w:color w:val="auto"/>
                <w:sz w:val="24"/>
              </w:rPr>
              <w:t>抽油烟机</w:t>
            </w:r>
            <w:r>
              <w:rPr>
                <w:rFonts w:hint="eastAsia"/>
                <w:bCs/>
                <w:color w:val="auto"/>
                <w:sz w:val="24"/>
              </w:rPr>
              <w:t>集气</w:t>
            </w:r>
            <w:r>
              <w:rPr>
                <w:bCs/>
                <w:color w:val="auto"/>
                <w:sz w:val="24"/>
              </w:rPr>
              <w:t>，通过建筑物内预设的内壁式专用烟道进行排放</w:t>
            </w:r>
            <w:r>
              <w:rPr>
                <w:rFonts w:hint="eastAsia"/>
                <w:bCs/>
                <w:color w:val="auto"/>
                <w:sz w:val="24"/>
              </w:rPr>
              <w:t>，</w:t>
            </w:r>
            <w:r>
              <w:rPr>
                <w:bCs/>
                <w:color w:val="auto"/>
                <w:sz w:val="24"/>
              </w:rPr>
              <w:t>对周围环境的影响比较小，</w:t>
            </w:r>
            <w:r>
              <w:rPr>
                <w:rFonts w:hint="eastAsia"/>
                <w:bCs/>
                <w:color w:val="auto"/>
                <w:sz w:val="24"/>
              </w:rPr>
              <w:t>本次评价不做定量分析</w:t>
            </w:r>
            <w:r>
              <w:rPr>
                <w:bCs/>
                <w:color w:val="auto"/>
                <w:sz w:val="24"/>
              </w:rPr>
              <w:t>。</w:t>
            </w:r>
          </w:p>
        </w:tc>
      </w:tr>
    </w:tbl>
    <w:p w14:paraId="529CF9E5">
      <w:pPr>
        <w:rPr>
          <w:bCs/>
          <w:color w:val="auto"/>
          <w:sz w:val="24"/>
        </w:rPr>
      </w:pPr>
      <w:r>
        <w:rPr>
          <w:bCs/>
          <w:color w:val="auto"/>
          <w:sz w:val="24"/>
        </w:rPr>
        <w:br w:type="page"/>
      </w:r>
    </w:p>
    <w:p w14:paraId="19EB8B3A">
      <w:pPr>
        <w:adjustRightInd w:val="0"/>
        <w:snapToGrid w:val="0"/>
        <w:jc w:val="center"/>
        <w:rPr>
          <w:bCs/>
          <w:color w:val="auto"/>
          <w:sz w:val="24"/>
        </w:rPr>
        <w:sectPr>
          <w:type w:val="continuous"/>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
        <w:gridCol w:w="13210"/>
      </w:tblGrid>
      <w:tr w14:paraId="4DAA1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7" w:hRule="atLeast"/>
          <w:jc w:val="center"/>
        </w:trPr>
        <w:tc>
          <w:tcPr>
            <w:tcW w:w="442" w:type="dxa"/>
            <w:vAlign w:val="center"/>
          </w:tcPr>
          <w:p w14:paraId="10861E6C">
            <w:pPr>
              <w:adjustRightInd w:val="0"/>
              <w:snapToGrid w:val="0"/>
              <w:jc w:val="center"/>
              <w:rPr>
                <w:bCs/>
                <w:color w:val="auto"/>
                <w:sz w:val="24"/>
              </w:rPr>
            </w:pPr>
            <w:r>
              <w:rPr>
                <w:bCs/>
                <w:color w:val="auto"/>
                <w:sz w:val="24"/>
              </w:rPr>
              <w:t>运营</w:t>
            </w:r>
          </w:p>
          <w:p w14:paraId="43385463">
            <w:pPr>
              <w:adjustRightInd w:val="0"/>
              <w:snapToGrid w:val="0"/>
              <w:jc w:val="center"/>
              <w:rPr>
                <w:bCs/>
                <w:color w:val="auto"/>
                <w:sz w:val="24"/>
              </w:rPr>
            </w:pPr>
            <w:r>
              <w:rPr>
                <w:bCs/>
                <w:color w:val="auto"/>
                <w:sz w:val="24"/>
              </w:rPr>
              <w:t>期环</w:t>
            </w:r>
          </w:p>
          <w:p w14:paraId="2A744354">
            <w:pPr>
              <w:adjustRightInd w:val="0"/>
              <w:snapToGrid w:val="0"/>
              <w:jc w:val="center"/>
              <w:rPr>
                <w:bCs/>
                <w:color w:val="auto"/>
                <w:sz w:val="24"/>
              </w:rPr>
            </w:pPr>
            <w:r>
              <w:rPr>
                <w:bCs/>
                <w:color w:val="auto"/>
                <w:sz w:val="24"/>
              </w:rPr>
              <w:t>境影</w:t>
            </w:r>
          </w:p>
          <w:p w14:paraId="490121A9">
            <w:pPr>
              <w:adjustRightInd w:val="0"/>
              <w:snapToGrid w:val="0"/>
              <w:jc w:val="center"/>
              <w:rPr>
                <w:bCs/>
                <w:color w:val="auto"/>
                <w:sz w:val="24"/>
              </w:rPr>
            </w:pPr>
            <w:r>
              <w:rPr>
                <w:bCs/>
                <w:color w:val="auto"/>
                <w:sz w:val="24"/>
              </w:rPr>
              <w:t>响和</w:t>
            </w:r>
          </w:p>
          <w:p w14:paraId="5C02CC6C">
            <w:pPr>
              <w:adjustRightInd w:val="0"/>
              <w:snapToGrid w:val="0"/>
              <w:jc w:val="center"/>
              <w:rPr>
                <w:bCs/>
                <w:color w:val="auto"/>
                <w:sz w:val="24"/>
              </w:rPr>
            </w:pPr>
            <w:r>
              <w:rPr>
                <w:bCs/>
                <w:color w:val="auto"/>
                <w:sz w:val="24"/>
              </w:rPr>
              <w:t>保护</w:t>
            </w:r>
          </w:p>
          <w:p w14:paraId="0C288FCC">
            <w:pPr>
              <w:adjustRightInd w:val="0"/>
              <w:snapToGrid w:val="0"/>
              <w:jc w:val="center"/>
              <w:rPr>
                <w:bCs/>
                <w:color w:val="auto"/>
                <w:sz w:val="24"/>
              </w:rPr>
            </w:pPr>
            <w:r>
              <w:rPr>
                <w:bCs/>
                <w:color w:val="auto"/>
                <w:sz w:val="24"/>
              </w:rPr>
              <w:t>措施</w:t>
            </w:r>
          </w:p>
        </w:tc>
        <w:tc>
          <w:tcPr>
            <w:tcW w:w="13210" w:type="dxa"/>
          </w:tcPr>
          <w:p w14:paraId="2835AF61">
            <w:pPr>
              <w:autoSpaceDE w:val="0"/>
              <w:autoSpaceDN w:val="0"/>
              <w:adjustRightInd w:val="0"/>
              <w:snapToGrid w:val="0"/>
              <w:spacing w:line="360" w:lineRule="auto"/>
              <w:ind w:firstLine="480" w:firstLineChars="200"/>
              <w:rPr>
                <w:color w:val="auto"/>
                <w:sz w:val="24"/>
              </w:rPr>
            </w:pPr>
            <w:r>
              <w:rPr>
                <w:rFonts w:hint="eastAsia"/>
                <w:color w:val="auto"/>
                <w:sz w:val="24"/>
              </w:rPr>
              <w:t>本</w:t>
            </w:r>
            <w:r>
              <w:rPr>
                <w:color w:val="auto"/>
                <w:sz w:val="24"/>
              </w:rPr>
              <w:t>项目</w:t>
            </w:r>
            <w:r>
              <w:rPr>
                <w:rFonts w:hint="eastAsia"/>
                <w:color w:val="auto"/>
                <w:sz w:val="24"/>
              </w:rPr>
              <w:t>建设</w:t>
            </w:r>
            <w:r>
              <w:rPr>
                <w:color w:val="auto"/>
                <w:sz w:val="24"/>
              </w:rPr>
              <w:t>大气污染物排放相关参数见表4-</w:t>
            </w:r>
            <w:r>
              <w:rPr>
                <w:rFonts w:hint="eastAsia"/>
                <w:color w:val="auto"/>
                <w:sz w:val="24"/>
                <w:lang w:val="en-US" w:eastAsia="zh-CN"/>
              </w:rPr>
              <w:t>4</w:t>
            </w:r>
            <w:r>
              <w:rPr>
                <w:rFonts w:hint="eastAsia"/>
                <w:color w:val="auto"/>
                <w:sz w:val="24"/>
              </w:rPr>
              <w:t>、4-</w:t>
            </w:r>
            <w:r>
              <w:rPr>
                <w:rFonts w:hint="eastAsia"/>
                <w:color w:val="auto"/>
                <w:sz w:val="24"/>
                <w:lang w:val="en-US" w:eastAsia="zh-CN"/>
              </w:rPr>
              <w:t>5</w:t>
            </w:r>
            <w:r>
              <w:rPr>
                <w:rFonts w:hint="eastAsia"/>
                <w:color w:val="auto"/>
                <w:sz w:val="24"/>
              </w:rPr>
              <w:t>、4-</w:t>
            </w:r>
            <w:r>
              <w:rPr>
                <w:rFonts w:hint="eastAsia"/>
                <w:color w:val="auto"/>
                <w:sz w:val="24"/>
                <w:lang w:val="en-US" w:eastAsia="zh-CN"/>
              </w:rPr>
              <w:t>6</w:t>
            </w:r>
            <w:r>
              <w:rPr>
                <w:color w:val="auto"/>
                <w:sz w:val="24"/>
              </w:rPr>
              <w:t>。</w:t>
            </w:r>
          </w:p>
          <w:p w14:paraId="3874F176">
            <w:pPr>
              <w:widowControl/>
              <w:adjustRightInd w:val="0"/>
              <w:snapToGrid w:val="0"/>
              <w:ind w:firstLine="482"/>
              <w:jc w:val="center"/>
              <w:rPr>
                <w:b/>
                <w:color w:val="auto"/>
                <w:kern w:val="0"/>
                <w:sz w:val="24"/>
              </w:rPr>
            </w:pPr>
            <w:r>
              <w:rPr>
                <w:b/>
                <w:color w:val="auto"/>
                <w:kern w:val="0"/>
                <w:sz w:val="24"/>
              </w:rPr>
              <w:t>表4-</w:t>
            </w:r>
            <w:r>
              <w:rPr>
                <w:rFonts w:hint="eastAsia"/>
                <w:b/>
                <w:color w:val="auto"/>
                <w:kern w:val="0"/>
                <w:sz w:val="24"/>
                <w:lang w:val="en-US" w:eastAsia="zh-CN"/>
              </w:rPr>
              <w:t>4</w:t>
            </w:r>
            <w:r>
              <w:rPr>
                <w:b/>
                <w:color w:val="auto"/>
                <w:kern w:val="0"/>
                <w:sz w:val="24"/>
              </w:rPr>
              <w:t>建设项目废气污染源源强核算结果及相关参数一览表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487"/>
              <w:gridCol w:w="682"/>
              <w:gridCol w:w="859"/>
              <w:gridCol w:w="859"/>
              <w:gridCol w:w="640"/>
              <w:gridCol w:w="695"/>
              <w:gridCol w:w="695"/>
              <w:gridCol w:w="929"/>
              <w:gridCol w:w="921"/>
              <w:gridCol w:w="1324"/>
              <w:gridCol w:w="480"/>
              <w:gridCol w:w="705"/>
              <w:gridCol w:w="675"/>
              <w:gridCol w:w="855"/>
              <w:gridCol w:w="826"/>
              <w:gridCol w:w="655"/>
              <w:gridCol w:w="707"/>
            </w:tblGrid>
            <w:tr w14:paraId="2BA6794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87" w:type="pct"/>
                  <w:vMerge w:val="restart"/>
                  <w:tcBorders>
                    <w:tl2br w:val="nil"/>
                    <w:tr2bl w:val="nil"/>
                  </w:tcBorders>
                  <w:shd w:val="clear" w:color="auto" w:fill="auto"/>
                  <w:vAlign w:val="center"/>
                </w:tcPr>
                <w:p w14:paraId="36369D03">
                  <w:pPr>
                    <w:keepNext w:val="0"/>
                    <w:keepLines w:val="0"/>
                    <w:pageBreakBefore w:val="0"/>
                    <w:widowControl/>
                    <w:kinsoku/>
                    <w:wordWrap/>
                    <w:overflowPunct/>
                    <w:topLinePunct w:val="0"/>
                    <w:autoSpaceDE/>
                    <w:autoSpaceDN/>
                    <w:bidi w:val="0"/>
                    <w:adjustRightInd w:val="0"/>
                    <w:snapToGrid w:val="0"/>
                    <w:ind w:firstLine="0"/>
                    <w:jc w:val="center"/>
                    <w:rPr>
                      <w:b/>
                      <w:color w:val="auto"/>
                      <w:kern w:val="0"/>
                      <w:szCs w:val="21"/>
                    </w:rPr>
                  </w:pPr>
                  <w:r>
                    <w:rPr>
                      <w:b/>
                      <w:color w:val="auto"/>
                      <w:kern w:val="0"/>
                      <w:szCs w:val="21"/>
                    </w:rPr>
                    <w:t>工序/生产线</w:t>
                  </w:r>
                </w:p>
              </w:tc>
              <w:tc>
                <w:tcPr>
                  <w:tcW w:w="262" w:type="pct"/>
                  <w:vMerge w:val="restart"/>
                  <w:tcBorders>
                    <w:tl2br w:val="nil"/>
                    <w:tr2bl w:val="nil"/>
                  </w:tcBorders>
                  <w:shd w:val="clear" w:color="auto" w:fill="auto"/>
                  <w:vAlign w:val="center"/>
                </w:tcPr>
                <w:p w14:paraId="3905026F">
                  <w:pPr>
                    <w:keepNext w:val="0"/>
                    <w:keepLines w:val="0"/>
                    <w:pageBreakBefore w:val="0"/>
                    <w:widowControl/>
                    <w:kinsoku/>
                    <w:wordWrap/>
                    <w:overflowPunct/>
                    <w:topLinePunct w:val="0"/>
                    <w:autoSpaceDE/>
                    <w:autoSpaceDN/>
                    <w:bidi w:val="0"/>
                    <w:adjustRightInd w:val="0"/>
                    <w:snapToGrid w:val="0"/>
                    <w:ind w:firstLine="0"/>
                    <w:jc w:val="center"/>
                    <w:rPr>
                      <w:b/>
                      <w:color w:val="auto"/>
                      <w:kern w:val="0"/>
                      <w:szCs w:val="21"/>
                    </w:rPr>
                  </w:pPr>
                  <w:r>
                    <w:rPr>
                      <w:b/>
                      <w:color w:val="auto"/>
                      <w:kern w:val="0"/>
                      <w:szCs w:val="21"/>
                    </w:rPr>
                    <w:t>装置</w:t>
                  </w:r>
                </w:p>
              </w:tc>
              <w:tc>
                <w:tcPr>
                  <w:tcW w:w="330" w:type="pct"/>
                  <w:vMerge w:val="restart"/>
                  <w:tcBorders>
                    <w:tl2br w:val="nil"/>
                    <w:tr2bl w:val="nil"/>
                  </w:tcBorders>
                  <w:shd w:val="clear" w:color="auto" w:fill="auto"/>
                  <w:vAlign w:val="center"/>
                </w:tcPr>
                <w:p w14:paraId="321EEB72">
                  <w:pPr>
                    <w:keepNext w:val="0"/>
                    <w:keepLines w:val="0"/>
                    <w:pageBreakBefore w:val="0"/>
                    <w:widowControl/>
                    <w:kinsoku/>
                    <w:wordWrap/>
                    <w:overflowPunct/>
                    <w:topLinePunct w:val="0"/>
                    <w:autoSpaceDE/>
                    <w:autoSpaceDN/>
                    <w:bidi w:val="0"/>
                    <w:adjustRightInd w:val="0"/>
                    <w:snapToGrid w:val="0"/>
                    <w:ind w:firstLine="0"/>
                    <w:jc w:val="center"/>
                    <w:rPr>
                      <w:b/>
                      <w:color w:val="auto"/>
                      <w:kern w:val="0"/>
                      <w:szCs w:val="21"/>
                    </w:rPr>
                  </w:pPr>
                  <w:r>
                    <w:rPr>
                      <w:b/>
                      <w:color w:val="auto"/>
                      <w:kern w:val="0"/>
                      <w:szCs w:val="21"/>
                    </w:rPr>
                    <w:t>污染源</w:t>
                  </w:r>
                </w:p>
              </w:tc>
              <w:tc>
                <w:tcPr>
                  <w:tcW w:w="330" w:type="pct"/>
                  <w:vMerge w:val="restart"/>
                  <w:tcBorders>
                    <w:tl2br w:val="nil"/>
                    <w:tr2bl w:val="nil"/>
                  </w:tcBorders>
                  <w:shd w:val="clear" w:color="auto" w:fill="auto"/>
                  <w:vAlign w:val="center"/>
                </w:tcPr>
                <w:p w14:paraId="36AFD95E">
                  <w:pPr>
                    <w:keepNext w:val="0"/>
                    <w:keepLines w:val="0"/>
                    <w:pageBreakBefore w:val="0"/>
                    <w:widowControl/>
                    <w:kinsoku/>
                    <w:wordWrap/>
                    <w:overflowPunct/>
                    <w:topLinePunct w:val="0"/>
                    <w:autoSpaceDE/>
                    <w:autoSpaceDN/>
                    <w:bidi w:val="0"/>
                    <w:adjustRightInd w:val="0"/>
                    <w:snapToGrid w:val="0"/>
                    <w:ind w:firstLine="0"/>
                    <w:jc w:val="center"/>
                    <w:rPr>
                      <w:b/>
                      <w:color w:val="auto"/>
                      <w:kern w:val="0"/>
                      <w:szCs w:val="21"/>
                    </w:rPr>
                  </w:pPr>
                  <w:r>
                    <w:rPr>
                      <w:b/>
                      <w:color w:val="auto"/>
                      <w:kern w:val="0"/>
                      <w:szCs w:val="21"/>
                    </w:rPr>
                    <w:t>污染物</w:t>
                  </w:r>
                </w:p>
              </w:tc>
              <w:tc>
                <w:tcPr>
                  <w:tcW w:w="1492" w:type="pct"/>
                  <w:gridSpan w:val="5"/>
                  <w:tcBorders>
                    <w:tl2br w:val="nil"/>
                    <w:tr2bl w:val="nil"/>
                  </w:tcBorders>
                  <w:shd w:val="clear" w:color="auto" w:fill="auto"/>
                  <w:vAlign w:val="center"/>
                </w:tcPr>
                <w:p w14:paraId="2A3DF464">
                  <w:pPr>
                    <w:keepNext w:val="0"/>
                    <w:keepLines w:val="0"/>
                    <w:pageBreakBefore w:val="0"/>
                    <w:widowControl/>
                    <w:kinsoku/>
                    <w:wordWrap/>
                    <w:overflowPunct/>
                    <w:topLinePunct w:val="0"/>
                    <w:autoSpaceDE/>
                    <w:autoSpaceDN/>
                    <w:bidi w:val="0"/>
                    <w:adjustRightInd w:val="0"/>
                    <w:snapToGrid w:val="0"/>
                    <w:ind w:firstLine="0"/>
                    <w:jc w:val="center"/>
                    <w:rPr>
                      <w:b/>
                      <w:color w:val="auto"/>
                      <w:kern w:val="0"/>
                      <w:szCs w:val="21"/>
                    </w:rPr>
                  </w:pPr>
                  <w:r>
                    <w:rPr>
                      <w:b/>
                      <w:color w:val="auto"/>
                      <w:kern w:val="0"/>
                      <w:szCs w:val="21"/>
                    </w:rPr>
                    <w:t>污染物产生</w:t>
                  </w:r>
                </w:p>
              </w:tc>
              <w:tc>
                <w:tcPr>
                  <w:tcW w:w="965" w:type="pct"/>
                  <w:gridSpan w:val="3"/>
                  <w:tcBorders>
                    <w:tl2br w:val="nil"/>
                    <w:tr2bl w:val="nil"/>
                  </w:tcBorders>
                  <w:shd w:val="clear" w:color="auto" w:fill="auto"/>
                  <w:vAlign w:val="center"/>
                </w:tcPr>
                <w:p w14:paraId="1F856709">
                  <w:pPr>
                    <w:keepNext w:val="0"/>
                    <w:keepLines w:val="0"/>
                    <w:pageBreakBefore w:val="0"/>
                    <w:widowControl/>
                    <w:kinsoku/>
                    <w:wordWrap/>
                    <w:overflowPunct/>
                    <w:topLinePunct w:val="0"/>
                    <w:autoSpaceDE/>
                    <w:autoSpaceDN/>
                    <w:bidi w:val="0"/>
                    <w:adjustRightInd w:val="0"/>
                    <w:snapToGrid w:val="0"/>
                    <w:ind w:firstLine="0"/>
                    <w:jc w:val="center"/>
                    <w:rPr>
                      <w:b/>
                      <w:color w:val="auto"/>
                      <w:kern w:val="0"/>
                      <w:szCs w:val="21"/>
                    </w:rPr>
                  </w:pPr>
                  <w:r>
                    <w:rPr>
                      <w:b/>
                      <w:color w:val="auto"/>
                      <w:kern w:val="0"/>
                      <w:szCs w:val="21"/>
                    </w:rPr>
                    <w:t>治理措施</w:t>
                  </w:r>
                </w:p>
              </w:tc>
              <w:tc>
                <w:tcPr>
                  <w:tcW w:w="906" w:type="pct"/>
                  <w:gridSpan w:val="3"/>
                  <w:tcBorders>
                    <w:tl2br w:val="nil"/>
                    <w:tr2bl w:val="nil"/>
                  </w:tcBorders>
                  <w:shd w:val="clear" w:color="auto" w:fill="auto"/>
                  <w:vAlign w:val="center"/>
                </w:tcPr>
                <w:p w14:paraId="44F68A75">
                  <w:pPr>
                    <w:keepNext w:val="0"/>
                    <w:keepLines w:val="0"/>
                    <w:pageBreakBefore w:val="0"/>
                    <w:widowControl/>
                    <w:kinsoku/>
                    <w:wordWrap/>
                    <w:overflowPunct/>
                    <w:topLinePunct w:val="0"/>
                    <w:autoSpaceDE/>
                    <w:autoSpaceDN/>
                    <w:bidi w:val="0"/>
                    <w:adjustRightInd w:val="0"/>
                    <w:snapToGrid w:val="0"/>
                    <w:ind w:firstLine="0"/>
                    <w:jc w:val="center"/>
                    <w:rPr>
                      <w:b/>
                      <w:color w:val="auto"/>
                      <w:kern w:val="0"/>
                      <w:szCs w:val="21"/>
                    </w:rPr>
                  </w:pPr>
                  <w:r>
                    <w:rPr>
                      <w:b/>
                      <w:color w:val="auto"/>
                      <w:kern w:val="0"/>
                      <w:szCs w:val="21"/>
                    </w:rPr>
                    <w:t>污染物排放</w:t>
                  </w:r>
                </w:p>
              </w:tc>
              <w:tc>
                <w:tcPr>
                  <w:tcW w:w="524" w:type="pct"/>
                  <w:gridSpan w:val="2"/>
                  <w:tcBorders>
                    <w:tl2br w:val="nil"/>
                    <w:tr2bl w:val="nil"/>
                  </w:tcBorders>
                  <w:shd w:val="clear" w:color="auto" w:fill="auto"/>
                  <w:vAlign w:val="center"/>
                </w:tcPr>
                <w:p w14:paraId="19843A9E">
                  <w:pPr>
                    <w:keepNext w:val="0"/>
                    <w:keepLines w:val="0"/>
                    <w:pageBreakBefore w:val="0"/>
                    <w:widowControl/>
                    <w:kinsoku/>
                    <w:wordWrap/>
                    <w:overflowPunct/>
                    <w:topLinePunct w:val="0"/>
                    <w:autoSpaceDE/>
                    <w:autoSpaceDN/>
                    <w:bidi w:val="0"/>
                    <w:adjustRightInd w:val="0"/>
                    <w:snapToGrid w:val="0"/>
                    <w:ind w:firstLine="0"/>
                    <w:jc w:val="center"/>
                    <w:rPr>
                      <w:b/>
                      <w:color w:val="auto"/>
                      <w:kern w:val="0"/>
                      <w:szCs w:val="21"/>
                    </w:rPr>
                  </w:pPr>
                  <w:r>
                    <w:rPr>
                      <w:rFonts w:hint="eastAsia"/>
                      <w:b/>
                      <w:color w:val="auto"/>
                      <w:kern w:val="0"/>
                      <w:szCs w:val="21"/>
                    </w:rPr>
                    <w:t>执行标准</w:t>
                  </w:r>
                </w:p>
              </w:tc>
            </w:tr>
            <w:tr w14:paraId="3420840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87" w:type="pct"/>
                  <w:vMerge w:val="continue"/>
                  <w:tcBorders>
                    <w:tl2br w:val="nil"/>
                    <w:tr2bl w:val="nil"/>
                  </w:tcBorders>
                  <w:vAlign w:val="center"/>
                </w:tcPr>
                <w:p w14:paraId="5735E10A">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c>
                <w:tcPr>
                  <w:tcW w:w="262" w:type="pct"/>
                  <w:vMerge w:val="continue"/>
                  <w:tcBorders>
                    <w:tl2br w:val="nil"/>
                    <w:tr2bl w:val="nil"/>
                  </w:tcBorders>
                  <w:vAlign w:val="center"/>
                </w:tcPr>
                <w:p w14:paraId="69336B78">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c>
                <w:tcPr>
                  <w:tcW w:w="330" w:type="pct"/>
                  <w:vMerge w:val="continue"/>
                  <w:tcBorders>
                    <w:tl2br w:val="nil"/>
                    <w:tr2bl w:val="nil"/>
                  </w:tcBorders>
                  <w:vAlign w:val="center"/>
                </w:tcPr>
                <w:p w14:paraId="73FED2E1">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c>
                <w:tcPr>
                  <w:tcW w:w="330" w:type="pct"/>
                  <w:vMerge w:val="continue"/>
                  <w:tcBorders>
                    <w:tl2br w:val="nil"/>
                    <w:tr2bl w:val="nil"/>
                  </w:tcBorders>
                  <w:vAlign w:val="center"/>
                </w:tcPr>
                <w:p w14:paraId="41042081">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c>
                <w:tcPr>
                  <w:tcW w:w="246" w:type="pct"/>
                  <w:tcBorders>
                    <w:tl2br w:val="nil"/>
                    <w:tr2bl w:val="nil"/>
                  </w:tcBorders>
                  <w:shd w:val="clear" w:color="auto" w:fill="auto"/>
                  <w:vAlign w:val="center"/>
                </w:tcPr>
                <w:p w14:paraId="16DD2515">
                  <w:pPr>
                    <w:keepNext w:val="0"/>
                    <w:keepLines w:val="0"/>
                    <w:pageBreakBefore w:val="0"/>
                    <w:widowControl/>
                    <w:kinsoku/>
                    <w:wordWrap/>
                    <w:overflowPunct/>
                    <w:topLinePunct w:val="0"/>
                    <w:autoSpaceDE/>
                    <w:autoSpaceDN/>
                    <w:bidi w:val="0"/>
                    <w:adjustRightInd w:val="0"/>
                    <w:snapToGrid w:val="0"/>
                    <w:ind w:firstLine="0"/>
                    <w:jc w:val="center"/>
                    <w:rPr>
                      <w:b/>
                      <w:color w:val="auto"/>
                      <w:kern w:val="0"/>
                      <w:szCs w:val="21"/>
                    </w:rPr>
                  </w:pPr>
                  <w:r>
                    <w:rPr>
                      <w:b/>
                      <w:color w:val="auto"/>
                      <w:kern w:val="0"/>
                      <w:szCs w:val="21"/>
                    </w:rPr>
                    <w:t>核算</w:t>
                  </w:r>
                </w:p>
                <w:p w14:paraId="06126DDA">
                  <w:pPr>
                    <w:keepNext w:val="0"/>
                    <w:keepLines w:val="0"/>
                    <w:pageBreakBefore w:val="0"/>
                    <w:widowControl/>
                    <w:kinsoku/>
                    <w:wordWrap/>
                    <w:overflowPunct/>
                    <w:topLinePunct w:val="0"/>
                    <w:autoSpaceDE/>
                    <w:autoSpaceDN/>
                    <w:bidi w:val="0"/>
                    <w:adjustRightInd w:val="0"/>
                    <w:snapToGrid w:val="0"/>
                    <w:ind w:firstLine="0"/>
                    <w:jc w:val="center"/>
                    <w:rPr>
                      <w:b/>
                      <w:color w:val="auto"/>
                      <w:kern w:val="0"/>
                      <w:szCs w:val="21"/>
                    </w:rPr>
                  </w:pPr>
                  <w:r>
                    <w:rPr>
                      <w:b/>
                      <w:color w:val="auto"/>
                      <w:kern w:val="0"/>
                      <w:szCs w:val="21"/>
                    </w:rPr>
                    <w:t>方法</w:t>
                  </w:r>
                </w:p>
              </w:tc>
              <w:tc>
                <w:tcPr>
                  <w:tcW w:w="267" w:type="pct"/>
                  <w:tcBorders>
                    <w:tl2br w:val="nil"/>
                    <w:tr2bl w:val="nil"/>
                  </w:tcBorders>
                  <w:shd w:val="clear" w:color="auto" w:fill="auto"/>
                  <w:vAlign w:val="center"/>
                </w:tcPr>
                <w:p w14:paraId="21F33AC9">
                  <w:pPr>
                    <w:keepNext w:val="0"/>
                    <w:keepLines w:val="0"/>
                    <w:pageBreakBefore w:val="0"/>
                    <w:widowControl/>
                    <w:kinsoku/>
                    <w:wordWrap/>
                    <w:overflowPunct/>
                    <w:topLinePunct w:val="0"/>
                    <w:autoSpaceDE/>
                    <w:autoSpaceDN/>
                    <w:bidi w:val="0"/>
                    <w:adjustRightInd w:val="0"/>
                    <w:snapToGrid w:val="0"/>
                    <w:ind w:firstLine="0"/>
                    <w:jc w:val="center"/>
                    <w:rPr>
                      <w:b/>
                      <w:color w:val="auto"/>
                      <w:kern w:val="0"/>
                      <w:szCs w:val="21"/>
                    </w:rPr>
                  </w:pPr>
                  <w:r>
                    <w:rPr>
                      <w:b/>
                      <w:color w:val="auto"/>
                      <w:kern w:val="0"/>
                      <w:szCs w:val="21"/>
                    </w:rPr>
                    <w:t>废气产生量m</w:t>
                  </w:r>
                  <w:r>
                    <w:rPr>
                      <w:b/>
                      <w:color w:val="auto"/>
                      <w:kern w:val="0"/>
                      <w:szCs w:val="21"/>
                      <w:vertAlign w:val="superscript"/>
                    </w:rPr>
                    <w:t>3</w:t>
                  </w:r>
                  <w:r>
                    <w:rPr>
                      <w:b/>
                      <w:color w:val="auto"/>
                      <w:kern w:val="0"/>
                      <w:szCs w:val="21"/>
                    </w:rPr>
                    <w:t>/h</w:t>
                  </w:r>
                </w:p>
              </w:tc>
              <w:tc>
                <w:tcPr>
                  <w:tcW w:w="267" w:type="pct"/>
                  <w:tcBorders>
                    <w:tl2br w:val="nil"/>
                    <w:tr2bl w:val="nil"/>
                  </w:tcBorders>
                  <w:shd w:val="clear" w:color="auto" w:fill="auto"/>
                  <w:vAlign w:val="center"/>
                </w:tcPr>
                <w:p w14:paraId="6FC235A6">
                  <w:pPr>
                    <w:keepNext w:val="0"/>
                    <w:keepLines w:val="0"/>
                    <w:pageBreakBefore w:val="0"/>
                    <w:widowControl/>
                    <w:kinsoku/>
                    <w:wordWrap/>
                    <w:overflowPunct/>
                    <w:topLinePunct w:val="0"/>
                    <w:autoSpaceDE/>
                    <w:autoSpaceDN/>
                    <w:bidi w:val="0"/>
                    <w:adjustRightInd w:val="0"/>
                    <w:snapToGrid w:val="0"/>
                    <w:ind w:firstLine="0"/>
                    <w:jc w:val="center"/>
                    <w:rPr>
                      <w:b/>
                      <w:color w:val="auto"/>
                      <w:kern w:val="0"/>
                      <w:szCs w:val="21"/>
                    </w:rPr>
                  </w:pPr>
                  <w:r>
                    <w:rPr>
                      <w:b/>
                      <w:color w:val="auto"/>
                      <w:kern w:val="0"/>
                      <w:szCs w:val="21"/>
                    </w:rPr>
                    <w:t>产生浓度mg/m</w:t>
                  </w:r>
                  <w:r>
                    <w:rPr>
                      <w:b/>
                      <w:color w:val="auto"/>
                      <w:kern w:val="0"/>
                      <w:szCs w:val="21"/>
                      <w:vertAlign w:val="superscript"/>
                    </w:rPr>
                    <w:t>3</w:t>
                  </w:r>
                </w:p>
              </w:tc>
              <w:tc>
                <w:tcPr>
                  <w:tcW w:w="357" w:type="pct"/>
                  <w:tcBorders>
                    <w:tl2br w:val="nil"/>
                    <w:tr2bl w:val="nil"/>
                  </w:tcBorders>
                  <w:shd w:val="clear" w:color="auto" w:fill="auto"/>
                  <w:vAlign w:val="center"/>
                </w:tcPr>
                <w:p w14:paraId="30BEDB62">
                  <w:pPr>
                    <w:keepNext w:val="0"/>
                    <w:keepLines w:val="0"/>
                    <w:pageBreakBefore w:val="0"/>
                    <w:widowControl/>
                    <w:kinsoku/>
                    <w:wordWrap/>
                    <w:overflowPunct/>
                    <w:topLinePunct w:val="0"/>
                    <w:autoSpaceDE/>
                    <w:autoSpaceDN/>
                    <w:bidi w:val="0"/>
                    <w:adjustRightInd w:val="0"/>
                    <w:snapToGrid w:val="0"/>
                    <w:ind w:firstLine="0"/>
                    <w:jc w:val="center"/>
                    <w:rPr>
                      <w:b/>
                      <w:color w:val="auto"/>
                      <w:kern w:val="0"/>
                      <w:szCs w:val="21"/>
                    </w:rPr>
                  </w:pPr>
                  <w:r>
                    <w:rPr>
                      <w:b/>
                      <w:color w:val="auto"/>
                      <w:kern w:val="0"/>
                      <w:szCs w:val="21"/>
                    </w:rPr>
                    <w:t>产生速率kg/h</w:t>
                  </w:r>
                </w:p>
              </w:tc>
              <w:tc>
                <w:tcPr>
                  <w:tcW w:w="354" w:type="pct"/>
                  <w:tcBorders>
                    <w:tl2br w:val="nil"/>
                    <w:tr2bl w:val="nil"/>
                  </w:tcBorders>
                  <w:shd w:val="clear" w:color="auto" w:fill="auto"/>
                  <w:vAlign w:val="center"/>
                </w:tcPr>
                <w:p w14:paraId="1EAED5A6">
                  <w:pPr>
                    <w:keepNext w:val="0"/>
                    <w:keepLines w:val="0"/>
                    <w:pageBreakBefore w:val="0"/>
                    <w:widowControl/>
                    <w:kinsoku/>
                    <w:wordWrap/>
                    <w:overflowPunct/>
                    <w:topLinePunct w:val="0"/>
                    <w:autoSpaceDE/>
                    <w:autoSpaceDN/>
                    <w:bidi w:val="0"/>
                    <w:adjustRightInd w:val="0"/>
                    <w:snapToGrid w:val="0"/>
                    <w:ind w:firstLine="0"/>
                    <w:jc w:val="center"/>
                    <w:rPr>
                      <w:b/>
                      <w:color w:val="auto"/>
                      <w:kern w:val="0"/>
                      <w:szCs w:val="21"/>
                    </w:rPr>
                  </w:pPr>
                  <w:r>
                    <w:rPr>
                      <w:b/>
                      <w:color w:val="auto"/>
                      <w:kern w:val="0"/>
                      <w:szCs w:val="21"/>
                    </w:rPr>
                    <w:t>产生量t/a</w:t>
                  </w:r>
                </w:p>
              </w:tc>
              <w:tc>
                <w:tcPr>
                  <w:tcW w:w="509" w:type="pct"/>
                  <w:tcBorders>
                    <w:tl2br w:val="nil"/>
                    <w:tr2bl w:val="nil"/>
                  </w:tcBorders>
                  <w:shd w:val="clear" w:color="auto" w:fill="auto"/>
                  <w:vAlign w:val="center"/>
                </w:tcPr>
                <w:p w14:paraId="7F8D95E4">
                  <w:pPr>
                    <w:keepNext w:val="0"/>
                    <w:keepLines w:val="0"/>
                    <w:pageBreakBefore w:val="0"/>
                    <w:widowControl/>
                    <w:kinsoku/>
                    <w:wordWrap/>
                    <w:overflowPunct/>
                    <w:topLinePunct w:val="0"/>
                    <w:autoSpaceDE/>
                    <w:autoSpaceDN/>
                    <w:bidi w:val="0"/>
                    <w:adjustRightInd w:val="0"/>
                    <w:snapToGrid w:val="0"/>
                    <w:ind w:firstLine="0"/>
                    <w:jc w:val="center"/>
                    <w:rPr>
                      <w:b/>
                      <w:color w:val="auto"/>
                      <w:kern w:val="0"/>
                      <w:szCs w:val="21"/>
                    </w:rPr>
                  </w:pPr>
                  <w:r>
                    <w:rPr>
                      <w:b/>
                      <w:color w:val="auto"/>
                      <w:kern w:val="0"/>
                      <w:szCs w:val="21"/>
                    </w:rPr>
                    <w:t>工艺</w:t>
                  </w:r>
                </w:p>
              </w:tc>
              <w:tc>
                <w:tcPr>
                  <w:tcW w:w="184" w:type="pct"/>
                  <w:tcBorders>
                    <w:tl2br w:val="nil"/>
                    <w:tr2bl w:val="nil"/>
                  </w:tcBorders>
                  <w:shd w:val="clear" w:color="auto" w:fill="auto"/>
                  <w:vAlign w:val="center"/>
                </w:tcPr>
                <w:p w14:paraId="1FDA67CD">
                  <w:pPr>
                    <w:keepNext w:val="0"/>
                    <w:keepLines w:val="0"/>
                    <w:pageBreakBefore w:val="0"/>
                    <w:widowControl/>
                    <w:kinsoku/>
                    <w:wordWrap/>
                    <w:overflowPunct/>
                    <w:topLinePunct w:val="0"/>
                    <w:autoSpaceDE/>
                    <w:autoSpaceDN/>
                    <w:bidi w:val="0"/>
                    <w:adjustRightInd w:val="0"/>
                    <w:snapToGrid w:val="0"/>
                    <w:ind w:firstLine="0"/>
                    <w:jc w:val="center"/>
                    <w:rPr>
                      <w:b/>
                      <w:color w:val="auto"/>
                      <w:kern w:val="0"/>
                      <w:szCs w:val="21"/>
                    </w:rPr>
                  </w:pPr>
                  <w:r>
                    <w:rPr>
                      <w:b/>
                      <w:color w:val="auto"/>
                      <w:kern w:val="0"/>
                      <w:szCs w:val="21"/>
                    </w:rPr>
                    <w:t>效率%</w:t>
                  </w:r>
                </w:p>
              </w:tc>
              <w:tc>
                <w:tcPr>
                  <w:tcW w:w="271" w:type="pct"/>
                  <w:tcBorders>
                    <w:tl2br w:val="nil"/>
                    <w:tr2bl w:val="nil"/>
                  </w:tcBorders>
                  <w:shd w:val="clear" w:color="auto" w:fill="auto"/>
                  <w:vAlign w:val="center"/>
                </w:tcPr>
                <w:p w14:paraId="006461E6">
                  <w:pPr>
                    <w:keepNext w:val="0"/>
                    <w:keepLines w:val="0"/>
                    <w:pageBreakBefore w:val="0"/>
                    <w:widowControl/>
                    <w:kinsoku/>
                    <w:wordWrap/>
                    <w:overflowPunct/>
                    <w:topLinePunct w:val="0"/>
                    <w:autoSpaceDE/>
                    <w:autoSpaceDN/>
                    <w:bidi w:val="0"/>
                    <w:adjustRightInd w:val="0"/>
                    <w:snapToGrid w:val="0"/>
                    <w:ind w:firstLine="0"/>
                    <w:jc w:val="center"/>
                    <w:rPr>
                      <w:b/>
                      <w:color w:val="auto"/>
                      <w:kern w:val="0"/>
                      <w:szCs w:val="21"/>
                    </w:rPr>
                  </w:pPr>
                  <w:r>
                    <w:rPr>
                      <w:rFonts w:hint="eastAsia"/>
                      <w:b/>
                      <w:color w:val="auto"/>
                      <w:kern w:val="0"/>
                      <w:szCs w:val="21"/>
                    </w:rPr>
                    <w:t>是否为可行技术</w:t>
                  </w:r>
                </w:p>
              </w:tc>
              <w:tc>
                <w:tcPr>
                  <w:tcW w:w="259" w:type="pct"/>
                  <w:tcBorders>
                    <w:tl2br w:val="nil"/>
                    <w:tr2bl w:val="nil"/>
                  </w:tcBorders>
                  <w:shd w:val="clear" w:color="auto" w:fill="auto"/>
                  <w:vAlign w:val="center"/>
                </w:tcPr>
                <w:p w14:paraId="6169AC98">
                  <w:pPr>
                    <w:keepNext w:val="0"/>
                    <w:keepLines w:val="0"/>
                    <w:pageBreakBefore w:val="0"/>
                    <w:widowControl/>
                    <w:kinsoku/>
                    <w:wordWrap/>
                    <w:overflowPunct/>
                    <w:topLinePunct w:val="0"/>
                    <w:autoSpaceDE/>
                    <w:autoSpaceDN/>
                    <w:bidi w:val="0"/>
                    <w:adjustRightInd w:val="0"/>
                    <w:snapToGrid w:val="0"/>
                    <w:ind w:firstLine="0"/>
                    <w:jc w:val="center"/>
                    <w:rPr>
                      <w:b/>
                      <w:color w:val="auto"/>
                      <w:kern w:val="0"/>
                      <w:szCs w:val="21"/>
                    </w:rPr>
                  </w:pPr>
                  <w:r>
                    <w:rPr>
                      <w:rFonts w:hint="eastAsia"/>
                      <w:b/>
                      <w:color w:val="auto"/>
                      <w:kern w:val="0"/>
                      <w:szCs w:val="21"/>
                    </w:rPr>
                    <w:t>排放</w:t>
                  </w:r>
                  <w:r>
                    <w:rPr>
                      <w:b/>
                      <w:color w:val="auto"/>
                      <w:kern w:val="0"/>
                      <w:szCs w:val="21"/>
                    </w:rPr>
                    <w:t>浓度mg/m</w:t>
                  </w:r>
                  <w:r>
                    <w:rPr>
                      <w:b/>
                      <w:color w:val="auto"/>
                      <w:kern w:val="0"/>
                      <w:szCs w:val="21"/>
                      <w:vertAlign w:val="superscript"/>
                    </w:rPr>
                    <w:t>3</w:t>
                  </w:r>
                </w:p>
              </w:tc>
              <w:tc>
                <w:tcPr>
                  <w:tcW w:w="328" w:type="pct"/>
                  <w:tcBorders>
                    <w:tl2br w:val="nil"/>
                    <w:tr2bl w:val="nil"/>
                  </w:tcBorders>
                  <w:shd w:val="clear" w:color="auto" w:fill="auto"/>
                  <w:vAlign w:val="center"/>
                </w:tcPr>
                <w:p w14:paraId="4410413E">
                  <w:pPr>
                    <w:keepNext w:val="0"/>
                    <w:keepLines w:val="0"/>
                    <w:pageBreakBefore w:val="0"/>
                    <w:widowControl/>
                    <w:kinsoku/>
                    <w:wordWrap/>
                    <w:overflowPunct/>
                    <w:topLinePunct w:val="0"/>
                    <w:autoSpaceDE/>
                    <w:autoSpaceDN/>
                    <w:bidi w:val="0"/>
                    <w:adjustRightInd w:val="0"/>
                    <w:snapToGrid w:val="0"/>
                    <w:ind w:firstLine="0"/>
                    <w:jc w:val="center"/>
                    <w:rPr>
                      <w:b/>
                      <w:color w:val="auto"/>
                      <w:kern w:val="0"/>
                      <w:szCs w:val="21"/>
                    </w:rPr>
                  </w:pPr>
                  <w:r>
                    <w:rPr>
                      <w:b/>
                      <w:color w:val="auto"/>
                      <w:kern w:val="0"/>
                      <w:szCs w:val="21"/>
                    </w:rPr>
                    <w:t>排放速率kg/h</w:t>
                  </w:r>
                </w:p>
              </w:tc>
              <w:tc>
                <w:tcPr>
                  <w:tcW w:w="317" w:type="pct"/>
                  <w:tcBorders>
                    <w:tl2br w:val="nil"/>
                    <w:tr2bl w:val="nil"/>
                  </w:tcBorders>
                  <w:shd w:val="clear" w:color="auto" w:fill="auto"/>
                  <w:vAlign w:val="center"/>
                </w:tcPr>
                <w:p w14:paraId="385FFCDC">
                  <w:pPr>
                    <w:keepNext w:val="0"/>
                    <w:keepLines w:val="0"/>
                    <w:pageBreakBefore w:val="0"/>
                    <w:widowControl/>
                    <w:kinsoku/>
                    <w:wordWrap/>
                    <w:overflowPunct/>
                    <w:topLinePunct w:val="0"/>
                    <w:autoSpaceDE/>
                    <w:autoSpaceDN/>
                    <w:bidi w:val="0"/>
                    <w:adjustRightInd w:val="0"/>
                    <w:snapToGrid w:val="0"/>
                    <w:ind w:firstLine="0"/>
                    <w:jc w:val="center"/>
                    <w:rPr>
                      <w:b/>
                      <w:color w:val="auto"/>
                      <w:kern w:val="0"/>
                      <w:szCs w:val="21"/>
                    </w:rPr>
                  </w:pPr>
                  <w:r>
                    <w:rPr>
                      <w:rFonts w:hint="eastAsia"/>
                      <w:b/>
                      <w:color w:val="auto"/>
                      <w:kern w:val="0"/>
                      <w:szCs w:val="21"/>
                    </w:rPr>
                    <w:t>排放</w:t>
                  </w:r>
                  <w:r>
                    <w:rPr>
                      <w:b/>
                      <w:color w:val="auto"/>
                      <w:kern w:val="0"/>
                      <w:szCs w:val="21"/>
                    </w:rPr>
                    <w:t>量t/a</w:t>
                  </w:r>
                </w:p>
              </w:tc>
              <w:tc>
                <w:tcPr>
                  <w:tcW w:w="252" w:type="pct"/>
                  <w:tcBorders>
                    <w:tl2br w:val="nil"/>
                    <w:tr2bl w:val="nil"/>
                  </w:tcBorders>
                  <w:shd w:val="clear" w:color="auto" w:fill="auto"/>
                  <w:vAlign w:val="center"/>
                </w:tcPr>
                <w:p w14:paraId="57F79A11">
                  <w:pPr>
                    <w:keepNext w:val="0"/>
                    <w:keepLines w:val="0"/>
                    <w:pageBreakBefore w:val="0"/>
                    <w:widowControl/>
                    <w:kinsoku/>
                    <w:wordWrap/>
                    <w:overflowPunct/>
                    <w:topLinePunct w:val="0"/>
                    <w:autoSpaceDE/>
                    <w:autoSpaceDN/>
                    <w:bidi w:val="0"/>
                    <w:adjustRightInd w:val="0"/>
                    <w:snapToGrid w:val="0"/>
                    <w:ind w:firstLine="0"/>
                    <w:jc w:val="center"/>
                    <w:rPr>
                      <w:b/>
                      <w:color w:val="auto"/>
                      <w:kern w:val="0"/>
                      <w:szCs w:val="21"/>
                    </w:rPr>
                  </w:pPr>
                  <w:r>
                    <w:rPr>
                      <w:b/>
                      <w:color w:val="auto"/>
                      <w:kern w:val="0"/>
                      <w:szCs w:val="21"/>
                    </w:rPr>
                    <w:t>排放速率kg/h</w:t>
                  </w:r>
                </w:p>
              </w:tc>
              <w:tc>
                <w:tcPr>
                  <w:tcW w:w="272" w:type="pct"/>
                  <w:tcBorders>
                    <w:tl2br w:val="nil"/>
                    <w:tr2bl w:val="nil"/>
                  </w:tcBorders>
                  <w:shd w:val="clear" w:color="auto" w:fill="auto"/>
                  <w:vAlign w:val="center"/>
                </w:tcPr>
                <w:p w14:paraId="04DA86B3">
                  <w:pPr>
                    <w:keepNext w:val="0"/>
                    <w:keepLines w:val="0"/>
                    <w:pageBreakBefore w:val="0"/>
                    <w:widowControl/>
                    <w:kinsoku/>
                    <w:wordWrap/>
                    <w:overflowPunct/>
                    <w:topLinePunct w:val="0"/>
                    <w:autoSpaceDE/>
                    <w:autoSpaceDN/>
                    <w:bidi w:val="0"/>
                    <w:adjustRightInd w:val="0"/>
                    <w:snapToGrid w:val="0"/>
                    <w:ind w:firstLine="0"/>
                    <w:jc w:val="center"/>
                    <w:rPr>
                      <w:b/>
                      <w:color w:val="auto"/>
                      <w:kern w:val="0"/>
                      <w:szCs w:val="21"/>
                    </w:rPr>
                  </w:pPr>
                  <w:r>
                    <w:rPr>
                      <w:b/>
                      <w:color w:val="auto"/>
                      <w:kern w:val="0"/>
                      <w:szCs w:val="21"/>
                    </w:rPr>
                    <w:t>排放</w:t>
                  </w:r>
                </w:p>
                <w:p w14:paraId="2235D147">
                  <w:pPr>
                    <w:keepNext w:val="0"/>
                    <w:keepLines w:val="0"/>
                    <w:pageBreakBefore w:val="0"/>
                    <w:widowControl/>
                    <w:kinsoku/>
                    <w:wordWrap/>
                    <w:overflowPunct/>
                    <w:topLinePunct w:val="0"/>
                    <w:autoSpaceDE/>
                    <w:autoSpaceDN/>
                    <w:bidi w:val="0"/>
                    <w:adjustRightInd w:val="0"/>
                    <w:snapToGrid w:val="0"/>
                    <w:ind w:firstLine="0"/>
                    <w:jc w:val="center"/>
                    <w:rPr>
                      <w:b/>
                      <w:color w:val="auto"/>
                      <w:kern w:val="0"/>
                      <w:szCs w:val="21"/>
                    </w:rPr>
                  </w:pPr>
                  <w:r>
                    <w:rPr>
                      <w:b/>
                      <w:color w:val="auto"/>
                      <w:kern w:val="0"/>
                      <w:szCs w:val="21"/>
                    </w:rPr>
                    <w:t>浓度</w:t>
                  </w:r>
                </w:p>
                <w:p w14:paraId="20DF384A">
                  <w:pPr>
                    <w:keepNext w:val="0"/>
                    <w:keepLines w:val="0"/>
                    <w:pageBreakBefore w:val="0"/>
                    <w:widowControl/>
                    <w:kinsoku/>
                    <w:wordWrap/>
                    <w:overflowPunct/>
                    <w:topLinePunct w:val="0"/>
                    <w:autoSpaceDE/>
                    <w:autoSpaceDN/>
                    <w:bidi w:val="0"/>
                    <w:adjustRightInd w:val="0"/>
                    <w:snapToGrid w:val="0"/>
                    <w:ind w:firstLine="0"/>
                    <w:jc w:val="center"/>
                    <w:rPr>
                      <w:b/>
                      <w:color w:val="auto"/>
                      <w:kern w:val="0"/>
                      <w:szCs w:val="21"/>
                    </w:rPr>
                  </w:pPr>
                  <w:r>
                    <w:rPr>
                      <w:b/>
                      <w:color w:val="auto"/>
                      <w:kern w:val="0"/>
                      <w:szCs w:val="21"/>
                    </w:rPr>
                    <w:t>mg/m³</w:t>
                  </w:r>
                </w:p>
              </w:tc>
            </w:tr>
            <w:tr w14:paraId="4FE1013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87" w:type="pct"/>
                  <w:vMerge w:val="restart"/>
                  <w:tcBorders>
                    <w:tl2br w:val="nil"/>
                    <w:tr2bl w:val="nil"/>
                  </w:tcBorders>
                  <w:shd w:val="clear" w:color="auto" w:fill="auto"/>
                  <w:vAlign w:val="center"/>
                </w:tcPr>
                <w:p w14:paraId="65006760">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r>
                    <w:rPr>
                      <w:rFonts w:hint="eastAsia"/>
                      <w:color w:val="auto"/>
                      <w:kern w:val="0"/>
                      <w:szCs w:val="21"/>
                    </w:rPr>
                    <w:t>配件下料</w:t>
                  </w:r>
                </w:p>
              </w:tc>
              <w:tc>
                <w:tcPr>
                  <w:tcW w:w="262" w:type="pct"/>
                  <w:vMerge w:val="restart"/>
                  <w:tcBorders>
                    <w:tl2br w:val="nil"/>
                    <w:tr2bl w:val="nil"/>
                  </w:tcBorders>
                  <w:shd w:val="clear" w:color="auto" w:fill="auto"/>
                  <w:vAlign w:val="center"/>
                </w:tcPr>
                <w:p w14:paraId="48BEF7BA">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r>
                    <w:rPr>
                      <w:rFonts w:hint="eastAsia"/>
                      <w:color w:val="auto"/>
                      <w:kern w:val="0"/>
                      <w:szCs w:val="21"/>
                    </w:rPr>
                    <w:t>激光切割机</w:t>
                  </w:r>
                </w:p>
              </w:tc>
              <w:tc>
                <w:tcPr>
                  <w:tcW w:w="330" w:type="pct"/>
                  <w:tcBorders>
                    <w:tl2br w:val="nil"/>
                    <w:tr2bl w:val="nil"/>
                  </w:tcBorders>
                  <w:shd w:val="clear" w:color="auto" w:fill="auto"/>
                  <w:vAlign w:val="center"/>
                </w:tcPr>
                <w:p w14:paraId="3FB6A5DE">
                  <w:pPr>
                    <w:keepNext w:val="0"/>
                    <w:keepLines w:val="0"/>
                    <w:pageBreakBefore w:val="0"/>
                    <w:widowControl/>
                    <w:kinsoku/>
                    <w:wordWrap/>
                    <w:overflowPunct/>
                    <w:topLinePunct w:val="0"/>
                    <w:autoSpaceDE/>
                    <w:autoSpaceDN/>
                    <w:bidi w:val="0"/>
                    <w:adjustRightInd w:val="0"/>
                    <w:snapToGrid w:val="0"/>
                    <w:ind w:firstLine="0"/>
                    <w:jc w:val="center"/>
                    <w:rPr>
                      <w:rFonts w:hint="eastAsia" w:eastAsia="宋体"/>
                      <w:color w:val="auto"/>
                      <w:kern w:val="0"/>
                      <w:szCs w:val="21"/>
                      <w:lang w:eastAsia="zh-CN"/>
                    </w:rPr>
                  </w:pPr>
                  <w:r>
                    <w:rPr>
                      <w:rFonts w:hint="eastAsia"/>
                      <w:color w:val="auto"/>
                      <w:kern w:val="0"/>
                      <w:szCs w:val="21"/>
                      <w:lang w:eastAsia="zh-CN"/>
                    </w:rPr>
                    <w:t>有组织</w:t>
                  </w:r>
                </w:p>
              </w:tc>
              <w:tc>
                <w:tcPr>
                  <w:tcW w:w="330" w:type="pct"/>
                  <w:vMerge w:val="restart"/>
                  <w:tcBorders>
                    <w:tl2br w:val="nil"/>
                    <w:tr2bl w:val="nil"/>
                  </w:tcBorders>
                  <w:shd w:val="clear" w:color="auto" w:fill="auto"/>
                  <w:vAlign w:val="center"/>
                </w:tcPr>
                <w:p w14:paraId="69F3609C">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颗粒物</w:t>
                  </w:r>
                </w:p>
              </w:tc>
              <w:tc>
                <w:tcPr>
                  <w:tcW w:w="246" w:type="pct"/>
                  <w:vMerge w:val="restart"/>
                  <w:tcBorders>
                    <w:tl2br w:val="nil"/>
                    <w:tr2bl w:val="nil"/>
                  </w:tcBorders>
                  <w:shd w:val="clear" w:color="auto" w:fill="auto"/>
                  <w:vAlign w:val="center"/>
                </w:tcPr>
                <w:p w14:paraId="7C2E9047">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r>
                    <w:rPr>
                      <w:color w:val="auto"/>
                      <w:kern w:val="0"/>
                      <w:szCs w:val="21"/>
                    </w:rPr>
                    <w:t>产污系数法</w:t>
                  </w:r>
                </w:p>
              </w:tc>
              <w:tc>
                <w:tcPr>
                  <w:tcW w:w="267" w:type="pct"/>
                  <w:tcBorders>
                    <w:tl2br w:val="nil"/>
                    <w:tr2bl w:val="nil"/>
                  </w:tcBorders>
                  <w:shd w:val="clear" w:color="auto" w:fill="auto"/>
                  <w:vAlign w:val="center"/>
                </w:tcPr>
                <w:p w14:paraId="24888424">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r>
                    <w:rPr>
                      <w:rFonts w:hint="eastAsia"/>
                      <w:color w:val="auto"/>
                      <w:kern w:val="0"/>
                      <w:szCs w:val="21"/>
                    </w:rPr>
                    <w:t>5000</w:t>
                  </w:r>
                </w:p>
              </w:tc>
              <w:tc>
                <w:tcPr>
                  <w:tcW w:w="267" w:type="pct"/>
                  <w:tcBorders>
                    <w:tl2br w:val="nil"/>
                    <w:tr2bl w:val="nil"/>
                  </w:tcBorders>
                  <w:shd w:val="clear" w:color="auto" w:fill="auto"/>
                  <w:vAlign w:val="center"/>
                </w:tcPr>
                <w:p w14:paraId="06D91369">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79.5</w:t>
                  </w:r>
                </w:p>
              </w:tc>
              <w:tc>
                <w:tcPr>
                  <w:tcW w:w="357" w:type="pct"/>
                  <w:tcBorders>
                    <w:tl2br w:val="nil"/>
                    <w:tr2bl w:val="nil"/>
                  </w:tcBorders>
                  <w:shd w:val="clear" w:color="auto" w:fill="auto"/>
                  <w:vAlign w:val="center"/>
                </w:tcPr>
                <w:p w14:paraId="7C5DC330">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0.3975</w:t>
                  </w:r>
                </w:p>
              </w:tc>
              <w:tc>
                <w:tcPr>
                  <w:tcW w:w="354" w:type="pct"/>
                  <w:tcBorders>
                    <w:tl2br w:val="nil"/>
                    <w:tr2bl w:val="nil"/>
                  </w:tcBorders>
                  <w:shd w:val="clear" w:color="auto" w:fill="auto"/>
                  <w:vAlign w:val="center"/>
                </w:tcPr>
                <w:p w14:paraId="06748A1E">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0.954</w:t>
                  </w:r>
                </w:p>
              </w:tc>
              <w:tc>
                <w:tcPr>
                  <w:tcW w:w="509" w:type="pct"/>
                  <w:tcBorders>
                    <w:tl2br w:val="nil"/>
                    <w:tr2bl w:val="nil"/>
                  </w:tcBorders>
                  <w:shd w:val="clear" w:color="auto" w:fill="auto"/>
                  <w:vAlign w:val="center"/>
                </w:tcPr>
                <w:p w14:paraId="17F88414">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布袋除尘器</w:t>
                  </w:r>
                </w:p>
              </w:tc>
              <w:tc>
                <w:tcPr>
                  <w:tcW w:w="184" w:type="pct"/>
                  <w:tcBorders>
                    <w:tl2br w:val="nil"/>
                    <w:tr2bl w:val="nil"/>
                  </w:tcBorders>
                  <w:shd w:val="clear" w:color="auto" w:fill="auto"/>
                  <w:vAlign w:val="center"/>
                </w:tcPr>
                <w:p w14:paraId="579D2668">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98</w:t>
                  </w:r>
                </w:p>
              </w:tc>
              <w:tc>
                <w:tcPr>
                  <w:tcW w:w="271" w:type="pct"/>
                  <w:vMerge w:val="restart"/>
                  <w:tcBorders>
                    <w:tl2br w:val="nil"/>
                    <w:tr2bl w:val="nil"/>
                  </w:tcBorders>
                  <w:shd w:val="clear" w:color="auto" w:fill="auto"/>
                  <w:vAlign w:val="center"/>
                </w:tcPr>
                <w:p w14:paraId="75D9D213">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kern w:val="0"/>
                      <w:szCs w:val="21"/>
                    </w:rPr>
                    <w:t>是</w:t>
                  </w:r>
                </w:p>
              </w:tc>
              <w:tc>
                <w:tcPr>
                  <w:tcW w:w="259" w:type="pct"/>
                  <w:tcBorders>
                    <w:tl2br w:val="nil"/>
                    <w:tr2bl w:val="nil"/>
                  </w:tcBorders>
                  <w:shd w:val="clear" w:color="auto" w:fill="auto"/>
                  <w:vAlign w:val="center"/>
                </w:tcPr>
                <w:p w14:paraId="115C51EE">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1.6</w:t>
                  </w:r>
                </w:p>
              </w:tc>
              <w:tc>
                <w:tcPr>
                  <w:tcW w:w="328" w:type="pct"/>
                  <w:tcBorders>
                    <w:tl2br w:val="nil"/>
                    <w:tr2bl w:val="nil"/>
                  </w:tcBorders>
                  <w:shd w:val="clear" w:color="auto" w:fill="auto"/>
                  <w:vAlign w:val="center"/>
                </w:tcPr>
                <w:p w14:paraId="2A4ED5A2">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0.008</w:t>
                  </w:r>
                </w:p>
              </w:tc>
              <w:tc>
                <w:tcPr>
                  <w:tcW w:w="317" w:type="pct"/>
                  <w:tcBorders>
                    <w:tl2br w:val="nil"/>
                    <w:tr2bl w:val="nil"/>
                  </w:tcBorders>
                  <w:shd w:val="clear" w:color="auto" w:fill="auto"/>
                  <w:vAlign w:val="center"/>
                </w:tcPr>
                <w:p w14:paraId="580F7703">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0.0191</w:t>
                  </w:r>
                </w:p>
              </w:tc>
              <w:tc>
                <w:tcPr>
                  <w:tcW w:w="252" w:type="pct"/>
                  <w:tcBorders>
                    <w:tl2br w:val="nil"/>
                    <w:tr2bl w:val="nil"/>
                  </w:tcBorders>
                  <w:shd w:val="clear" w:color="auto" w:fill="auto"/>
                  <w:vAlign w:val="center"/>
                </w:tcPr>
                <w:p w14:paraId="4659B4D4">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kern w:val="0"/>
                      <w:szCs w:val="21"/>
                    </w:rPr>
                    <w:t>1</w:t>
                  </w:r>
                </w:p>
              </w:tc>
              <w:tc>
                <w:tcPr>
                  <w:tcW w:w="272" w:type="pct"/>
                  <w:tcBorders>
                    <w:tl2br w:val="nil"/>
                    <w:tr2bl w:val="nil"/>
                  </w:tcBorders>
                  <w:shd w:val="clear" w:color="auto" w:fill="auto"/>
                  <w:vAlign w:val="center"/>
                </w:tcPr>
                <w:p w14:paraId="0797EE3C">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kern w:val="0"/>
                      <w:szCs w:val="21"/>
                    </w:rPr>
                    <w:t>20</w:t>
                  </w:r>
                </w:p>
              </w:tc>
            </w:tr>
            <w:tr w14:paraId="2329B6D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87" w:type="pct"/>
                  <w:vMerge w:val="continue"/>
                  <w:tcBorders>
                    <w:tl2br w:val="nil"/>
                    <w:tr2bl w:val="nil"/>
                  </w:tcBorders>
                  <w:shd w:val="clear" w:color="auto" w:fill="auto"/>
                  <w:vAlign w:val="center"/>
                </w:tcPr>
                <w:p w14:paraId="302DCB77">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c>
                <w:tcPr>
                  <w:tcW w:w="262" w:type="pct"/>
                  <w:vMerge w:val="continue"/>
                  <w:tcBorders>
                    <w:tl2br w:val="nil"/>
                    <w:tr2bl w:val="nil"/>
                  </w:tcBorders>
                  <w:shd w:val="clear" w:color="auto" w:fill="auto"/>
                  <w:vAlign w:val="center"/>
                </w:tcPr>
                <w:p w14:paraId="5EA3E246">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c>
                <w:tcPr>
                  <w:tcW w:w="330" w:type="pct"/>
                  <w:tcBorders>
                    <w:tl2br w:val="nil"/>
                    <w:tr2bl w:val="nil"/>
                  </w:tcBorders>
                  <w:shd w:val="clear" w:color="auto" w:fill="auto"/>
                  <w:vAlign w:val="center"/>
                </w:tcPr>
                <w:p w14:paraId="6C1A22F0">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r>
                    <w:rPr>
                      <w:color w:val="auto"/>
                      <w:kern w:val="0"/>
                      <w:szCs w:val="21"/>
                    </w:rPr>
                    <w:t>无组织</w:t>
                  </w:r>
                </w:p>
              </w:tc>
              <w:tc>
                <w:tcPr>
                  <w:tcW w:w="330" w:type="pct"/>
                  <w:vMerge w:val="continue"/>
                  <w:tcBorders>
                    <w:tl2br w:val="nil"/>
                    <w:tr2bl w:val="nil"/>
                  </w:tcBorders>
                  <w:shd w:val="clear" w:color="auto" w:fill="auto"/>
                  <w:vAlign w:val="center"/>
                </w:tcPr>
                <w:p w14:paraId="55EDC519">
                  <w:pPr>
                    <w:keepNext w:val="0"/>
                    <w:keepLines w:val="0"/>
                    <w:pageBreakBefore w:val="0"/>
                    <w:kinsoku/>
                    <w:wordWrap/>
                    <w:overflowPunct/>
                    <w:topLinePunct w:val="0"/>
                    <w:autoSpaceDE/>
                    <w:autoSpaceDN/>
                    <w:bidi w:val="0"/>
                    <w:adjustRightInd w:val="0"/>
                    <w:snapToGrid w:val="0"/>
                    <w:ind w:firstLine="0"/>
                    <w:jc w:val="center"/>
                    <w:rPr>
                      <w:color w:val="auto"/>
                      <w:szCs w:val="21"/>
                    </w:rPr>
                  </w:pPr>
                </w:p>
              </w:tc>
              <w:tc>
                <w:tcPr>
                  <w:tcW w:w="246" w:type="pct"/>
                  <w:vMerge w:val="continue"/>
                  <w:tcBorders>
                    <w:tl2br w:val="nil"/>
                    <w:tr2bl w:val="nil"/>
                  </w:tcBorders>
                  <w:shd w:val="clear" w:color="auto" w:fill="auto"/>
                  <w:vAlign w:val="center"/>
                </w:tcPr>
                <w:p w14:paraId="7E947B97">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c>
                <w:tcPr>
                  <w:tcW w:w="267" w:type="pct"/>
                  <w:tcBorders>
                    <w:tl2br w:val="nil"/>
                    <w:tr2bl w:val="nil"/>
                  </w:tcBorders>
                  <w:shd w:val="clear" w:color="auto" w:fill="auto"/>
                  <w:vAlign w:val="center"/>
                </w:tcPr>
                <w:p w14:paraId="1928BF46">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r>
                    <w:rPr>
                      <w:rFonts w:hint="eastAsia"/>
                      <w:color w:val="auto"/>
                      <w:kern w:val="0"/>
                      <w:szCs w:val="21"/>
                    </w:rPr>
                    <w:t>/</w:t>
                  </w:r>
                </w:p>
              </w:tc>
              <w:tc>
                <w:tcPr>
                  <w:tcW w:w="267" w:type="pct"/>
                  <w:tcBorders>
                    <w:tl2br w:val="nil"/>
                    <w:tr2bl w:val="nil"/>
                  </w:tcBorders>
                  <w:shd w:val="clear" w:color="auto" w:fill="auto"/>
                  <w:vAlign w:val="center"/>
                </w:tcPr>
                <w:p w14:paraId="00BA4397">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w:t>
                  </w:r>
                </w:p>
              </w:tc>
              <w:tc>
                <w:tcPr>
                  <w:tcW w:w="357" w:type="pct"/>
                  <w:tcBorders>
                    <w:tl2br w:val="nil"/>
                    <w:tr2bl w:val="nil"/>
                  </w:tcBorders>
                  <w:shd w:val="clear" w:color="auto" w:fill="auto"/>
                  <w:vAlign w:val="center"/>
                </w:tcPr>
                <w:p w14:paraId="4673A7AB">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0.0442</w:t>
                  </w:r>
                </w:p>
              </w:tc>
              <w:tc>
                <w:tcPr>
                  <w:tcW w:w="354" w:type="pct"/>
                  <w:tcBorders>
                    <w:tl2br w:val="nil"/>
                    <w:tr2bl w:val="nil"/>
                  </w:tcBorders>
                  <w:shd w:val="clear" w:color="auto" w:fill="auto"/>
                  <w:vAlign w:val="center"/>
                </w:tcPr>
                <w:p w14:paraId="28B53BD0">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0.106</w:t>
                  </w:r>
                </w:p>
              </w:tc>
              <w:tc>
                <w:tcPr>
                  <w:tcW w:w="509" w:type="pct"/>
                  <w:tcBorders>
                    <w:tl2br w:val="nil"/>
                    <w:tr2bl w:val="nil"/>
                  </w:tcBorders>
                  <w:shd w:val="clear" w:color="auto" w:fill="auto"/>
                  <w:vAlign w:val="center"/>
                </w:tcPr>
                <w:p w14:paraId="012020C1">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eastAsia" w:eastAsia="宋体"/>
                      <w:color w:val="auto"/>
                      <w:szCs w:val="21"/>
                      <w:lang w:eastAsia="zh-CN"/>
                    </w:rPr>
                  </w:pPr>
                  <w:r>
                    <w:rPr>
                      <w:rFonts w:hint="eastAsia"/>
                      <w:color w:val="auto"/>
                      <w:szCs w:val="21"/>
                      <w:lang w:val="en-US" w:eastAsia="zh-CN"/>
                    </w:rPr>
                    <w:t>/</w:t>
                  </w:r>
                </w:p>
              </w:tc>
              <w:tc>
                <w:tcPr>
                  <w:tcW w:w="184" w:type="pct"/>
                  <w:tcBorders>
                    <w:tl2br w:val="nil"/>
                    <w:tr2bl w:val="nil"/>
                  </w:tcBorders>
                  <w:shd w:val="clear" w:color="auto" w:fill="auto"/>
                  <w:vAlign w:val="center"/>
                </w:tcPr>
                <w:p w14:paraId="37B5B2D6">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w:t>
                  </w:r>
                </w:p>
              </w:tc>
              <w:tc>
                <w:tcPr>
                  <w:tcW w:w="271" w:type="pct"/>
                  <w:vMerge w:val="continue"/>
                  <w:tcBorders>
                    <w:tl2br w:val="nil"/>
                    <w:tr2bl w:val="nil"/>
                  </w:tcBorders>
                  <w:shd w:val="clear" w:color="auto" w:fill="auto"/>
                  <w:vAlign w:val="center"/>
                </w:tcPr>
                <w:p w14:paraId="64F4F813">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p>
              </w:tc>
              <w:tc>
                <w:tcPr>
                  <w:tcW w:w="259" w:type="pct"/>
                  <w:tcBorders>
                    <w:tl2br w:val="nil"/>
                    <w:tr2bl w:val="nil"/>
                  </w:tcBorders>
                  <w:shd w:val="clear" w:color="auto" w:fill="auto"/>
                  <w:vAlign w:val="center"/>
                </w:tcPr>
                <w:p w14:paraId="17999B2C">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w:t>
                  </w:r>
                </w:p>
              </w:tc>
              <w:tc>
                <w:tcPr>
                  <w:tcW w:w="328" w:type="pct"/>
                  <w:tcBorders>
                    <w:tl2br w:val="nil"/>
                    <w:tr2bl w:val="nil"/>
                  </w:tcBorders>
                  <w:shd w:val="clear" w:color="auto" w:fill="auto"/>
                  <w:vAlign w:val="center"/>
                </w:tcPr>
                <w:p w14:paraId="133BBD4D">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0.0442</w:t>
                  </w:r>
                </w:p>
              </w:tc>
              <w:tc>
                <w:tcPr>
                  <w:tcW w:w="317" w:type="pct"/>
                  <w:tcBorders>
                    <w:tl2br w:val="nil"/>
                    <w:tr2bl w:val="nil"/>
                  </w:tcBorders>
                  <w:shd w:val="clear" w:color="auto" w:fill="auto"/>
                  <w:vAlign w:val="center"/>
                </w:tcPr>
                <w:p w14:paraId="38BEDE16">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0.106</w:t>
                  </w:r>
                </w:p>
              </w:tc>
              <w:tc>
                <w:tcPr>
                  <w:tcW w:w="252" w:type="pct"/>
                  <w:tcBorders>
                    <w:tl2br w:val="nil"/>
                    <w:tr2bl w:val="nil"/>
                  </w:tcBorders>
                  <w:shd w:val="clear" w:color="auto" w:fill="auto"/>
                  <w:vAlign w:val="center"/>
                </w:tcPr>
                <w:p w14:paraId="59D64EBC">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kern w:val="0"/>
                      <w:szCs w:val="21"/>
                    </w:rPr>
                    <w:t>/</w:t>
                  </w:r>
                </w:p>
              </w:tc>
              <w:tc>
                <w:tcPr>
                  <w:tcW w:w="272" w:type="pct"/>
                  <w:tcBorders>
                    <w:tl2br w:val="nil"/>
                    <w:tr2bl w:val="nil"/>
                  </w:tcBorders>
                  <w:shd w:val="clear" w:color="auto" w:fill="auto"/>
                  <w:vAlign w:val="center"/>
                </w:tcPr>
                <w:p w14:paraId="131751F3">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kern w:val="0"/>
                      <w:szCs w:val="21"/>
                    </w:rPr>
                    <w:t>0.5</w:t>
                  </w:r>
                </w:p>
              </w:tc>
            </w:tr>
            <w:tr w14:paraId="0438ED1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87" w:type="pct"/>
                  <w:vMerge w:val="restart"/>
                  <w:tcBorders>
                    <w:tl2br w:val="nil"/>
                    <w:tr2bl w:val="nil"/>
                  </w:tcBorders>
                  <w:shd w:val="clear" w:color="auto" w:fill="auto"/>
                  <w:vAlign w:val="center"/>
                </w:tcPr>
                <w:p w14:paraId="7DA94455">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r>
                    <w:rPr>
                      <w:rFonts w:hint="eastAsia"/>
                      <w:color w:val="auto"/>
                      <w:kern w:val="0"/>
                      <w:szCs w:val="21"/>
                    </w:rPr>
                    <w:t>浸漆</w:t>
                  </w:r>
                </w:p>
              </w:tc>
              <w:tc>
                <w:tcPr>
                  <w:tcW w:w="262" w:type="pct"/>
                  <w:vMerge w:val="restart"/>
                  <w:tcBorders>
                    <w:tl2br w:val="nil"/>
                    <w:tr2bl w:val="nil"/>
                  </w:tcBorders>
                  <w:shd w:val="clear" w:color="auto" w:fill="auto"/>
                  <w:vAlign w:val="center"/>
                </w:tcPr>
                <w:p w14:paraId="1089373F">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r>
                    <w:rPr>
                      <w:rFonts w:hint="eastAsia"/>
                      <w:color w:val="auto"/>
                      <w:kern w:val="0"/>
                      <w:szCs w:val="21"/>
                    </w:rPr>
                    <w:t>定子真空浸漆系统</w:t>
                  </w:r>
                </w:p>
              </w:tc>
              <w:tc>
                <w:tcPr>
                  <w:tcW w:w="330" w:type="pct"/>
                  <w:tcBorders>
                    <w:tl2br w:val="nil"/>
                    <w:tr2bl w:val="nil"/>
                  </w:tcBorders>
                  <w:shd w:val="clear" w:color="auto" w:fill="auto"/>
                  <w:vAlign w:val="center"/>
                </w:tcPr>
                <w:p w14:paraId="7F0E9B0C">
                  <w:pPr>
                    <w:keepNext w:val="0"/>
                    <w:keepLines w:val="0"/>
                    <w:pageBreakBefore w:val="0"/>
                    <w:widowControl/>
                    <w:kinsoku/>
                    <w:wordWrap/>
                    <w:overflowPunct/>
                    <w:topLinePunct w:val="0"/>
                    <w:autoSpaceDE/>
                    <w:autoSpaceDN/>
                    <w:bidi w:val="0"/>
                    <w:adjustRightInd w:val="0"/>
                    <w:snapToGrid w:val="0"/>
                    <w:ind w:firstLine="0"/>
                    <w:jc w:val="center"/>
                    <w:rPr>
                      <w:rFonts w:hint="eastAsia" w:eastAsia="宋体"/>
                      <w:color w:val="auto"/>
                      <w:kern w:val="0"/>
                      <w:szCs w:val="21"/>
                      <w:lang w:eastAsia="zh-CN"/>
                    </w:rPr>
                  </w:pPr>
                  <w:r>
                    <w:rPr>
                      <w:rFonts w:hint="eastAsia"/>
                      <w:color w:val="auto"/>
                      <w:kern w:val="0"/>
                      <w:szCs w:val="21"/>
                      <w:lang w:eastAsia="zh-CN"/>
                    </w:rPr>
                    <w:t>有组织</w:t>
                  </w:r>
                </w:p>
              </w:tc>
              <w:tc>
                <w:tcPr>
                  <w:tcW w:w="330" w:type="pct"/>
                  <w:vMerge w:val="restart"/>
                  <w:tcBorders>
                    <w:tl2br w:val="nil"/>
                    <w:tr2bl w:val="nil"/>
                  </w:tcBorders>
                  <w:shd w:val="clear" w:color="auto" w:fill="auto"/>
                  <w:vAlign w:val="center"/>
                </w:tcPr>
                <w:p w14:paraId="73CC19B3">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NMHC</w:t>
                  </w:r>
                </w:p>
              </w:tc>
              <w:tc>
                <w:tcPr>
                  <w:tcW w:w="246" w:type="pct"/>
                  <w:vMerge w:val="restart"/>
                  <w:tcBorders>
                    <w:tl2br w:val="nil"/>
                    <w:tr2bl w:val="nil"/>
                  </w:tcBorders>
                  <w:shd w:val="clear" w:color="auto" w:fill="auto"/>
                  <w:vAlign w:val="center"/>
                </w:tcPr>
                <w:p w14:paraId="562D60D1">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r>
                    <w:rPr>
                      <w:color w:val="auto"/>
                      <w:kern w:val="0"/>
                      <w:szCs w:val="21"/>
                    </w:rPr>
                    <w:t>产污系数法</w:t>
                  </w:r>
                </w:p>
              </w:tc>
              <w:tc>
                <w:tcPr>
                  <w:tcW w:w="267" w:type="pct"/>
                  <w:tcBorders>
                    <w:tl2br w:val="nil"/>
                    <w:tr2bl w:val="nil"/>
                  </w:tcBorders>
                  <w:shd w:val="clear" w:color="auto" w:fill="auto"/>
                  <w:vAlign w:val="center"/>
                </w:tcPr>
                <w:p w14:paraId="1C15FD39">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r>
                    <w:rPr>
                      <w:rFonts w:hint="eastAsia"/>
                      <w:color w:val="auto"/>
                      <w:kern w:val="0"/>
                      <w:szCs w:val="21"/>
                    </w:rPr>
                    <w:t>2</w:t>
                  </w:r>
                  <w:r>
                    <w:rPr>
                      <w:color w:val="auto"/>
                      <w:kern w:val="0"/>
                      <w:szCs w:val="21"/>
                    </w:rPr>
                    <w:t>000</w:t>
                  </w:r>
                </w:p>
              </w:tc>
              <w:tc>
                <w:tcPr>
                  <w:tcW w:w="267" w:type="pct"/>
                  <w:tcBorders>
                    <w:tl2br w:val="nil"/>
                    <w:tr2bl w:val="nil"/>
                  </w:tcBorders>
                  <w:shd w:val="clear" w:color="auto" w:fill="auto"/>
                  <w:vAlign w:val="center"/>
                </w:tcPr>
                <w:p w14:paraId="21F59CC0">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eastAsia" w:eastAsia="宋体"/>
                      <w:color w:val="auto"/>
                      <w:szCs w:val="21"/>
                      <w:lang w:eastAsia="zh-CN"/>
                    </w:rPr>
                  </w:pPr>
                  <w:r>
                    <w:rPr>
                      <w:rFonts w:hint="eastAsia"/>
                      <w:color w:val="auto"/>
                      <w:szCs w:val="21"/>
                    </w:rPr>
                    <w:t>2.</w:t>
                  </w:r>
                  <w:r>
                    <w:rPr>
                      <w:rFonts w:hint="eastAsia"/>
                      <w:color w:val="auto"/>
                      <w:szCs w:val="21"/>
                      <w:lang w:val="en-US" w:eastAsia="zh-CN"/>
                    </w:rPr>
                    <w:t>9</w:t>
                  </w:r>
                </w:p>
              </w:tc>
              <w:tc>
                <w:tcPr>
                  <w:tcW w:w="357" w:type="pct"/>
                  <w:tcBorders>
                    <w:tl2br w:val="nil"/>
                    <w:tr2bl w:val="nil"/>
                  </w:tcBorders>
                  <w:shd w:val="clear" w:color="auto" w:fill="auto"/>
                  <w:vAlign w:val="center"/>
                </w:tcPr>
                <w:p w14:paraId="2F9BA031">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eastAsia" w:eastAsia="宋体"/>
                      <w:color w:val="auto"/>
                      <w:szCs w:val="21"/>
                      <w:lang w:eastAsia="zh-CN"/>
                    </w:rPr>
                  </w:pPr>
                  <w:r>
                    <w:rPr>
                      <w:rFonts w:hint="eastAsia"/>
                      <w:color w:val="auto"/>
                      <w:szCs w:val="21"/>
                    </w:rPr>
                    <w:t>0.005</w:t>
                  </w:r>
                  <w:r>
                    <w:rPr>
                      <w:rFonts w:hint="eastAsia"/>
                      <w:color w:val="auto"/>
                      <w:szCs w:val="21"/>
                      <w:lang w:val="en-US" w:eastAsia="zh-CN"/>
                    </w:rPr>
                    <w:t>8</w:t>
                  </w:r>
                </w:p>
              </w:tc>
              <w:tc>
                <w:tcPr>
                  <w:tcW w:w="354" w:type="pct"/>
                  <w:tcBorders>
                    <w:tl2br w:val="nil"/>
                    <w:tr2bl w:val="nil"/>
                  </w:tcBorders>
                  <w:shd w:val="clear" w:color="auto" w:fill="auto"/>
                  <w:vAlign w:val="center"/>
                </w:tcPr>
                <w:p w14:paraId="5DB56222">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0.0137</w:t>
                  </w:r>
                </w:p>
              </w:tc>
              <w:tc>
                <w:tcPr>
                  <w:tcW w:w="509" w:type="pct"/>
                  <w:tcBorders>
                    <w:tl2br w:val="nil"/>
                    <w:tr2bl w:val="nil"/>
                  </w:tcBorders>
                  <w:shd w:val="clear" w:color="auto" w:fill="auto"/>
                  <w:vAlign w:val="center"/>
                </w:tcPr>
                <w:p w14:paraId="0DF41074">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干式过滤棉+二级活性炭装置</w:t>
                  </w:r>
                </w:p>
              </w:tc>
              <w:tc>
                <w:tcPr>
                  <w:tcW w:w="184" w:type="pct"/>
                  <w:tcBorders>
                    <w:tl2br w:val="nil"/>
                    <w:tr2bl w:val="nil"/>
                  </w:tcBorders>
                  <w:shd w:val="clear" w:color="auto" w:fill="auto"/>
                  <w:vAlign w:val="center"/>
                </w:tcPr>
                <w:p w14:paraId="2436B9DE">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90</w:t>
                  </w:r>
                </w:p>
              </w:tc>
              <w:tc>
                <w:tcPr>
                  <w:tcW w:w="271" w:type="pct"/>
                  <w:vMerge w:val="restart"/>
                  <w:tcBorders>
                    <w:tl2br w:val="nil"/>
                    <w:tr2bl w:val="nil"/>
                  </w:tcBorders>
                  <w:shd w:val="clear" w:color="auto" w:fill="auto"/>
                  <w:vAlign w:val="center"/>
                </w:tcPr>
                <w:p w14:paraId="56BCA17A">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kern w:val="0"/>
                      <w:szCs w:val="21"/>
                    </w:rPr>
                    <w:t>是</w:t>
                  </w:r>
                </w:p>
              </w:tc>
              <w:tc>
                <w:tcPr>
                  <w:tcW w:w="259" w:type="pct"/>
                  <w:tcBorders>
                    <w:tl2br w:val="nil"/>
                    <w:tr2bl w:val="nil"/>
                  </w:tcBorders>
                  <w:shd w:val="clear" w:color="auto" w:fill="auto"/>
                  <w:vAlign w:val="center"/>
                </w:tcPr>
                <w:p w14:paraId="5774EEC7">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0.3</w:t>
                  </w:r>
                </w:p>
              </w:tc>
              <w:tc>
                <w:tcPr>
                  <w:tcW w:w="328" w:type="pct"/>
                  <w:tcBorders>
                    <w:tl2br w:val="nil"/>
                    <w:tr2bl w:val="nil"/>
                  </w:tcBorders>
                  <w:shd w:val="clear" w:color="auto" w:fill="auto"/>
                  <w:vAlign w:val="center"/>
                </w:tcPr>
                <w:p w14:paraId="6A5CFE18">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0.0006</w:t>
                  </w:r>
                </w:p>
              </w:tc>
              <w:tc>
                <w:tcPr>
                  <w:tcW w:w="317" w:type="pct"/>
                  <w:tcBorders>
                    <w:tl2br w:val="nil"/>
                    <w:tr2bl w:val="nil"/>
                  </w:tcBorders>
                  <w:shd w:val="clear" w:color="auto" w:fill="auto"/>
                  <w:vAlign w:val="center"/>
                </w:tcPr>
                <w:p w14:paraId="3ADF60FA">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0.0014</w:t>
                  </w:r>
                </w:p>
              </w:tc>
              <w:tc>
                <w:tcPr>
                  <w:tcW w:w="252" w:type="pct"/>
                  <w:tcBorders>
                    <w:tl2br w:val="nil"/>
                    <w:tr2bl w:val="nil"/>
                  </w:tcBorders>
                  <w:shd w:val="clear" w:color="auto" w:fill="auto"/>
                  <w:vAlign w:val="center"/>
                </w:tcPr>
                <w:p w14:paraId="73370FEC">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kern w:val="0"/>
                      <w:szCs w:val="21"/>
                    </w:rPr>
                    <w:t>2.0</w:t>
                  </w:r>
                </w:p>
              </w:tc>
              <w:tc>
                <w:tcPr>
                  <w:tcW w:w="272" w:type="pct"/>
                  <w:tcBorders>
                    <w:tl2br w:val="nil"/>
                    <w:tr2bl w:val="nil"/>
                  </w:tcBorders>
                  <w:shd w:val="clear" w:color="auto" w:fill="auto"/>
                  <w:vAlign w:val="center"/>
                </w:tcPr>
                <w:p w14:paraId="7EF6194B">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kern w:val="0"/>
                      <w:szCs w:val="21"/>
                    </w:rPr>
                    <w:t>50</w:t>
                  </w:r>
                </w:p>
              </w:tc>
            </w:tr>
            <w:tr w14:paraId="10AE9F8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87" w:type="pct"/>
                  <w:vMerge w:val="continue"/>
                  <w:tcBorders>
                    <w:tl2br w:val="nil"/>
                    <w:tr2bl w:val="nil"/>
                  </w:tcBorders>
                  <w:shd w:val="clear" w:color="auto" w:fill="auto"/>
                  <w:vAlign w:val="center"/>
                </w:tcPr>
                <w:p w14:paraId="651E8C19">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c>
                <w:tcPr>
                  <w:tcW w:w="262" w:type="pct"/>
                  <w:vMerge w:val="continue"/>
                  <w:tcBorders>
                    <w:tl2br w:val="nil"/>
                    <w:tr2bl w:val="nil"/>
                  </w:tcBorders>
                  <w:shd w:val="clear" w:color="auto" w:fill="auto"/>
                  <w:vAlign w:val="center"/>
                </w:tcPr>
                <w:p w14:paraId="42C52702">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c>
                <w:tcPr>
                  <w:tcW w:w="330" w:type="pct"/>
                  <w:tcBorders>
                    <w:tl2br w:val="nil"/>
                    <w:tr2bl w:val="nil"/>
                  </w:tcBorders>
                  <w:shd w:val="clear" w:color="auto" w:fill="auto"/>
                  <w:vAlign w:val="center"/>
                </w:tcPr>
                <w:p w14:paraId="73E60E8A">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r>
                    <w:rPr>
                      <w:color w:val="auto"/>
                      <w:kern w:val="0"/>
                      <w:szCs w:val="21"/>
                    </w:rPr>
                    <w:t>无组织</w:t>
                  </w:r>
                </w:p>
              </w:tc>
              <w:tc>
                <w:tcPr>
                  <w:tcW w:w="330" w:type="pct"/>
                  <w:vMerge w:val="continue"/>
                  <w:tcBorders>
                    <w:tl2br w:val="nil"/>
                    <w:tr2bl w:val="nil"/>
                  </w:tcBorders>
                  <w:shd w:val="clear" w:color="auto" w:fill="auto"/>
                  <w:vAlign w:val="center"/>
                </w:tcPr>
                <w:p w14:paraId="7F4E22D8">
                  <w:pPr>
                    <w:keepNext w:val="0"/>
                    <w:keepLines w:val="0"/>
                    <w:pageBreakBefore w:val="0"/>
                    <w:kinsoku/>
                    <w:wordWrap/>
                    <w:overflowPunct/>
                    <w:topLinePunct w:val="0"/>
                    <w:autoSpaceDE/>
                    <w:autoSpaceDN/>
                    <w:bidi w:val="0"/>
                    <w:adjustRightInd w:val="0"/>
                    <w:snapToGrid w:val="0"/>
                    <w:ind w:firstLine="0"/>
                    <w:jc w:val="center"/>
                    <w:rPr>
                      <w:color w:val="auto"/>
                      <w:szCs w:val="21"/>
                    </w:rPr>
                  </w:pPr>
                </w:p>
              </w:tc>
              <w:tc>
                <w:tcPr>
                  <w:tcW w:w="246" w:type="pct"/>
                  <w:vMerge w:val="continue"/>
                  <w:tcBorders>
                    <w:tl2br w:val="nil"/>
                    <w:tr2bl w:val="nil"/>
                  </w:tcBorders>
                  <w:shd w:val="clear" w:color="auto" w:fill="auto"/>
                  <w:vAlign w:val="center"/>
                </w:tcPr>
                <w:p w14:paraId="1F13BB07">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c>
                <w:tcPr>
                  <w:tcW w:w="267" w:type="pct"/>
                  <w:tcBorders>
                    <w:tl2br w:val="nil"/>
                    <w:tr2bl w:val="nil"/>
                  </w:tcBorders>
                  <w:shd w:val="clear" w:color="auto" w:fill="auto"/>
                  <w:vAlign w:val="center"/>
                </w:tcPr>
                <w:p w14:paraId="2C88F7DC">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r>
                    <w:rPr>
                      <w:rFonts w:hint="eastAsia"/>
                      <w:color w:val="auto"/>
                      <w:kern w:val="0"/>
                      <w:szCs w:val="21"/>
                    </w:rPr>
                    <w:t>/</w:t>
                  </w:r>
                </w:p>
              </w:tc>
              <w:tc>
                <w:tcPr>
                  <w:tcW w:w="267" w:type="pct"/>
                  <w:tcBorders>
                    <w:tl2br w:val="nil"/>
                    <w:tr2bl w:val="nil"/>
                  </w:tcBorders>
                  <w:shd w:val="clear" w:color="auto" w:fill="auto"/>
                  <w:vAlign w:val="center"/>
                </w:tcPr>
                <w:p w14:paraId="6D518F18">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w:t>
                  </w:r>
                </w:p>
              </w:tc>
              <w:tc>
                <w:tcPr>
                  <w:tcW w:w="357" w:type="pct"/>
                  <w:tcBorders>
                    <w:tl2br w:val="nil"/>
                    <w:tr2bl w:val="nil"/>
                  </w:tcBorders>
                  <w:shd w:val="clear" w:color="auto" w:fill="auto"/>
                  <w:vAlign w:val="center"/>
                </w:tcPr>
                <w:p w14:paraId="2A818B67">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eastAsia" w:eastAsia="宋体"/>
                      <w:color w:val="auto"/>
                      <w:szCs w:val="21"/>
                      <w:lang w:eastAsia="zh-CN"/>
                    </w:rPr>
                  </w:pPr>
                  <w:r>
                    <w:rPr>
                      <w:rFonts w:hint="eastAsia"/>
                      <w:color w:val="auto"/>
                      <w:szCs w:val="21"/>
                    </w:rPr>
                    <w:t>0.000</w:t>
                  </w:r>
                  <w:r>
                    <w:rPr>
                      <w:rFonts w:hint="eastAsia"/>
                      <w:color w:val="auto"/>
                      <w:szCs w:val="21"/>
                      <w:lang w:val="en-US" w:eastAsia="zh-CN"/>
                    </w:rPr>
                    <w:t>3</w:t>
                  </w:r>
                </w:p>
              </w:tc>
              <w:tc>
                <w:tcPr>
                  <w:tcW w:w="354" w:type="pct"/>
                  <w:tcBorders>
                    <w:tl2br w:val="nil"/>
                    <w:tr2bl w:val="nil"/>
                  </w:tcBorders>
                  <w:shd w:val="clear" w:color="auto" w:fill="auto"/>
                  <w:vAlign w:val="center"/>
                </w:tcPr>
                <w:p w14:paraId="3B4FAD13">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0.0007</w:t>
                  </w:r>
                </w:p>
              </w:tc>
              <w:tc>
                <w:tcPr>
                  <w:tcW w:w="509" w:type="pct"/>
                  <w:tcBorders>
                    <w:tl2br w:val="nil"/>
                    <w:tr2bl w:val="nil"/>
                  </w:tcBorders>
                  <w:shd w:val="clear" w:color="auto" w:fill="auto"/>
                  <w:vAlign w:val="center"/>
                </w:tcPr>
                <w:p w14:paraId="0D733699">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加强通风</w:t>
                  </w:r>
                </w:p>
              </w:tc>
              <w:tc>
                <w:tcPr>
                  <w:tcW w:w="184" w:type="pct"/>
                  <w:tcBorders>
                    <w:tl2br w:val="nil"/>
                    <w:tr2bl w:val="nil"/>
                  </w:tcBorders>
                  <w:shd w:val="clear" w:color="auto" w:fill="auto"/>
                  <w:vAlign w:val="center"/>
                </w:tcPr>
                <w:p w14:paraId="46A613B3">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w:t>
                  </w:r>
                </w:p>
              </w:tc>
              <w:tc>
                <w:tcPr>
                  <w:tcW w:w="271" w:type="pct"/>
                  <w:vMerge w:val="continue"/>
                  <w:tcBorders>
                    <w:tl2br w:val="nil"/>
                    <w:tr2bl w:val="nil"/>
                  </w:tcBorders>
                  <w:shd w:val="clear" w:color="auto" w:fill="auto"/>
                  <w:vAlign w:val="center"/>
                </w:tcPr>
                <w:p w14:paraId="7CE6D0ED">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p>
              </w:tc>
              <w:tc>
                <w:tcPr>
                  <w:tcW w:w="259" w:type="pct"/>
                  <w:tcBorders>
                    <w:tl2br w:val="nil"/>
                    <w:tr2bl w:val="nil"/>
                  </w:tcBorders>
                  <w:shd w:val="clear" w:color="auto" w:fill="auto"/>
                  <w:vAlign w:val="center"/>
                </w:tcPr>
                <w:p w14:paraId="7DD331B2">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w:t>
                  </w:r>
                </w:p>
              </w:tc>
              <w:tc>
                <w:tcPr>
                  <w:tcW w:w="328" w:type="pct"/>
                  <w:tcBorders>
                    <w:tl2br w:val="nil"/>
                    <w:tr2bl w:val="nil"/>
                  </w:tcBorders>
                  <w:shd w:val="clear" w:color="auto" w:fill="auto"/>
                  <w:vAlign w:val="center"/>
                </w:tcPr>
                <w:p w14:paraId="06224576">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0.0003</w:t>
                  </w:r>
                </w:p>
              </w:tc>
              <w:tc>
                <w:tcPr>
                  <w:tcW w:w="317" w:type="pct"/>
                  <w:tcBorders>
                    <w:tl2br w:val="nil"/>
                    <w:tr2bl w:val="nil"/>
                  </w:tcBorders>
                  <w:shd w:val="clear" w:color="auto" w:fill="auto"/>
                  <w:vAlign w:val="center"/>
                </w:tcPr>
                <w:p w14:paraId="758FC134">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0.0007</w:t>
                  </w:r>
                </w:p>
              </w:tc>
              <w:tc>
                <w:tcPr>
                  <w:tcW w:w="252" w:type="pct"/>
                  <w:tcBorders>
                    <w:tl2br w:val="nil"/>
                    <w:tr2bl w:val="nil"/>
                  </w:tcBorders>
                  <w:shd w:val="clear" w:color="auto" w:fill="auto"/>
                  <w:vAlign w:val="center"/>
                </w:tcPr>
                <w:p w14:paraId="76F5A805">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szCs w:val="21"/>
                    </w:rPr>
                    <w:t>/</w:t>
                  </w:r>
                </w:p>
              </w:tc>
              <w:tc>
                <w:tcPr>
                  <w:tcW w:w="272" w:type="pct"/>
                  <w:tcBorders>
                    <w:tl2br w:val="nil"/>
                    <w:tr2bl w:val="nil"/>
                  </w:tcBorders>
                  <w:shd w:val="clear" w:color="auto" w:fill="auto"/>
                  <w:vAlign w:val="center"/>
                </w:tcPr>
                <w:p w14:paraId="6580F119">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kern w:val="0"/>
                      <w:szCs w:val="21"/>
                    </w:rPr>
                    <w:t>4.0</w:t>
                  </w:r>
                </w:p>
              </w:tc>
            </w:tr>
            <w:tr w14:paraId="0147318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87" w:type="pct"/>
                  <w:vMerge w:val="restart"/>
                  <w:tcBorders>
                    <w:tl2br w:val="nil"/>
                    <w:tr2bl w:val="nil"/>
                  </w:tcBorders>
                  <w:shd w:val="clear" w:color="auto" w:fill="auto"/>
                  <w:vAlign w:val="center"/>
                </w:tcPr>
                <w:p w14:paraId="01B5F65E">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r>
                    <w:rPr>
                      <w:rFonts w:hint="eastAsia"/>
                      <w:color w:val="auto"/>
                      <w:kern w:val="0"/>
                      <w:szCs w:val="21"/>
                    </w:rPr>
                    <w:t>烘干</w:t>
                  </w:r>
                </w:p>
              </w:tc>
              <w:tc>
                <w:tcPr>
                  <w:tcW w:w="262" w:type="pct"/>
                  <w:vMerge w:val="continue"/>
                  <w:tcBorders>
                    <w:tl2br w:val="nil"/>
                    <w:tr2bl w:val="nil"/>
                  </w:tcBorders>
                  <w:shd w:val="clear" w:color="auto" w:fill="auto"/>
                  <w:vAlign w:val="center"/>
                </w:tcPr>
                <w:p w14:paraId="4E760FAD">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c>
                <w:tcPr>
                  <w:tcW w:w="330" w:type="pct"/>
                  <w:tcBorders>
                    <w:tl2br w:val="nil"/>
                    <w:tr2bl w:val="nil"/>
                  </w:tcBorders>
                  <w:shd w:val="clear" w:color="auto" w:fill="auto"/>
                  <w:vAlign w:val="center"/>
                </w:tcPr>
                <w:p w14:paraId="146A265D">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r>
                    <w:rPr>
                      <w:rFonts w:hint="eastAsia"/>
                      <w:color w:val="auto"/>
                      <w:kern w:val="0"/>
                      <w:szCs w:val="21"/>
                      <w:lang w:eastAsia="zh-CN"/>
                    </w:rPr>
                    <w:t>有组织</w:t>
                  </w:r>
                </w:p>
              </w:tc>
              <w:tc>
                <w:tcPr>
                  <w:tcW w:w="330" w:type="pct"/>
                  <w:vMerge w:val="restart"/>
                  <w:tcBorders>
                    <w:tl2br w:val="nil"/>
                    <w:tr2bl w:val="nil"/>
                  </w:tcBorders>
                  <w:shd w:val="clear" w:color="auto" w:fill="auto"/>
                  <w:vAlign w:val="center"/>
                </w:tcPr>
                <w:p w14:paraId="18D1F374">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NMHC</w:t>
                  </w:r>
                </w:p>
              </w:tc>
              <w:tc>
                <w:tcPr>
                  <w:tcW w:w="246" w:type="pct"/>
                  <w:vMerge w:val="restart"/>
                  <w:tcBorders>
                    <w:tl2br w:val="nil"/>
                    <w:tr2bl w:val="nil"/>
                  </w:tcBorders>
                  <w:shd w:val="clear" w:color="auto" w:fill="auto"/>
                  <w:vAlign w:val="center"/>
                </w:tcPr>
                <w:p w14:paraId="392CD4C1">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r>
                    <w:rPr>
                      <w:color w:val="auto"/>
                      <w:kern w:val="0"/>
                      <w:szCs w:val="21"/>
                    </w:rPr>
                    <w:t>产污系数法</w:t>
                  </w:r>
                </w:p>
              </w:tc>
              <w:tc>
                <w:tcPr>
                  <w:tcW w:w="267" w:type="pct"/>
                  <w:tcBorders>
                    <w:tl2br w:val="nil"/>
                    <w:tr2bl w:val="nil"/>
                  </w:tcBorders>
                  <w:shd w:val="clear" w:color="auto" w:fill="auto"/>
                  <w:vAlign w:val="center"/>
                </w:tcPr>
                <w:p w14:paraId="2E33D574">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r>
                    <w:rPr>
                      <w:rFonts w:hint="eastAsia"/>
                      <w:color w:val="auto"/>
                      <w:kern w:val="0"/>
                      <w:szCs w:val="21"/>
                    </w:rPr>
                    <w:t>2000</w:t>
                  </w:r>
                </w:p>
              </w:tc>
              <w:tc>
                <w:tcPr>
                  <w:tcW w:w="267" w:type="pct"/>
                  <w:tcBorders>
                    <w:tl2br w:val="nil"/>
                    <w:tr2bl w:val="nil"/>
                  </w:tcBorders>
                  <w:shd w:val="clear" w:color="auto" w:fill="auto"/>
                  <w:vAlign w:val="center"/>
                </w:tcPr>
                <w:p w14:paraId="144A53A1">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1.25</w:t>
                  </w:r>
                </w:p>
              </w:tc>
              <w:tc>
                <w:tcPr>
                  <w:tcW w:w="357" w:type="pct"/>
                  <w:tcBorders>
                    <w:tl2br w:val="nil"/>
                    <w:tr2bl w:val="nil"/>
                  </w:tcBorders>
                  <w:shd w:val="clear" w:color="auto" w:fill="auto"/>
                  <w:vAlign w:val="center"/>
                </w:tcPr>
                <w:p w14:paraId="31A132CA">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0.0025</w:t>
                  </w:r>
                </w:p>
              </w:tc>
              <w:tc>
                <w:tcPr>
                  <w:tcW w:w="354" w:type="pct"/>
                  <w:tcBorders>
                    <w:tl2br w:val="nil"/>
                    <w:tr2bl w:val="nil"/>
                  </w:tcBorders>
                  <w:shd w:val="clear" w:color="auto" w:fill="auto"/>
                  <w:vAlign w:val="center"/>
                </w:tcPr>
                <w:p w14:paraId="0EB091E4">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0.0059</w:t>
                  </w:r>
                </w:p>
              </w:tc>
              <w:tc>
                <w:tcPr>
                  <w:tcW w:w="509" w:type="pct"/>
                  <w:tcBorders>
                    <w:tl2br w:val="nil"/>
                    <w:tr2bl w:val="nil"/>
                  </w:tcBorders>
                  <w:shd w:val="clear" w:color="auto" w:fill="auto"/>
                  <w:vAlign w:val="center"/>
                </w:tcPr>
                <w:p w14:paraId="54C38539">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干式过滤棉+二级活性炭装置</w:t>
                  </w:r>
                </w:p>
              </w:tc>
              <w:tc>
                <w:tcPr>
                  <w:tcW w:w="184" w:type="pct"/>
                  <w:tcBorders>
                    <w:tl2br w:val="nil"/>
                    <w:tr2bl w:val="nil"/>
                  </w:tcBorders>
                  <w:shd w:val="clear" w:color="auto" w:fill="auto"/>
                  <w:vAlign w:val="center"/>
                </w:tcPr>
                <w:p w14:paraId="1835D2DC">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90</w:t>
                  </w:r>
                </w:p>
              </w:tc>
              <w:tc>
                <w:tcPr>
                  <w:tcW w:w="271" w:type="pct"/>
                  <w:vMerge w:val="restart"/>
                  <w:tcBorders>
                    <w:tl2br w:val="nil"/>
                    <w:tr2bl w:val="nil"/>
                  </w:tcBorders>
                  <w:shd w:val="clear" w:color="auto" w:fill="auto"/>
                  <w:vAlign w:val="center"/>
                </w:tcPr>
                <w:p w14:paraId="675B0069">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kern w:val="0"/>
                      <w:szCs w:val="21"/>
                    </w:rPr>
                    <w:t>是</w:t>
                  </w:r>
                </w:p>
              </w:tc>
              <w:tc>
                <w:tcPr>
                  <w:tcW w:w="259" w:type="pct"/>
                  <w:tcBorders>
                    <w:tl2br w:val="nil"/>
                    <w:tr2bl w:val="nil"/>
                  </w:tcBorders>
                  <w:shd w:val="clear" w:color="auto" w:fill="auto"/>
                  <w:vAlign w:val="center"/>
                </w:tcPr>
                <w:p w14:paraId="303049A6">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0.15</w:t>
                  </w:r>
                </w:p>
              </w:tc>
              <w:tc>
                <w:tcPr>
                  <w:tcW w:w="328" w:type="pct"/>
                  <w:tcBorders>
                    <w:tl2br w:val="nil"/>
                    <w:tr2bl w:val="nil"/>
                  </w:tcBorders>
                  <w:shd w:val="clear" w:color="auto" w:fill="auto"/>
                  <w:vAlign w:val="center"/>
                </w:tcPr>
                <w:p w14:paraId="4A2EE9ED">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0.0003</w:t>
                  </w:r>
                </w:p>
              </w:tc>
              <w:tc>
                <w:tcPr>
                  <w:tcW w:w="317" w:type="pct"/>
                  <w:tcBorders>
                    <w:tl2br w:val="nil"/>
                    <w:tr2bl w:val="nil"/>
                  </w:tcBorders>
                  <w:shd w:val="clear" w:color="auto" w:fill="auto"/>
                  <w:vAlign w:val="center"/>
                </w:tcPr>
                <w:p w14:paraId="6F803EC9">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0.0006</w:t>
                  </w:r>
                </w:p>
              </w:tc>
              <w:tc>
                <w:tcPr>
                  <w:tcW w:w="252" w:type="pct"/>
                  <w:tcBorders>
                    <w:tl2br w:val="nil"/>
                    <w:tr2bl w:val="nil"/>
                  </w:tcBorders>
                  <w:shd w:val="clear" w:color="auto" w:fill="auto"/>
                  <w:vAlign w:val="center"/>
                </w:tcPr>
                <w:p w14:paraId="1DDBA998">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kern w:val="0"/>
                      <w:szCs w:val="21"/>
                    </w:rPr>
                    <w:t>2.0</w:t>
                  </w:r>
                </w:p>
              </w:tc>
              <w:tc>
                <w:tcPr>
                  <w:tcW w:w="272" w:type="pct"/>
                  <w:tcBorders>
                    <w:tl2br w:val="nil"/>
                    <w:tr2bl w:val="nil"/>
                  </w:tcBorders>
                  <w:shd w:val="clear" w:color="auto" w:fill="auto"/>
                  <w:vAlign w:val="center"/>
                </w:tcPr>
                <w:p w14:paraId="4164C364">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kern w:val="0"/>
                      <w:szCs w:val="21"/>
                    </w:rPr>
                    <w:t>50</w:t>
                  </w:r>
                </w:p>
              </w:tc>
            </w:tr>
            <w:tr w14:paraId="047B6B07">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87" w:type="pct"/>
                  <w:vMerge w:val="continue"/>
                  <w:tcBorders>
                    <w:tl2br w:val="nil"/>
                    <w:tr2bl w:val="nil"/>
                  </w:tcBorders>
                  <w:shd w:val="clear" w:color="auto" w:fill="auto"/>
                  <w:vAlign w:val="center"/>
                </w:tcPr>
                <w:p w14:paraId="3F63F336">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c>
                <w:tcPr>
                  <w:tcW w:w="262" w:type="pct"/>
                  <w:vMerge w:val="continue"/>
                  <w:tcBorders>
                    <w:tl2br w:val="nil"/>
                    <w:tr2bl w:val="nil"/>
                  </w:tcBorders>
                  <w:shd w:val="clear" w:color="auto" w:fill="auto"/>
                  <w:vAlign w:val="center"/>
                </w:tcPr>
                <w:p w14:paraId="0952481E">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c>
                <w:tcPr>
                  <w:tcW w:w="330" w:type="pct"/>
                  <w:tcBorders>
                    <w:tl2br w:val="nil"/>
                    <w:tr2bl w:val="nil"/>
                  </w:tcBorders>
                  <w:shd w:val="clear" w:color="auto" w:fill="auto"/>
                  <w:vAlign w:val="center"/>
                </w:tcPr>
                <w:p w14:paraId="20B52154">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r>
                    <w:rPr>
                      <w:color w:val="auto"/>
                      <w:kern w:val="0"/>
                      <w:szCs w:val="21"/>
                    </w:rPr>
                    <w:t>无组织</w:t>
                  </w:r>
                </w:p>
              </w:tc>
              <w:tc>
                <w:tcPr>
                  <w:tcW w:w="330" w:type="pct"/>
                  <w:vMerge w:val="continue"/>
                  <w:tcBorders>
                    <w:tl2br w:val="nil"/>
                    <w:tr2bl w:val="nil"/>
                  </w:tcBorders>
                  <w:shd w:val="clear" w:color="auto" w:fill="auto"/>
                  <w:vAlign w:val="center"/>
                </w:tcPr>
                <w:p w14:paraId="434FE9AC">
                  <w:pPr>
                    <w:keepNext w:val="0"/>
                    <w:keepLines w:val="0"/>
                    <w:pageBreakBefore w:val="0"/>
                    <w:kinsoku/>
                    <w:wordWrap/>
                    <w:overflowPunct/>
                    <w:topLinePunct w:val="0"/>
                    <w:autoSpaceDE/>
                    <w:autoSpaceDN/>
                    <w:bidi w:val="0"/>
                    <w:adjustRightInd w:val="0"/>
                    <w:snapToGrid w:val="0"/>
                    <w:ind w:firstLine="0"/>
                    <w:jc w:val="center"/>
                    <w:rPr>
                      <w:color w:val="auto"/>
                      <w:szCs w:val="21"/>
                    </w:rPr>
                  </w:pPr>
                </w:p>
              </w:tc>
              <w:tc>
                <w:tcPr>
                  <w:tcW w:w="246" w:type="pct"/>
                  <w:vMerge w:val="continue"/>
                  <w:tcBorders>
                    <w:tl2br w:val="nil"/>
                    <w:tr2bl w:val="nil"/>
                  </w:tcBorders>
                  <w:shd w:val="clear" w:color="auto" w:fill="auto"/>
                  <w:vAlign w:val="center"/>
                </w:tcPr>
                <w:p w14:paraId="36AA58E1">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c>
                <w:tcPr>
                  <w:tcW w:w="267" w:type="pct"/>
                  <w:tcBorders>
                    <w:tl2br w:val="nil"/>
                    <w:tr2bl w:val="nil"/>
                  </w:tcBorders>
                  <w:shd w:val="clear" w:color="auto" w:fill="auto"/>
                  <w:vAlign w:val="center"/>
                </w:tcPr>
                <w:p w14:paraId="16C99C44">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r>
                    <w:rPr>
                      <w:rFonts w:hint="eastAsia"/>
                      <w:color w:val="auto"/>
                      <w:kern w:val="0"/>
                      <w:szCs w:val="21"/>
                    </w:rPr>
                    <w:t>/</w:t>
                  </w:r>
                </w:p>
              </w:tc>
              <w:tc>
                <w:tcPr>
                  <w:tcW w:w="267" w:type="pct"/>
                  <w:tcBorders>
                    <w:tl2br w:val="nil"/>
                    <w:tr2bl w:val="nil"/>
                  </w:tcBorders>
                  <w:shd w:val="clear" w:color="auto" w:fill="auto"/>
                  <w:vAlign w:val="center"/>
                </w:tcPr>
                <w:p w14:paraId="554D4A4B">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w:t>
                  </w:r>
                </w:p>
              </w:tc>
              <w:tc>
                <w:tcPr>
                  <w:tcW w:w="357" w:type="pct"/>
                  <w:tcBorders>
                    <w:tl2br w:val="nil"/>
                    <w:tr2bl w:val="nil"/>
                  </w:tcBorders>
                  <w:shd w:val="clear" w:color="auto" w:fill="auto"/>
                  <w:vAlign w:val="center"/>
                </w:tcPr>
                <w:p w14:paraId="448B2AC2">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0.0001</w:t>
                  </w:r>
                </w:p>
              </w:tc>
              <w:tc>
                <w:tcPr>
                  <w:tcW w:w="354" w:type="pct"/>
                  <w:tcBorders>
                    <w:tl2br w:val="nil"/>
                    <w:tr2bl w:val="nil"/>
                  </w:tcBorders>
                  <w:shd w:val="clear" w:color="auto" w:fill="auto"/>
                  <w:vAlign w:val="center"/>
                </w:tcPr>
                <w:p w14:paraId="525F1589">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0.0003</w:t>
                  </w:r>
                </w:p>
              </w:tc>
              <w:tc>
                <w:tcPr>
                  <w:tcW w:w="509" w:type="pct"/>
                  <w:tcBorders>
                    <w:tl2br w:val="nil"/>
                    <w:tr2bl w:val="nil"/>
                  </w:tcBorders>
                  <w:shd w:val="clear" w:color="auto" w:fill="auto"/>
                  <w:vAlign w:val="center"/>
                </w:tcPr>
                <w:p w14:paraId="46B75B3B">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eastAsia" w:eastAsia="宋体"/>
                      <w:color w:val="auto"/>
                      <w:szCs w:val="21"/>
                      <w:lang w:eastAsia="zh-CN"/>
                    </w:rPr>
                  </w:pPr>
                  <w:r>
                    <w:rPr>
                      <w:rFonts w:hint="eastAsia"/>
                      <w:color w:val="auto"/>
                      <w:szCs w:val="21"/>
                      <w:lang w:val="en-US" w:eastAsia="zh-CN"/>
                    </w:rPr>
                    <w:t>/</w:t>
                  </w:r>
                </w:p>
              </w:tc>
              <w:tc>
                <w:tcPr>
                  <w:tcW w:w="184" w:type="pct"/>
                  <w:tcBorders>
                    <w:tl2br w:val="nil"/>
                    <w:tr2bl w:val="nil"/>
                  </w:tcBorders>
                  <w:shd w:val="clear" w:color="auto" w:fill="auto"/>
                  <w:vAlign w:val="center"/>
                </w:tcPr>
                <w:p w14:paraId="4D5DFD78">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w:t>
                  </w:r>
                </w:p>
              </w:tc>
              <w:tc>
                <w:tcPr>
                  <w:tcW w:w="271" w:type="pct"/>
                  <w:vMerge w:val="continue"/>
                  <w:tcBorders>
                    <w:tl2br w:val="nil"/>
                    <w:tr2bl w:val="nil"/>
                  </w:tcBorders>
                  <w:shd w:val="clear" w:color="auto" w:fill="auto"/>
                  <w:vAlign w:val="center"/>
                </w:tcPr>
                <w:p w14:paraId="23A5A972">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p>
              </w:tc>
              <w:tc>
                <w:tcPr>
                  <w:tcW w:w="259" w:type="pct"/>
                  <w:tcBorders>
                    <w:tl2br w:val="nil"/>
                    <w:tr2bl w:val="nil"/>
                  </w:tcBorders>
                  <w:shd w:val="clear" w:color="auto" w:fill="auto"/>
                  <w:vAlign w:val="center"/>
                </w:tcPr>
                <w:p w14:paraId="0B16EFDC">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w:t>
                  </w:r>
                </w:p>
              </w:tc>
              <w:tc>
                <w:tcPr>
                  <w:tcW w:w="328" w:type="pct"/>
                  <w:tcBorders>
                    <w:tl2br w:val="nil"/>
                    <w:tr2bl w:val="nil"/>
                  </w:tcBorders>
                  <w:shd w:val="clear" w:color="auto" w:fill="auto"/>
                  <w:vAlign w:val="center"/>
                </w:tcPr>
                <w:p w14:paraId="0B6AFE2B">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0.0001</w:t>
                  </w:r>
                </w:p>
              </w:tc>
              <w:tc>
                <w:tcPr>
                  <w:tcW w:w="317" w:type="pct"/>
                  <w:tcBorders>
                    <w:tl2br w:val="nil"/>
                    <w:tr2bl w:val="nil"/>
                  </w:tcBorders>
                  <w:shd w:val="clear" w:color="auto" w:fill="auto"/>
                  <w:vAlign w:val="center"/>
                </w:tcPr>
                <w:p w14:paraId="46B90BCE">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0.0003</w:t>
                  </w:r>
                </w:p>
              </w:tc>
              <w:tc>
                <w:tcPr>
                  <w:tcW w:w="252" w:type="pct"/>
                  <w:tcBorders>
                    <w:tl2br w:val="nil"/>
                    <w:tr2bl w:val="nil"/>
                  </w:tcBorders>
                  <w:shd w:val="clear" w:color="auto" w:fill="auto"/>
                  <w:vAlign w:val="center"/>
                </w:tcPr>
                <w:p w14:paraId="1EB52126">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szCs w:val="21"/>
                    </w:rPr>
                    <w:t>/</w:t>
                  </w:r>
                </w:p>
              </w:tc>
              <w:tc>
                <w:tcPr>
                  <w:tcW w:w="272" w:type="pct"/>
                  <w:tcBorders>
                    <w:tl2br w:val="nil"/>
                    <w:tr2bl w:val="nil"/>
                  </w:tcBorders>
                  <w:shd w:val="clear" w:color="auto" w:fill="auto"/>
                  <w:vAlign w:val="center"/>
                </w:tcPr>
                <w:p w14:paraId="59FFE887">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kern w:val="0"/>
                      <w:szCs w:val="21"/>
                    </w:rPr>
                    <w:t>4.0</w:t>
                  </w:r>
                </w:p>
              </w:tc>
            </w:tr>
            <w:tr w14:paraId="6ADA5D19">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87" w:type="pct"/>
                  <w:vMerge w:val="restart"/>
                  <w:tcBorders>
                    <w:tl2br w:val="nil"/>
                    <w:tr2bl w:val="nil"/>
                  </w:tcBorders>
                  <w:shd w:val="clear" w:color="auto" w:fill="auto"/>
                  <w:vAlign w:val="center"/>
                </w:tcPr>
                <w:p w14:paraId="71AC83AE">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r>
                    <w:rPr>
                      <w:rFonts w:hint="eastAsia"/>
                      <w:color w:val="auto"/>
                      <w:kern w:val="0"/>
                      <w:szCs w:val="21"/>
                    </w:rPr>
                    <w:t>喷漆</w:t>
                  </w:r>
                </w:p>
              </w:tc>
              <w:tc>
                <w:tcPr>
                  <w:tcW w:w="262" w:type="pct"/>
                  <w:vMerge w:val="restart"/>
                  <w:tcBorders>
                    <w:tl2br w:val="nil"/>
                    <w:tr2bl w:val="nil"/>
                  </w:tcBorders>
                  <w:shd w:val="clear" w:color="auto" w:fill="auto"/>
                  <w:vAlign w:val="center"/>
                </w:tcPr>
                <w:p w14:paraId="07002F05">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r>
                    <w:rPr>
                      <w:rFonts w:hint="eastAsia"/>
                      <w:color w:val="auto"/>
                      <w:kern w:val="0"/>
                      <w:szCs w:val="21"/>
                    </w:rPr>
                    <w:t>电机喷漆生产线</w:t>
                  </w:r>
                </w:p>
              </w:tc>
              <w:tc>
                <w:tcPr>
                  <w:tcW w:w="330" w:type="pct"/>
                  <w:vMerge w:val="restart"/>
                  <w:tcBorders>
                    <w:tl2br w:val="nil"/>
                    <w:tr2bl w:val="nil"/>
                  </w:tcBorders>
                  <w:shd w:val="clear" w:color="auto" w:fill="auto"/>
                  <w:vAlign w:val="center"/>
                </w:tcPr>
                <w:p w14:paraId="28B16640">
                  <w:pPr>
                    <w:keepNext w:val="0"/>
                    <w:keepLines w:val="0"/>
                    <w:pageBreakBefore w:val="0"/>
                    <w:widowControl/>
                    <w:kinsoku/>
                    <w:wordWrap/>
                    <w:overflowPunct/>
                    <w:topLinePunct w:val="0"/>
                    <w:autoSpaceDE/>
                    <w:autoSpaceDN/>
                    <w:bidi w:val="0"/>
                    <w:adjustRightInd w:val="0"/>
                    <w:snapToGrid w:val="0"/>
                    <w:ind w:firstLine="0" w:firstLineChars="0"/>
                    <w:jc w:val="center"/>
                    <w:rPr>
                      <w:color w:val="auto"/>
                      <w:kern w:val="0"/>
                      <w:szCs w:val="21"/>
                    </w:rPr>
                  </w:pPr>
                  <w:r>
                    <w:rPr>
                      <w:rFonts w:hint="eastAsia"/>
                      <w:color w:val="auto"/>
                      <w:kern w:val="0"/>
                      <w:szCs w:val="21"/>
                      <w:lang w:eastAsia="zh-CN"/>
                    </w:rPr>
                    <w:t>有组织</w:t>
                  </w:r>
                </w:p>
              </w:tc>
              <w:tc>
                <w:tcPr>
                  <w:tcW w:w="330" w:type="pct"/>
                  <w:tcBorders>
                    <w:tl2br w:val="nil"/>
                    <w:tr2bl w:val="nil"/>
                  </w:tcBorders>
                  <w:shd w:val="clear" w:color="auto" w:fill="auto"/>
                  <w:vAlign w:val="center"/>
                </w:tcPr>
                <w:p w14:paraId="5508D243">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NMHC</w:t>
                  </w:r>
                </w:p>
              </w:tc>
              <w:tc>
                <w:tcPr>
                  <w:tcW w:w="246" w:type="pct"/>
                  <w:vMerge w:val="restart"/>
                  <w:tcBorders>
                    <w:tl2br w:val="nil"/>
                    <w:tr2bl w:val="nil"/>
                  </w:tcBorders>
                  <w:shd w:val="clear" w:color="auto" w:fill="auto"/>
                  <w:vAlign w:val="center"/>
                </w:tcPr>
                <w:p w14:paraId="24A21D89">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r>
                    <w:rPr>
                      <w:color w:val="auto"/>
                      <w:kern w:val="0"/>
                      <w:szCs w:val="21"/>
                    </w:rPr>
                    <w:t>产污系数法</w:t>
                  </w:r>
                </w:p>
              </w:tc>
              <w:tc>
                <w:tcPr>
                  <w:tcW w:w="267" w:type="pct"/>
                  <w:vMerge w:val="restart"/>
                  <w:tcBorders>
                    <w:tl2br w:val="nil"/>
                    <w:tr2bl w:val="nil"/>
                  </w:tcBorders>
                  <w:shd w:val="clear" w:color="auto" w:fill="auto"/>
                  <w:vAlign w:val="center"/>
                </w:tcPr>
                <w:p w14:paraId="63A855D7">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r>
                    <w:rPr>
                      <w:rFonts w:hint="eastAsia"/>
                      <w:color w:val="auto"/>
                      <w:kern w:val="0"/>
                      <w:szCs w:val="21"/>
                    </w:rPr>
                    <w:t>5000</w:t>
                  </w:r>
                </w:p>
              </w:tc>
              <w:tc>
                <w:tcPr>
                  <w:tcW w:w="267" w:type="pct"/>
                  <w:tcBorders>
                    <w:tl2br w:val="nil"/>
                    <w:tr2bl w:val="nil"/>
                  </w:tcBorders>
                  <w:shd w:val="clear" w:color="auto" w:fill="auto"/>
                  <w:vAlign w:val="center"/>
                </w:tcPr>
                <w:p w14:paraId="33DAE64F">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eastAsia" w:eastAsia="宋体"/>
                      <w:color w:val="auto"/>
                      <w:szCs w:val="21"/>
                      <w:lang w:eastAsia="zh-CN"/>
                    </w:rPr>
                  </w:pPr>
                  <w:r>
                    <w:rPr>
                      <w:rFonts w:hint="eastAsia"/>
                      <w:color w:val="auto"/>
                      <w:szCs w:val="21"/>
                    </w:rPr>
                    <w:t>7.</w:t>
                  </w:r>
                  <w:r>
                    <w:rPr>
                      <w:rFonts w:hint="eastAsia"/>
                      <w:color w:val="auto"/>
                      <w:szCs w:val="21"/>
                      <w:lang w:val="en-US" w:eastAsia="zh-CN"/>
                    </w:rPr>
                    <w:t>6</w:t>
                  </w:r>
                </w:p>
              </w:tc>
              <w:tc>
                <w:tcPr>
                  <w:tcW w:w="357" w:type="pct"/>
                  <w:tcBorders>
                    <w:tl2br w:val="nil"/>
                    <w:tr2bl w:val="nil"/>
                  </w:tcBorders>
                  <w:shd w:val="clear" w:color="auto" w:fill="auto"/>
                  <w:vAlign w:val="center"/>
                </w:tcPr>
                <w:p w14:paraId="249C9A4F">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eastAsia" w:eastAsia="宋体"/>
                      <w:color w:val="auto"/>
                      <w:kern w:val="0"/>
                      <w:szCs w:val="21"/>
                      <w:lang w:eastAsia="zh-CN"/>
                    </w:rPr>
                  </w:pPr>
                  <w:r>
                    <w:rPr>
                      <w:rFonts w:hint="eastAsia"/>
                      <w:color w:val="auto"/>
                      <w:kern w:val="0"/>
                      <w:szCs w:val="21"/>
                    </w:rPr>
                    <w:t>0.03</w:t>
                  </w:r>
                  <w:r>
                    <w:rPr>
                      <w:rFonts w:hint="eastAsia"/>
                      <w:color w:val="auto"/>
                      <w:kern w:val="0"/>
                      <w:szCs w:val="21"/>
                      <w:lang w:val="en-US" w:eastAsia="zh-CN"/>
                    </w:rPr>
                    <w:t>8</w:t>
                  </w:r>
                </w:p>
              </w:tc>
              <w:tc>
                <w:tcPr>
                  <w:tcW w:w="354" w:type="pct"/>
                  <w:tcBorders>
                    <w:tl2br w:val="nil"/>
                    <w:tr2bl w:val="nil"/>
                  </w:tcBorders>
                  <w:shd w:val="clear" w:color="auto" w:fill="auto"/>
                  <w:vAlign w:val="center"/>
                </w:tcPr>
                <w:p w14:paraId="590DDA5B">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kern w:val="0"/>
                      <w:szCs w:val="21"/>
                    </w:rPr>
                    <w:t>0.0894</w:t>
                  </w:r>
                </w:p>
              </w:tc>
              <w:tc>
                <w:tcPr>
                  <w:tcW w:w="509" w:type="pct"/>
                  <w:vMerge w:val="restart"/>
                  <w:tcBorders>
                    <w:tl2br w:val="nil"/>
                    <w:tr2bl w:val="nil"/>
                  </w:tcBorders>
                  <w:shd w:val="clear" w:color="auto" w:fill="auto"/>
                  <w:vAlign w:val="center"/>
                </w:tcPr>
                <w:p w14:paraId="663A0B01">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干式过滤棉+二级活性炭装置</w:t>
                  </w:r>
                </w:p>
              </w:tc>
              <w:tc>
                <w:tcPr>
                  <w:tcW w:w="184" w:type="pct"/>
                  <w:tcBorders>
                    <w:tl2br w:val="nil"/>
                    <w:tr2bl w:val="nil"/>
                  </w:tcBorders>
                  <w:shd w:val="clear" w:color="auto" w:fill="auto"/>
                  <w:vAlign w:val="center"/>
                </w:tcPr>
                <w:p w14:paraId="68C29214">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90</w:t>
                  </w:r>
                </w:p>
              </w:tc>
              <w:tc>
                <w:tcPr>
                  <w:tcW w:w="271" w:type="pct"/>
                  <w:vMerge w:val="restart"/>
                  <w:tcBorders>
                    <w:tl2br w:val="nil"/>
                    <w:tr2bl w:val="nil"/>
                  </w:tcBorders>
                  <w:shd w:val="clear" w:color="auto" w:fill="auto"/>
                  <w:vAlign w:val="center"/>
                </w:tcPr>
                <w:p w14:paraId="710D9338">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kern w:val="0"/>
                      <w:szCs w:val="21"/>
                    </w:rPr>
                    <w:t>是</w:t>
                  </w:r>
                </w:p>
              </w:tc>
              <w:tc>
                <w:tcPr>
                  <w:tcW w:w="259" w:type="pct"/>
                  <w:tcBorders>
                    <w:tl2br w:val="nil"/>
                    <w:tr2bl w:val="nil"/>
                  </w:tcBorders>
                  <w:shd w:val="clear" w:color="auto" w:fill="auto"/>
                  <w:vAlign w:val="center"/>
                </w:tcPr>
                <w:p w14:paraId="5B91EF6B">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eastAsia" w:eastAsia="宋体"/>
                      <w:color w:val="auto"/>
                      <w:szCs w:val="21"/>
                      <w:lang w:eastAsia="zh-CN"/>
                    </w:rPr>
                  </w:pPr>
                  <w:r>
                    <w:rPr>
                      <w:rFonts w:hint="eastAsia"/>
                      <w:color w:val="auto"/>
                      <w:szCs w:val="21"/>
                    </w:rPr>
                    <w:t>0.7</w:t>
                  </w:r>
                  <w:r>
                    <w:rPr>
                      <w:rFonts w:hint="eastAsia"/>
                      <w:color w:val="auto"/>
                      <w:szCs w:val="21"/>
                      <w:lang w:val="en-US" w:eastAsia="zh-CN"/>
                    </w:rPr>
                    <w:t>6</w:t>
                  </w:r>
                </w:p>
              </w:tc>
              <w:tc>
                <w:tcPr>
                  <w:tcW w:w="328" w:type="pct"/>
                  <w:tcBorders>
                    <w:tl2br w:val="nil"/>
                    <w:tr2bl w:val="nil"/>
                  </w:tcBorders>
                  <w:shd w:val="clear" w:color="auto" w:fill="auto"/>
                  <w:vAlign w:val="center"/>
                </w:tcPr>
                <w:p w14:paraId="3AE4AA42">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default" w:eastAsia="宋体"/>
                      <w:color w:val="auto"/>
                      <w:kern w:val="0"/>
                      <w:szCs w:val="21"/>
                      <w:lang w:val="en-US" w:eastAsia="zh-CN"/>
                    </w:rPr>
                  </w:pPr>
                  <w:r>
                    <w:rPr>
                      <w:rFonts w:hint="eastAsia"/>
                      <w:color w:val="auto"/>
                      <w:kern w:val="0"/>
                      <w:szCs w:val="21"/>
                    </w:rPr>
                    <w:t>0.00</w:t>
                  </w:r>
                  <w:r>
                    <w:rPr>
                      <w:rFonts w:hint="eastAsia"/>
                      <w:color w:val="auto"/>
                      <w:kern w:val="0"/>
                      <w:szCs w:val="21"/>
                      <w:lang w:val="en-US" w:eastAsia="zh-CN"/>
                    </w:rPr>
                    <w:t>38</w:t>
                  </w:r>
                </w:p>
              </w:tc>
              <w:tc>
                <w:tcPr>
                  <w:tcW w:w="317" w:type="pct"/>
                  <w:tcBorders>
                    <w:tl2br w:val="nil"/>
                    <w:tr2bl w:val="nil"/>
                  </w:tcBorders>
                  <w:shd w:val="clear" w:color="auto" w:fill="auto"/>
                  <w:vAlign w:val="center"/>
                </w:tcPr>
                <w:p w14:paraId="5CAFB493">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kern w:val="0"/>
                      <w:szCs w:val="21"/>
                    </w:rPr>
                    <w:t>0.0089</w:t>
                  </w:r>
                </w:p>
              </w:tc>
              <w:tc>
                <w:tcPr>
                  <w:tcW w:w="252" w:type="pct"/>
                  <w:tcBorders>
                    <w:tl2br w:val="nil"/>
                    <w:tr2bl w:val="nil"/>
                  </w:tcBorders>
                  <w:shd w:val="clear" w:color="auto" w:fill="auto"/>
                  <w:vAlign w:val="center"/>
                </w:tcPr>
                <w:p w14:paraId="40B4CF1A">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kern w:val="0"/>
                      <w:szCs w:val="21"/>
                    </w:rPr>
                    <w:t>2.0</w:t>
                  </w:r>
                </w:p>
              </w:tc>
              <w:tc>
                <w:tcPr>
                  <w:tcW w:w="272" w:type="pct"/>
                  <w:tcBorders>
                    <w:tl2br w:val="nil"/>
                    <w:tr2bl w:val="nil"/>
                  </w:tcBorders>
                  <w:shd w:val="clear" w:color="auto" w:fill="auto"/>
                  <w:vAlign w:val="center"/>
                </w:tcPr>
                <w:p w14:paraId="53C92B58">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kern w:val="0"/>
                      <w:szCs w:val="21"/>
                    </w:rPr>
                    <w:t>50</w:t>
                  </w:r>
                </w:p>
              </w:tc>
            </w:tr>
            <w:tr w14:paraId="18D12722">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87" w:type="pct"/>
                  <w:vMerge w:val="continue"/>
                  <w:tcBorders>
                    <w:tl2br w:val="nil"/>
                    <w:tr2bl w:val="nil"/>
                  </w:tcBorders>
                  <w:shd w:val="clear" w:color="auto" w:fill="auto"/>
                  <w:vAlign w:val="center"/>
                </w:tcPr>
                <w:p w14:paraId="7EA717C3">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c>
                <w:tcPr>
                  <w:tcW w:w="262" w:type="pct"/>
                  <w:vMerge w:val="continue"/>
                  <w:tcBorders>
                    <w:tl2br w:val="nil"/>
                    <w:tr2bl w:val="nil"/>
                  </w:tcBorders>
                  <w:shd w:val="clear" w:color="auto" w:fill="auto"/>
                  <w:vAlign w:val="center"/>
                </w:tcPr>
                <w:p w14:paraId="4A379E8C">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c>
                <w:tcPr>
                  <w:tcW w:w="330" w:type="pct"/>
                  <w:vMerge w:val="continue"/>
                  <w:tcBorders>
                    <w:tl2br w:val="nil"/>
                    <w:tr2bl w:val="nil"/>
                  </w:tcBorders>
                  <w:shd w:val="clear" w:color="auto" w:fill="auto"/>
                  <w:vAlign w:val="center"/>
                </w:tcPr>
                <w:p w14:paraId="4D844E3B">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c>
                <w:tcPr>
                  <w:tcW w:w="330" w:type="pct"/>
                  <w:tcBorders>
                    <w:tl2br w:val="nil"/>
                    <w:tr2bl w:val="nil"/>
                  </w:tcBorders>
                  <w:shd w:val="clear" w:color="auto" w:fill="auto"/>
                  <w:vAlign w:val="center"/>
                </w:tcPr>
                <w:p w14:paraId="5DA7CBAD">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颗粒物</w:t>
                  </w:r>
                </w:p>
              </w:tc>
              <w:tc>
                <w:tcPr>
                  <w:tcW w:w="246" w:type="pct"/>
                  <w:vMerge w:val="continue"/>
                  <w:tcBorders>
                    <w:tl2br w:val="nil"/>
                    <w:tr2bl w:val="nil"/>
                  </w:tcBorders>
                  <w:shd w:val="clear" w:color="auto" w:fill="auto"/>
                  <w:vAlign w:val="center"/>
                </w:tcPr>
                <w:p w14:paraId="30D19A86">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c>
                <w:tcPr>
                  <w:tcW w:w="267" w:type="pct"/>
                  <w:vMerge w:val="continue"/>
                  <w:tcBorders>
                    <w:tl2br w:val="nil"/>
                    <w:tr2bl w:val="nil"/>
                  </w:tcBorders>
                  <w:shd w:val="clear" w:color="auto" w:fill="auto"/>
                  <w:vAlign w:val="center"/>
                </w:tcPr>
                <w:p w14:paraId="71507F43">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c>
                <w:tcPr>
                  <w:tcW w:w="267" w:type="pct"/>
                  <w:tcBorders>
                    <w:tl2br w:val="nil"/>
                    <w:tr2bl w:val="nil"/>
                  </w:tcBorders>
                  <w:shd w:val="clear" w:color="auto" w:fill="auto"/>
                  <w:vAlign w:val="center"/>
                </w:tcPr>
                <w:p w14:paraId="63D5B158">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default" w:eastAsia="宋体"/>
                      <w:color w:val="auto"/>
                      <w:szCs w:val="21"/>
                      <w:lang w:val="en-US" w:eastAsia="zh-CN"/>
                    </w:rPr>
                  </w:pPr>
                  <w:r>
                    <w:rPr>
                      <w:rFonts w:hint="eastAsia"/>
                      <w:color w:val="auto"/>
                      <w:szCs w:val="21"/>
                      <w:lang w:val="en-US" w:eastAsia="zh-CN"/>
                    </w:rPr>
                    <w:t>34</w:t>
                  </w:r>
                </w:p>
              </w:tc>
              <w:tc>
                <w:tcPr>
                  <w:tcW w:w="357" w:type="pct"/>
                  <w:tcBorders>
                    <w:tl2br w:val="nil"/>
                    <w:tr2bl w:val="nil"/>
                  </w:tcBorders>
                  <w:shd w:val="clear" w:color="auto" w:fill="auto"/>
                  <w:vAlign w:val="center"/>
                </w:tcPr>
                <w:p w14:paraId="2E63057B">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default" w:eastAsia="宋体"/>
                      <w:color w:val="auto"/>
                      <w:kern w:val="0"/>
                      <w:szCs w:val="21"/>
                      <w:lang w:val="en-US" w:eastAsia="zh-CN"/>
                    </w:rPr>
                  </w:pPr>
                  <w:r>
                    <w:rPr>
                      <w:rFonts w:hint="eastAsia"/>
                      <w:color w:val="auto"/>
                      <w:kern w:val="0"/>
                      <w:szCs w:val="21"/>
                      <w:lang w:val="en-US" w:eastAsia="zh-CN"/>
                    </w:rPr>
                    <w:t>0.1698</w:t>
                  </w:r>
                </w:p>
              </w:tc>
              <w:tc>
                <w:tcPr>
                  <w:tcW w:w="354" w:type="pct"/>
                  <w:tcBorders>
                    <w:tl2br w:val="nil"/>
                    <w:tr2bl w:val="nil"/>
                  </w:tcBorders>
                  <w:shd w:val="clear" w:color="auto" w:fill="auto"/>
                  <w:vAlign w:val="center"/>
                </w:tcPr>
                <w:p w14:paraId="54950CC3">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default" w:eastAsia="宋体"/>
                      <w:color w:val="auto"/>
                      <w:kern w:val="0"/>
                      <w:szCs w:val="21"/>
                      <w:lang w:val="en-US" w:eastAsia="zh-CN"/>
                    </w:rPr>
                  </w:pPr>
                  <w:r>
                    <w:rPr>
                      <w:rFonts w:hint="eastAsia"/>
                      <w:color w:val="auto"/>
                      <w:kern w:val="0"/>
                      <w:szCs w:val="21"/>
                      <w:lang w:val="en-US" w:eastAsia="zh-CN"/>
                    </w:rPr>
                    <w:t>0.399</w:t>
                  </w:r>
                </w:p>
              </w:tc>
              <w:tc>
                <w:tcPr>
                  <w:tcW w:w="509" w:type="pct"/>
                  <w:vMerge w:val="continue"/>
                  <w:tcBorders>
                    <w:tl2br w:val="nil"/>
                    <w:tr2bl w:val="nil"/>
                  </w:tcBorders>
                  <w:shd w:val="clear" w:color="auto" w:fill="auto"/>
                  <w:vAlign w:val="center"/>
                </w:tcPr>
                <w:p w14:paraId="44FC3DC9">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p>
              </w:tc>
              <w:tc>
                <w:tcPr>
                  <w:tcW w:w="184" w:type="pct"/>
                  <w:tcBorders>
                    <w:tl2br w:val="nil"/>
                    <w:tr2bl w:val="nil"/>
                  </w:tcBorders>
                  <w:shd w:val="clear" w:color="auto" w:fill="auto"/>
                  <w:vAlign w:val="center"/>
                </w:tcPr>
                <w:p w14:paraId="23D2DF4C">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default" w:eastAsia="宋体"/>
                      <w:color w:val="auto"/>
                      <w:szCs w:val="21"/>
                      <w:lang w:val="en-US" w:eastAsia="zh-CN"/>
                    </w:rPr>
                  </w:pPr>
                  <w:r>
                    <w:rPr>
                      <w:rFonts w:hint="eastAsia"/>
                      <w:color w:val="auto"/>
                      <w:szCs w:val="21"/>
                      <w:lang w:val="en-US" w:eastAsia="zh-CN"/>
                    </w:rPr>
                    <w:t>90</w:t>
                  </w:r>
                </w:p>
              </w:tc>
              <w:tc>
                <w:tcPr>
                  <w:tcW w:w="271" w:type="pct"/>
                  <w:vMerge w:val="continue"/>
                  <w:tcBorders>
                    <w:tl2br w:val="nil"/>
                    <w:tr2bl w:val="nil"/>
                  </w:tcBorders>
                  <w:shd w:val="clear" w:color="auto" w:fill="auto"/>
                  <w:vAlign w:val="center"/>
                </w:tcPr>
                <w:p w14:paraId="44B00B14">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p>
              </w:tc>
              <w:tc>
                <w:tcPr>
                  <w:tcW w:w="259" w:type="pct"/>
                  <w:tcBorders>
                    <w:tl2br w:val="nil"/>
                    <w:tr2bl w:val="nil"/>
                  </w:tcBorders>
                  <w:shd w:val="clear" w:color="auto" w:fill="auto"/>
                  <w:vAlign w:val="center"/>
                </w:tcPr>
                <w:p w14:paraId="43C4062F">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default" w:eastAsia="宋体"/>
                      <w:color w:val="auto"/>
                      <w:szCs w:val="21"/>
                      <w:lang w:val="en-US" w:eastAsia="zh-CN"/>
                    </w:rPr>
                  </w:pPr>
                  <w:r>
                    <w:rPr>
                      <w:rFonts w:hint="eastAsia"/>
                      <w:color w:val="auto"/>
                      <w:szCs w:val="21"/>
                      <w:lang w:val="en-US" w:eastAsia="zh-CN"/>
                    </w:rPr>
                    <w:t>3.4</w:t>
                  </w:r>
                </w:p>
              </w:tc>
              <w:tc>
                <w:tcPr>
                  <w:tcW w:w="328" w:type="pct"/>
                  <w:tcBorders>
                    <w:tl2br w:val="nil"/>
                    <w:tr2bl w:val="nil"/>
                  </w:tcBorders>
                  <w:shd w:val="clear" w:color="auto" w:fill="auto"/>
                  <w:vAlign w:val="center"/>
                </w:tcPr>
                <w:p w14:paraId="13E76CDC">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default" w:eastAsia="宋体"/>
                      <w:color w:val="auto"/>
                      <w:kern w:val="0"/>
                      <w:szCs w:val="21"/>
                      <w:lang w:val="en-US" w:eastAsia="zh-CN"/>
                    </w:rPr>
                  </w:pPr>
                  <w:r>
                    <w:rPr>
                      <w:rFonts w:hint="eastAsia"/>
                      <w:color w:val="auto"/>
                      <w:kern w:val="0"/>
                      <w:szCs w:val="21"/>
                      <w:lang w:val="en-US" w:eastAsia="zh-CN"/>
                    </w:rPr>
                    <w:t>0.017</w:t>
                  </w:r>
                </w:p>
              </w:tc>
              <w:tc>
                <w:tcPr>
                  <w:tcW w:w="317" w:type="pct"/>
                  <w:tcBorders>
                    <w:tl2br w:val="nil"/>
                    <w:tr2bl w:val="nil"/>
                  </w:tcBorders>
                  <w:shd w:val="clear" w:color="auto" w:fill="auto"/>
                  <w:vAlign w:val="center"/>
                </w:tcPr>
                <w:p w14:paraId="1662C077">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default" w:eastAsia="宋体"/>
                      <w:color w:val="auto"/>
                      <w:kern w:val="0"/>
                      <w:szCs w:val="21"/>
                      <w:lang w:val="en-US" w:eastAsia="zh-CN"/>
                    </w:rPr>
                  </w:pPr>
                  <w:r>
                    <w:rPr>
                      <w:rFonts w:hint="eastAsia"/>
                      <w:color w:val="auto"/>
                      <w:kern w:val="0"/>
                      <w:szCs w:val="21"/>
                      <w:lang w:val="en-US" w:eastAsia="zh-CN"/>
                    </w:rPr>
                    <w:t>0.0399</w:t>
                  </w:r>
                </w:p>
              </w:tc>
              <w:tc>
                <w:tcPr>
                  <w:tcW w:w="252" w:type="pct"/>
                  <w:tcBorders>
                    <w:tl2br w:val="nil"/>
                    <w:tr2bl w:val="nil"/>
                  </w:tcBorders>
                  <w:shd w:val="clear" w:color="auto" w:fill="auto"/>
                  <w:vAlign w:val="center"/>
                </w:tcPr>
                <w:p w14:paraId="140A3048">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kern w:val="0"/>
                      <w:szCs w:val="21"/>
                    </w:rPr>
                    <w:t>0.4</w:t>
                  </w:r>
                </w:p>
              </w:tc>
              <w:tc>
                <w:tcPr>
                  <w:tcW w:w="272" w:type="pct"/>
                  <w:tcBorders>
                    <w:tl2br w:val="nil"/>
                    <w:tr2bl w:val="nil"/>
                  </w:tcBorders>
                  <w:shd w:val="clear" w:color="auto" w:fill="auto"/>
                  <w:vAlign w:val="center"/>
                </w:tcPr>
                <w:p w14:paraId="5C450670">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kern w:val="0"/>
                      <w:szCs w:val="21"/>
                    </w:rPr>
                    <w:t>10</w:t>
                  </w:r>
                </w:p>
              </w:tc>
            </w:tr>
            <w:tr w14:paraId="2DA9246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87" w:type="pct"/>
                  <w:vMerge w:val="continue"/>
                  <w:tcBorders>
                    <w:tl2br w:val="nil"/>
                    <w:tr2bl w:val="nil"/>
                  </w:tcBorders>
                  <w:shd w:val="clear" w:color="auto" w:fill="auto"/>
                  <w:vAlign w:val="center"/>
                </w:tcPr>
                <w:p w14:paraId="6D2023D3">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c>
                <w:tcPr>
                  <w:tcW w:w="262" w:type="pct"/>
                  <w:vMerge w:val="continue"/>
                  <w:tcBorders>
                    <w:tl2br w:val="nil"/>
                    <w:tr2bl w:val="nil"/>
                  </w:tcBorders>
                  <w:shd w:val="clear" w:color="auto" w:fill="auto"/>
                  <w:vAlign w:val="center"/>
                </w:tcPr>
                <w:p w14:paraId="0E338A58">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c>
                <w:tcPr>
                  <w:tcW w:w="330" w:type="pct"/>
                  <w:vMerge w:val="restart"/>
                  <w:tcBorders>
                    <w:tl2br w:val="nil"/>
                    <w:tr2bl w:val="nil"/>
                  </w:tcBorders>
                  <w:shd w:val="clear" w:color="auto" w:fill="auto"/>
                  <w:vAlign w:val="center"/>
                </w:tcPr>
                <w:p w14:paraId="33979622">
                  <w:pPr>
                    <w:keepNext w:val="0"/>
                    <w:keepLines w:val="0"/>
                    <w:pageBreakBefore w:val="0"/>
                    <w:widowControl/>
                    <w:kinsoku/>
                    <w:wordWrap/>
                    <w:overflowPunct/>
                    <w:topLinePunct w:val="0"/>
                    <w:autoSpaceDE/>
                    <w:autoSpaceDN/>
                    <w:bidi w:val="0"/>
                    <w:adjustRightInd w:val="0"/>
                    <w:snapToGrid w:val="0"/>
                    <w:ind w:firstLine="0" w:firstLineChars="0"/>
                    <w:jc w:val="center"/>
                    <w:rPr>
                      <w:color w:val="auto"/>
                      <w:kern w:val="0"/>
                      <w:szCs w:val="21"/>
                    </w:rPr>
                  </w:pPr>
                  <w:r>
                    <w:rPr>
                      <w:color w:val="auto"/>
                      <w:kern w:val="0"/>
                      <w:szCs w:val="21"/>
                    </w:rPr>
                    <w:t>无组织</w:t>
                  </w:r>
                </w:p>
              </w:tc>
              <w:tc>
                <w:tcPr>
                  <w:tcW w:w="330" w:type="pct"/>
                  <w:tcBorders>
                    <w:tl2br w:val="nil"/>
                    <w:tr2bl w:val="nil"/>
                  </w:tcBorders>
                  <w:shd w:val="clear" w:color="auto" w:fill="auto"/>
                  <w:vAlign w:val="center"/>
                </w:tcPr>
                <w:p w14:paraId="7F7FA1D0">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NMHC</w:t>
                  </w:r>
                </w:p>
              </w:tc>
              <w:tc>
                <w:tcPr>
                  <w:tcW w:w="246" w:type="pct"/>
                  <w:vMerge w:val="continue"/>
                  <w:tcBorders>
                    <w:tl2br w:val="nil"/>
                    <w:tr2bl w:val="nil"/>
                  </w:tcBorders>
                  <w:shd w:val="clear" w:color="auto" w:fill="auto"/>
                  <w:vAlign w:val="center"/>
                </w:tcPr>
                <w:p w14:paraId="1DAE5745">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c>
                <w:tcPr>
                  <w:tcW w:w="267" w:type="pct"/>
                  <w:vMerge w:val="restart"/>
                  <w:tcBorders>
                    <w:tl2br w:val="nil"/>
                    <w:tr2bl w:val="nil"/>
                  </w:tcBorders>
                  <w:shd w:val="clear" w:color="auto" w:fill="auto"/>
                  <w:vAlign w:val="center"/>
                </w:tcPr>
                <w:p w14:paraId="2A1EDB73">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r>
                    <w:rPr>
                      <w:rFonts w:hint="eastAsia"/>
                      <w:color w:val="auto"/>
                      <w:kern w:val="0"/>
                      <w:szCs w:val="21"/>
                    </w:rPr>
                    <w:t>/</w:t>
                  </w:r>
                </w:p>
              </w:tc>
              <w:tc>
                <w:tcPr>
                  <w:tcW w:w="267" w:type="pct"/>
                  <w:tcBorders>
                    <w:tl2br w:val="nil"/>
                    <w:tr2bl w:val="nil"/>
                  </w:tcBorders>
                  <w:shd w:val="clear" w:color="auto" w:fill="auto"/>
                  <w:vAlign w:val="center"/>
                </w:tcPr>
                <w:p w14:paraId="5F03E68C">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w:t>
                  </w:r>
                </w:p>
              </w:tc>
              <w:tc>
                <w:tcPr>
                  <w:tcW w:w="357" w:type="pct"/>
                  <w:tcBorders>
                    <w:tl2br w:val="nil"/>
                    <w:tr2bl w:val="nil"/>
                  </w:tcBorders>
                  <w:shd w:val="clear" w:color="auto" w:fill="auto"/>
                  <w:vAlign w:val="center"/>
                </w:tcPr>
                <w:p w14:paraId="174522A3">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kern w:val="0"/>
                      <w:szCs w:val="21"/>
                    </w:rPr>
                    <w:t>0.002</w:t>
                  </w:r>
                </w:p>
              </w:tc>
              <w:tc>
                <w:tcPr>
                  <w:tcW w:w="354" w:type="pct"/>
                  <w:tcBorders>
                    <w:tl2br w:val="nil"/>
                    <w:tr2bl w:val="nil"/>
                  </w:tcBorders>
                  <w:shd w:val="clear" w:color="auto" w:fill="auto"/>
                  <w:vAlign w:val="center"/>
                </w:tcPr>
                <w:p w14:paraId="4B51E129">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kern w:val="0"/>
                      <w:szCs w:val="21"/>
                    </w:rPr>
                    <w:t>0.0047</w:t>
                  </w:r>
                </w:p>
              </w:tc>
              <w:tc>
                <w:tcPr>
                  <w:tcW w:w="509" w:type="pct"/>
                  <w:vMerge w:val="restart"/>
                  <w:tcBorders>
                    <w:tl2br w:val="nil"/>
                    <w:tr2bl w:val="nil"/>
                  </w:tcBorders>
                  <w:shd w:val="clear" w:color="auto" w:fill="auto"/>
                  <w:vAlign w:val="center"/>
                </w:tcPr>
                <w:p w14:paraId="76FBDEE1">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eastAsia" w:eastAsia="宋体"/>
                      <w:color w:val="auto"/>
                      <w:szCs w:val="21"/>
                      <w:lang w:eastAsia="zh-CN"/>
                    </w:rPr>
                  </w:pPr>
                  <w:r>
                    <w:rPr>
                      <w:rFonts w:hint="eastAsia"/>
                      <w:color w:val="auto"/>
                      <w:szCs w:val="21"/>
                      <w:lang w:val="en-US" w:eastAsia="zh-CN"/>
                    </w:rPr>
                    <w:t>/</w:t>
                  </w:r>
                </w:p>
              </w:tc>
              <w:tc>
                <w:tcPr>
                  <w:tcW w:w="184" w:type="pct"/>
                  <w:tcBorders>
                    <w:tl2br w:val="nil"/>
                    <w:tr2bl w:val="nil"/>
                  </w:tcBorders>
                  <w:shd w:val="clear" w:color="auto" w:fill="auto"/>
                  <w:vAlign w:val="center"/>
                </w:tcPr>
                <w:p w14:paraId="578A66B7">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w:t>
                  </w:r>
                </w:p>
              </w:tc>
              <w:tc>
                <w:tcPr>
                  <w:tcW w:w="271" w:type="pct"/>
                  <w:vMerge w:val="continue"/>
                  <w:tcBorders>
                    <w:tl2br w:val="nil"/>
                    <w:tr2bl w:val="nil"/>
                  </w:tcBorders>
                  <w:shd w:val="clear" w:color="auto" w:fill="auto"/>
                  <w:vAlign w:val="center"/>
                </w:tcPr>
                <w:p w14:paraId="38942792">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p>
              </w:tc>
              <w:tc>
                <w:tcPr>
                  <w:tcW w:w="259" w:type="pct"/>
                  <w:tcBorders>
                    <w:tl2br w:val="nil"/>
                    <w:tr2bl w:val="nil"/>
                  </w:tcBorders>
                  <w:shd w:val="clear" w:color="auto" w:fill="auto"/>
                  <w:vAlign w:val="center"/>
                </w:tcPr>
                <w:p w14:paraId="0A0838CC">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w:t>
                  </w:r>
                </w:p>
              </w:tc>
              <w:tc>
                <w:tcPr>
                  <w:tcW w:w="328" w:type="pct"/>
                  <w:tcBorders>
                    <w:tl2br w:val="nil"/>
                    <w:tr2bl w:val="nil"/>
                  </w:tcBorders>
                  <w:shd w:val="clear" w:color="auto" w:fill="auto"/>
                  <w:vAlign w:val="center"/>
                </w:tcPr>
                <w:p w14:paraId="1F9608B4">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kern w:val="0"/>
                      <w:szCs w:val="21"/>
                    </w:rPr>
                    <w:t>0.002</w:t>
                  </w:r>
                </w:p>
              </w:tc>
              <w:tc>
                <w:tcPr>
                  <w:tcW w:w="317" w:type="pct"/>
                  <w:tcBorders>
                    <w:tl2br w:val="nil"/>
                    <w:tr2bl w:val="nil"/>
                  </w:tcBorders>
                  <w:shd w:val="clear" w:color="auto" w:fill="auto"/>
                  <w:vAlign w:val="center"/>
                </w:tcPr>
                <w:p w14:paraId="3997A5A2">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kern w:val="0"/>
                      <w:szCs w:val="21"/>
                    </w:rPr>
                    <w:t>0.0047</w:t>
                  </w:r>
                </w:p>
              </w:tc>
              <w:tc>
                <w:tcPr>
                  <w:tcW w:w="252" w:type="pct"/>
                  <w:tcBorders>
                    <w:tl2br w:val="nil"/>
                    <w:tr2bl w:val="nil"/>
                  </w:tcBorders>
                  <w:shd w:val="clear" w:color="auto" w:fill="auto"/>
                  <w:vAlign w:val="center"/>
                </w:tcPr>
                <w:p w14:paraId="667C9D57">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szCs w:val="21"/>
                    </w:rPr>
                    <w:t>/</w:t>
                  </w:r>
                </w:p>
              </w:tc>
              <w:tc>
                <w:tcPr>
                  <w:tcW w:w="272" w:type="pct"/>
                  <w:tcBorders>
                    <w:tl2br w:val="nil"/>
                    <w:tr2bl w:val="nil"/>
                  </w:tcBorders>
                  <w:shd w:val="clear" w:color="auto" w:fill="auto"/>
                  <w:vAlign w:val="center"/>
                </w:tcPr>
                <w:p w14:paraId="6E1ABF40">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kern w:val="0"/>
                      <w:szCs w:val="21"/>
                    </w:rPr>
                    <w:t>4.0</w:t>
                  </w:r>
                </w:p>
              </w:tc>
            </w:tr>
            <w:tr w14:paraId="0BB462B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87" w:type="pct"/>
                  <w:vMerge w:val="continue"/>
                  <w:tcBorders>
                    <w:tl2br w:val="nil"/>
                    <w:tr2bl w:val="nil"/>
                  </w:tcBorders>
                  <w:shd w:val="clear" w:color="auto" w:fill="auto"/>
                  <w:vAlign w:val="center"/>
                </w:tcPr>
                <w:p w14:paraId="0E35E286">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c>
                <w:tcPr>
                  <w:tcW w:w="262" w:type="pct"/>
                  <w:vMerge w:val="continue"/>
                  <w:tcBorders>
                    <w:tl2br w:val="nil"/>
                    <w:tr2bl w:val="nil"/>
                  </w:tcBorders>
                  <w:shd w:val="clear" w:color="auto" w:fill="auto"/>
                  <w:vAlign w:val="center"/>
                </w:tcPr>
                <w:p w14:paraId="066795B3">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c>
                <w:tcPr>
                  <w:tcW w:w="330" w:type="pct"/>
                  <w:vMerge w:val="continue"/>
                  <w:tcBorders>
                    <w:tl2br w:val="nil"/>
                    <w:tr2bl w:val="nil"/>
                  </w:tcBorders>
                  <w:shd w:val="clear" w:color="auto" w:fill="auto"/>
                  <w:vAlign w:val="center"/>
                </w:tcPr>
                <w:p w14:paraId="6ECED38D">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c>
                <w:tcPr>
                  <w:tcW w:w="330" w:type="pct"/>
                  <w:tcBorders>
                    <w:tl2br w:val="nil"/>
                    <w:tr2bl w:val="nil"/>
                  </w:tcBorders>
                  <w:shd w:val="clear" w:color="auto" w:fill="auto"/>
                  <w:vAlign w:val="center"/>
                </w:tcPr>
                <w:p w14:paraId="57159817">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颗粒物</w:t>
                  </w:r>
                </w:p>
              </w:tc>
              <w:tc>
                <w:tcPr>
                  <w:tcW w:w="246" w:type="pct"/>
                  <w:vMerge w:val="continue"/>
                  <w:tcBorders>
                    <w:tl2br w:val="nil"/>
                    <w:tr2bl w:val="nil"/>
                  </w:tcBorders>
                  <w:shd w:val="clear" w:color="auto" w:fill="auto"/>
                  <w:vAlign w:val="center"/>
                </w:tcPr>
                <w:p w14:paraId="2B8B6A41">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c>
                <w:tcPr>
                  <w:tcW w:w="267" w:type="pct"/>
                  <w:vMerge w:val="continue"/>
                  <w:tcBorders>
                    <w:tl2br w:val="nil"/>
                    <w:tr2bl w:val="nil"/>
                  </w:tcBorders>
                  <w:shd w:val="clear" w:color="auto" w:fill="auto"/>
                  <w:vAlign w:val="center"/>
                </w:tcPr>
                <w:p w14:paraId="42933A76">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c>
                <w:tcPr>
                  <w:tcW w:w="267" w:type="pct"/>
                  <w:tcBorders>
                    <w:tl2br w:val="nil"/>
                    <w:tr2bl w:val="nil"/>
                  </w:tcBorders>
                  <w:shd w:val="clear" w:color="auto" w:fill="auto"/>
                  <w:vAlign w:val="center"/>
                </w:tcPr>
                <w:p w14:paraId="0D4873AC">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w:t>
                  </w:r>
                </w:p>
              </w:tc>
              <w:tc>
                <w:tcPr>
                  <w:tcW w:w="357" w:type="pct"/>
                  <w:tcBorders>
                    <w:tl2br w:val="nil"/>
                    <w:tr2bl w:val="nil"/>
                  </w:tcBorders>
                  <w:shd w:val="clear" w:color="auto" w:fill="auto"/>
                  <w:vAlign w:val="center"/>
                </w:tcPr>
                <w:p w14:paraId="4251C893">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default" w:eastAsia="宋体"/>
                      <w:color w:val="auto"/>
                      <w:kern w:val="0"/>
                      <w:szCs w:val="21"/>
                      <w:lang w:val="en-US" w:eastAsia="zh-CN"/>
                    </w:rPr>
                  </w:pPr>
                  <w:r>
                    <w:rPr>
                      <w:rFonts w:hint="eastAsia"/>
                      <w:color w:val="auto"/>
                      <w:kern w:val="0"/>
                      <w:szCs w:val="21"/>
                    </w:rPr>
                    <w:t>0.0</w:t>
                  </w:r>
                  <w:r>
                    <w:rPr>
                      <w:rFonts w:hint="eastAsia"/>
                      <w:color w:val="auto"/>
                      <w:kern w:val="0"/>
                      <w:szCs w:val="21"/>
                      <w:lang w:val="en-US" w:eastAsia="zh-CN"/>
                    </w:rPr>
                    <w:t>089</w:t>
                  </w:r>
                </w:p>
              </w:tc>
              <w:tc>
                <w:tcPr>
                  <w:tcW w:w="354" w:type="pct"/>
                  <w:tcBorders>
                    <w:tl2br w:val="nil"/>
                    <w:tr2bl w:val="nil"/>
                  </w:tcBorders>
                  <w:shd w:val="clear" w:color="auto" w:fill="auto"/>
                  <w:vAlign w:val="center"/>
                </w:tcPr>
                <w:p w14:paraId="2F79CF21">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eastAsia" w:eastAsia="宋体"/>
                      <w:color w:val="auto"/>
                      <w:kern w:val="0"/>
                      <w:szCs w:val="21"/>
                      <w:lang w:eastAsia="zh-CN"/>
                    </w:rPr>
                  </w:pPr>
                  <w:r>
                    <w:rPr>
                      <w:rFonts w:hint="eastAsia"/>
                      <w:color w:val="auto"/>
                      <w:kern w:val="0"/>
                      <w:szCs w:val="21"/>
                    </w:rPr>
                    <w:t>0.02</w:t>
                  </w:r>
                  <w:r>
                    <w:rPr>
                      <w:rFonts w:hint="eastAsia"/>
                      <w:color w:val="auto"/>
                      <w:kern w:val="0"/>
                      <w:szCs w:val="21"/>
                      <w:lang w:val="en-US" w:eastAsia="zh-CN"/>
                    </w:rPr>
                    <w:t>1</w:t>
                  </w:r>
                </w:p>
              </w:tc>
              <w:tc>
                <w:tcPr>
                  <w:tcW w:w="509" w:type="pct"/>
                  <w:vMerge w:val="continue"/>
                  <w:tcBorders>
                    <w:tl2br w:val="nil"/>
                    <w:tr2bl w:val="nil"/>
                  </w:tcBorders>
                  <w:shd w:val="clear" w:color="auto" w:fill="auto"/>
                  <w:vAlign w:val="center"/>
                </w:tcPr>
                <w:p w14:paraId="438C5387">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p>
              </w:tc>
              <w:tc>
                <w:tcPr>
                  <w:tcW w:w="184" w:type="pct"/>
                  <w:tcBorders>
                    <w:tl2br w:val="nil"/>
                    <w:tr2bl w:val="nil"/>
                  </w:tcBorders>
                  <w:shd w:val="clear" w:color="auto" w:fill="auto"/>
                  <w:vAlign w:val="center"/>
                </w:tcPr>
                <w:p w14:paraId="2158458F">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w:t>
                  </w:r>
                </w:p>
              </w:tc>
              <w:tc>
                <w:tcPr>
                  <w:tcW w:w="271" w:type="pct"/>
                  <w:vMerge w:val="continue"/>
                  <w:tcBorders>
                    <w:tl2br w:val="nil"/>
                    <w:tr2bl w:val="nil"/>
                  </w:tcBorders>
                  <w:shd w:val="clear" w:color="auto" w:fill="auto"/>
                  <w:vAlign w:val="center"/>
                </w:tcPr>
                <w:p w14:paraId="3B0208A9">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p>
              </w:tc>
              <w:tc>
                <w:tcPr>
                  <w:tcW w:w="259" w:type="pct"/>
                  <w:tcBorders>
                    <w:tl2br w:val="nil"/>
                    <w:tr2bl w:val="nil"/>
                  </w:tcBorders>
                  <w:shd w:val="clear" w:color="auto" w:fill="auto"/>
                  <w:vAlign w:val="center"/>
                </w:tcPr>
                <w:p w14:paraId="3098D7D3">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w:t>
                  </w:r>
                </w:p>
              </w:tc>
              <w:tc>
                <w:tcPr>
                  <w:tcW w:w="328" w:type="pct"/>
                  <w:tcBorders>
                    <w:tl2br w:val="nil"/>
                    <w:tr2bl w:val="nil"/>
                  </w:tcBorders>
                  <w:shd w:val="clear" w:color="auto" w:fill="auto"/>
                  <w:vAlign w:val="center"/>
                </w:tcPr>
                <w:p w14:paraId="58F57B31">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default" w:ascii="Times New Roman" w:hAnsi="Times New Roman" w:eastAsia="宋体" w:cs="Times New Roman"/>
                      <w:color w:val="auto"/>
                      <w:kern w:val="0"/>
                      <w:sz w:val="21"/>
                      <w:szCs w:val="21"/>
                      <w:lang w:val="en-US" w:eastAsia="zh-CN" w:bidi="ar-SA"/>
                    </w:rPr>
                  </w:pPr>
                  <w:r>
                    <w:rPr>
                      <w:rFonts w:hint="eastAsia"/>
                      <w:color w:val="auto"/>
                      <w:kern w:val="0"/>
                      <w:szCs w:val="21"/>
                    </w:rPr>
                    <w:t>0.0</w:t>
                  </w:r>
                  <w:r>
                    <w:rPr>
                      <w:rFonts w:hint="eastAsia"/>
                      <w:color w:val="auto"/>
                      <w:kern w:val="0"/>
                      <w:szCs w:val="21"/>
                      <w:lang w:val="en-US" w:eastAsia="zh-CN"/>
                    </w:rPr>
                    <w:t>089</w:t>
                  </w:r>
                </w:p>
              </w:tc>
              <w:tc>
                <w:tcPr>
                  <w:tcW w:w="317" w:type="pct"/>
                  <w:tcBorders>
                    <w:tl2br w:val="nil"/>
                    <w:tr2bl w:val="nil"/>
                  </w:tcBorders>
                  <w:shd w:val="clear" w:color="auto" w:fill="auto"/>
                  <w:vAlign w:val="center"/>
                </w:tcPr>
                <w:p w14:paraId="246E2D3C">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0.02</w:t>
                  </w:r>
                  <w:r>
                    <w:rPr>
                      <w:rFonts w:hint="eastAsia"/>
                      <w:color w:val="auto"/>
                      <w:kern w:val="0"/>
                      <w:szCs w:val="21"/>
                      <w:lang w:val="en-US" w:eastAsia="zh-CN"/>
                    </w:rPr>
                    <w:t>1</w:t>
                  </w:r>
                </w:p>
              </w:tc>
              <w:tc>
                <w:tcPr>
                  <w:tcW w:w="252" w:type="pct"/>
                  <w:tcBorders>
                    <w:tl2br w:val="nil"/>
                    <w:tr2bl w:val="nil"/>
                  </w:tcBorders>
                  <w:shd w:val="clear" w:color="auto" w:fill="auto"/>
                  <w:vAlign w:val="center"/>
                </w:tcPr>
                <w:p w14:paraId="11BFD4BD">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szCs w:val="21"/>
                    </w:rPr>
                    <w:t>/</w:t>
                  </w:r>
                </w:p>
              </w:tc>
              <w:tc>
                <w:tcPr>
                  <w:tcW w:w="272" w:type="pct"/>
                  <w:tcBorders>
                    <w:tl2br w:val="nil"/>
                    <w:tr2bl w:val="nil"/>
                  </w:tcBorders>
                  <w:shd w:val="clear" w:color="auto" w:fill="auto"/>
                  <w:vAlign w:val="center"/>
                </w:tcPr>
                <w:p w14:paraId="701DBCC8">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kern w:val="0"/>
                      <w:szCs w:val="21"/>
                    </w:rPr>
                    <w:t>0.5</w:t>
                  </w:r>
                </w:p>
              </w:tc>
            </w:tr>
            <w:tr w14:paraId="488B3729">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87" w:type="pct"/>
                  <w:vMerge w:val="restart"/>
                  <w:tcBorders>
                    <w:tl2br w:val="nil"/>
                    <w:tr2bl w:val="nil"/>
                  </w:tcBorders>
                  <w:shd w:val="clear" w:color="auto" w:fill="auto"/>
                  <w:vAlign w:val="center"/>
                </w:tcPr>
                <w:p w14:paraId="1369B666">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r>
                    <w:rPr>
                      <w:rFonts w:hint="eastAsia"/>
                      <w:color w:val="auto"/>
                      <w:kern w:val="0"/>
                      <w:szCs w:val="21"/>
                    </w:rPr>
                    <w:t>烘干</w:t>
                  </w:r>
                </w:p>
              </w:tc>
              <w:tc>
                <w:tcPr>
                  <w:tcW w:w="262" w:type="pct"/>
                  <w:vMerge w:val="continue"/>
                  <w:tcBorders>
                    <w:tl2br w:val="nil"/>
                    <w:tr2bl w:val="nil"/>
                  </w:tcBorders>
                  <w:shd w:val="clear" w:color="auto" w:fill="auto"/>
                  <w:vAlign w:val="center"/>
                </w:tcPr>
                <w:p w14:paraId="48FAD919">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c>
                <w:tcPr>
                  <w:tcW w:w="330" w:type="pct"/>
                  <w:tcBorders>
                    <w:tl2br w:val="nil"/>
                    <w:tr2bl w:val="nil"/>
                  </w:tcBorders>
                  <w:shd w:val="clear" w:color="auto" w:fill="auto"/>
                  <w:vAlign w:val="center"/>
                </w:tcPr>
                <w:p w14:paraId="399ECE75">
                  <w:pPr>
                    <w:keepNext w:val="0"/>
                    <w:keepLines w:val="0"/>
                    <w:pageBreakBefore w:val="0"/>
                    <w:widowControl/>
                    <w:kinsoku/>
                    <w:wordWrap/>
                    <w:overflowPunct/>
                    <w:topLinePunct w:val="0"/>
                    <w:autoSpaceDE/>
                    <w:autoSpaceDN/>
                    <w:bidi w:val="0"/>
                    <w:adjustRightInd w:val="0"/>
                    <w:snapToGrid w:val="0"/>
                    <w:ind w:firstLine="0" w:firstLineChars="0"/>
                    <w:jc w:val="center"/>
                    <w:rPr>
                      <w:color w:val="auto"/>
                      <w:kern w:val="0"/>
                      <w:szCs w:val="21"/>
                    </w:rPr>
                  </w:pPr>
                  <w:r>
                    <w:rPr>
                      <w:rFonts w:hint="eastAsia"/>
                      <w:color w:val="auto"/>
                      <w:kern w:val="0"/>
                      <w:szCs w:val="21"/>
                      <w:lang w:eastAsia="zh-CN"/>
                    </w:rPr>
                    <w:t>有组织</w:t>
                  </w:r>
                </w:p>
              </w:tc>
              <w:tc>
                <w:tcPr>
                  <w:tcW w:w="330" w:type="pct"/>
                  <w:vMerge w:val="restart"/>
                  <w:tcBorders>
                    <w:tl2br w:val="nil"/>
                    <w:tr2bl w:val="nil"/>
                  </w:tcBorders>
                  <w:shd w:val="clear" w:color="auto" w:fill="auto"/>
                  <w:vAlign w:val="center"/>
                </w:tcPr>
                <w:p w14:paraId="03E5782C">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NMHC</w:t>
                  </w:r>
                </w:p>
              </w:tc>
              <w:tc>
                <w:tcPr>
                  <w:tcW w:w="246" w:type="pct"/>
                  <w:vMerge w:val="restart"/>
                  <w:tcBorders>
                    <w:tl2br w:val="nil"/>
                    <w:tr2bl w:val="nil"/>
                  </w:tcBorders>
                  <w:shd w:val="clear" w:color="auto" w:fill="auto"/>
                  <w:vAlign w:val="center"/>
                </w:tcPr>
                <w:p w14:paraId="5E924304">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r>
                    <w:rPr>
                      <w:color w:val="auto"/>
                      <w:kern w:val="0"/>
                      <w:szCs w:val="21"/>
                    </w:rPr>
                    <w:t>产污系数法</w:t>
                  </w:r>
                </w:p>
              </w:tc>
              <w:tc>
                <w:tcPr>
                  <w:tcW w:w="267" w:type="pct"/>
                  <w:tcBorders>
                    <w:tl2br w:val="nil"/>
                    <w:tr2bl w:val="nil"/>
                  </w:tcBorders>
                  <w:shd w:val="clear" w:color="auto" w:fill="auto"/>
                  <w:vAlign w:val="center"/>
                </w:tcPr>
                <w:p w14:paraId="351F55D6">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r>
                    <w:rPr>
                      <w:rFonts w:hint="eastAsia"/>
                      <w:color w:val="auto"/>
                      <w:kern w:val="0"/>
                      <w:szCs w:val="21"/>
                    </w:rPr>
                    <w:t>3000</w:t>
                  </w:r>
                </w:p>
              </w:tc>
              <w:tc>
                <w:tcPr>
                  <w:tcW w:w="267" w:type="pct"/>
                  <w:tcBorders>
                    <w:tl2br w:val="nil"/>
                    <w:tr2bl w:val="nil"/>
                  </w:tcBorders>
                  <w:shd w:val="clear" w:color="auto" w:fill="auto"/>
                  <w:vAlign w:val="center"/>
                </w:tcPr>
                <w:p w14:paraId="6B80AC53">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5.</w:t>
                  </w:r>
                  <w:r>
                    <w:rPr>
                      <w:rFonts w:hint="eastAsia"/>
                      <w:color w:val="auto"/>
                      <w:szCs w:val="21"/>
                      <w:lang w:val="en-US" w:eastAsia="zh-CN"/>
                    </w:rPr>
                    <w:t>4</w:t>
                  </w:r>
                  <w:r>
                    <w:rPr>
                      <w:rFonts w:hint="eastAsia"/>
                      <w:color w:val="auto"/>
                      <w:szCs w:val="21"/>
                    </w:rPr>
                    <w:t>3</w:t>
                  </w:r>
                </w:p>
              </w:tc>
              <w:tc>
                <w:tcPr>
                  <w:tcW w:w="357" w:type="pct"/>
                  <w:tcBorders>
                    <w:tl2br w:val="nil"/>
                    <w:tr2bl w:val="nil"/>
                  </w:tcBorders>
                  <w:shd w:val="clear" w:color="auto" w:fill="auto"/>
                  <w:vAlign w:val="center"/>
                </w:tcPr>
                <w:p w14:paraId="0FCB45C6">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eastAsia" w:eastAsia="宋体"/>
                      <w:color w:val="auto"/>
                      <w:kern w:val="0"/>
                      <w:szCs w:val="21"/>
                      <w:lang w:val="en-US" w:eastAsia="zh-CN"/>
                    </w:rPr>
                  </w:pPr>
                  <w:r>
                    <w:rPr>
                      <w:rFonts w:hint="eastAsia"/>
                      <w:color w:val="auto"/>
                      <w:kern w:val="0"/>
                      <w:szCs w:val="21"/>
                    </w:rPr>
                    <w:t>0.016</w:t>
                  </w:r>
                  <w:r>
                    <w:rPr>
                      <w:rFonts w:hint="eastAsia"/>
                      <w:color w:val="auto"/>
                      <w:kern w:val="0"/>
                      <w:szCs w:val="21"/>
                      <w:lang w:val="en-US" w:eastAsia="zh-CN"/>
                    </w:rPr>
                    <w:t>3</w:t>
                  </w:r>
                </w:p>
              </w:tc>
              <w:tc>
                <w:tcPr>
                  <w:tcW w:w="354" w:type="pct"/>
                  <w:tcBorders>
                    <w:tl2br w:val="nil"/>
                    <w:tr2bl w:val="nil"/>
                  </w:tcBorders>
                  <w:shd w:val="clear" w:color="auto" w:fill="auto"/>
                  <w:vAlign w:val="center"/>
                </w:tcPr>
                <w:p w14:paraId="7EBBD270">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kern w:val="0"/>
                      <w:szCs w:val="21"/>
                    </w:rPr>
                    <w:t>0.0383</w:t>
                  </w:r>
                </w:p>
              </w:tc>
              <w:tc>
                <w:tcPr>
                  <w:tcW w:w="509" w:type="pct"/>
                  <w:tcBorders>
                    <w:tl2br w:val="nil"/>
                    <w:tr2bl w:val="nil"/>
                  </w:tcBorders>
                  <w:shd w:val="clear" w:color="auto" w:fill="auto"/>
                  <w:vAlign w:val="center"/>
                </w:tcPr>
                <w:p w14:paraId="53B3A98F">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干式过滤棉+二级活性炭装置</w:t>
                  </w:r>
                </w:p>
              </w:tc>
              <w:tc>
                <w:tcPr>
                  <w:tcW w:w="184" w:type="pct"/>
                  <w:tcBorders>
                    <w:tl2br w:val="nil"/>
                    <w:tr2bl w:val="nil"/>
                  </w:tcBorders>
                  <w:shd w:val="clear" w:color="auto" w:fill="auto"/>
                  <w:vAlign w:val="center"/>
                </w:tcPr>
                <w:p w14:paraId="18C4D9B4">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90</w:t>
                  </w:r>
                </w:p>
              </w:tc>
              <w:tc>
                <w:tcPr>
                  <w:tcW w:w="271" w:type="pct"/>
                  <w:vMerge w:val="restart"/>
                  <w:tcBorders>
                    <w:tl2br w:val="nil"/>
                    <w:tr2bl w:val="nil"/>
                  </w:tcBorders>
                  <w:shd w:val="clear" w:color="auto" w:fill="auto"/>
                  <w:vAlign w:val="center"/>
                </w:tcPr>
                <w:p w14:paraId="3B73089C">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kern w:val="0"/>
                      <w:szCs w:val="21"/>
                    </w:rPr>
                    <w:t>是</w:t>
                  </w:r>
                </w:p>
              </w:tc>
              <w:tc>
                <w:tcPr>
                  <w:tcW w:w="259" w:type="pct"/>
                  <w:tcBorders>
                    <w:tl2br w:val="nil"/>
                    <w:tr2bl w:val="nil"/>
                  </w:tcBorders>
                  <w:shd w:val="clear" w:color="auto" w:fill="auto"/>
                  <w:vAlign w:val="center"/>
                </w:tcPr>
                <w:p w14:paraId="6D958BD0">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0.53</w:t>
                  </w:r>
                </w:p>
              </w:tc>
              <w:tc>
                <w:tcPr>
                  <w:tcW w:w="328" w:type="pct"/>
                  <w:tcBorders>
                    <w:tl2br w:val="nil"/>
                    <w:tr2bl w:val="nil"/>
                  </w:tcBorders>
                  <w:shd w:val="clear" w:color="auto" w:fill="auto"/>
                  <w:vAlign w:val="center"/>
                </w:tcPr>
                <w:p w14:paraId="6236BF25">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kern w:val="0"/>
                      <w:szCs w:val="21"/>
                    </w:rPr>
                    <w:t>0.0016</w:t>
                  </w:r>
                </w:p>
              </w:tc>
              <w:tc>
                <w:tcPr>
                  <w:tcW w:w="317" w:type="pct"/>
                  <w:tcBorders>
                    <w:tl2br w:val="nil"/>
                    <w:tr2bl w:val="nil"/>
                  </w:tcBorders>
                  <w:shd w:val="clear" w:color="auto" w:fill="auto"/>
                  <w:vAlign w:val="center"/>
                </w:tcPr>
                <w:p w14:paraId="13F56215">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kern w:val="0"/>
                      <w:szCs w:val="21"/>
                    </w:rPr>
                    <w:t>0.0038</w:t>
                  </w:r>
                </w:p>
              </w:tc>
              <w:tc>
                <w:tcPr>
                  <w:tcW w:w="252" w:type="pct"/>
                  <w:tcBorders>
                    <w:tl2br w:val="nil"/>
                    <w:tr2bl w:val="nil"/>
                  </w:tcBorders>
                  <w:shd w:val="clear" w:color="auto" w:fill="auto"/>
                  <w:vAlign w:val="center"/>
                </w:tcPr>
                <w:p w14:paraId="30095903">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kern w:val="0"/>
                      <w:szCs w:val="21"/>
                    </w:rPr>
                    <w:t>2.0</w:t>
                  </w:r>
                </w:p>
              </w:tc>
              <w:tc>
                <w:tcPr>
                  <w:tcW w:w="272" w:type="pct"/>
                  <w:tcBorders>
                    <w:tl2br w:val="nil"/>
                    <w:tr2bl w:val="nil"/>
                  </w:tcBorders>
                  <w:shd w:val="clear" w:color="auto" w:fill="auto"/>
                  <w:vAlign w:val="center"/>
                </w:tcPr>
                <w:p w14:paraId="0A500491">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kern w:val="0"/>
                      <w:szCs w:val="21"/>
                    </w:rPr>
                    <w:t>50</w:t>
                  </w:r>
                </w:p>
              </w:tc>
            </w:tr>
            <w:tr w14:paraId="6BF61C0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87" w:type="pct"/>
                  <w:vMerge w:val="continue"/>
                  <w:tcBorders>
                    <w:tl2br w:val="nil"/>
                    <w:tr2bl w:val="nil"/>
                  </w:tcBorders>
                  <w:shd w:val="clear" w:color="auto" w:fill="auto"/>
                  <w:vAlign w:val="center"/>
                </w:tcPr>
                <w:p w14:paraId="73009AEC">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c>
                <w:tcPr>
                  <w:tcW w:w="262" w:type="pct"/>
                  <w:vMerge w:val="continue"/>
                  <w:tcBorders>
                    <w:tl2br w:val="nil"/>
                    <w:tr2bl w:val="nil"/>
                  </w:tcBorders>
                  <w:shd w:val="clear" w:color="auto" w:fill="auto"/>
                  <w:vAlign w:val="center"/>
                </w:tcPr>
                <w:p w14:paraId="35BC52B1">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c>
                <w:tcPr>
                  <w:tcW w:w="330" w:type="pct"/>
                  <w:tcBorders>
                    <w:tl2br w:val="nil"/>
                    <w:tr2bl w:val="nil"/>
                  </w:tcBorders>
                  <w:shd w:val="clear" w:color="auto" w:fill="auto"/>
                  <w:vAlign w:val="center"/>
                </w:tcPr>
                <w:p w14:paraId="2F8E172A">
                  <w:pPr>
                    <w:keepNext w:val="0"/>
                    <w:keepLines w:val="0"/>
                    <w:pageBreakBefore w:val="0"/>
                    <w:widowControl/>
                    <w:kinsoku/>
                    <w:wordWrap/>
                    <w:overflowPunct/>
                    <w:topLinePunct w:val="0"/>
                    <w:autoSpaceDE/>
                    <w:autoSpaceDN/>
                    <w:bidi w:val="0"/>
                    <w:adjustRightInd w:val="0"/>
                    <w:snapToGrid w:val="0"/>
                    <w:ind w:firstLine="0" w:firstLineChars="0"/>
                    <w:jc w:val="center"/>
                    <w:rPr>
                      <w:color w:val="auto"/>
                      <w:kern w:val="0"/>
                      <w:szCs w:val="21"/>
                    </w:rPr>
                  </w:pPr>
                  <w:r>
                    <w:rPr>
                      <w:color w:val="auto"/>
                      <w:kern w:val="0"/>
                      <w:szCs w:val="21"/>
                    </w:rPr>
                    <w:t>无组织</w:t>
                  </w:r>
                </w:p>
              </w:tc>
              <w:tc>
                <w:tcPr>
                  <w:tcW w:w="330" w:type="pct"/>
                  <w:vMerge w:val="continue"/>
                  <w:tcBorders>
                    <w:tl2br w:val="nil"/>
                    <w:tr2bl w:val="nil"/>
                  </w:tcBorders>
                  <w:shd w:val="clear" w:color="auto" w:fill="auto"/>
                  <w:vAlign w:val="center"/>
                </w:tcPr>
                <w:p w14:paraId="6B530DD5">
                  <w:pPr>
                    <w:keepNext w:val="0"/>
                    <w:keepLines w:val="0"/>
                    <w:pageBreakBefore w:val="0"/>
                    <w:kinsoku/>
                    <w:wordWrap/>
                    <w:overflowPunct/>
                    <w:topLinePunct w:val="0"/>
                    <w:autoSpaceDE/>
                    <w:autoSpaceDN/>
                    <w:bidi w:val="0"/>
                    <w:adjustRightInd w:val="0"/>
                    <w:snapToGrid w:val="0"/>
                    <w:ind w:firstLine="0"/>
                    <w:jc w:val="center"/>
                    <w:rPr>
                      <w:color w:val="auto"/>
                      <w:szCs w:val="21"/>
                    </w:rPr>
                  </w:pPr>
                </w:p>
              </w:tc>
              <w:tc>
                <w:tcPr>
                  <w:tcW w:w="246" w:type="pct"/>
                  <w:vMerge w:val="continue"/>
                  <w:tcBorders>
                    <w:tl2br w:val="nil"/>
                    <w:tr2bl w:val="nil"/>
                  </w:tcBorders>
                  <w:shd w:val="clear" w:color="auto" w:fill="auto"/>
                  <w:vAlign w:val="center"/>
                </w:tcPr>
                <w:p w14:paraId="1B6B0800">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c>
                <w:tcPr>
                  <w:tcW w:w="267" w:type="pct"/>
                  <w:tcBorders>
                    <w:tl2br w:val="nil"/>
                    <w:tr2bl w:val="nil"/>
                  </w:tcBorders>
                  <w:shd w:val="clear" w:color="auto" w:fill="auto"/>
                  <w:vAlign w:val="center"/>
                </w:tcPr>
                <w:p w14:paraId="4CE16F52">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r>
                    <w:rPr>
                      <w:rFonts w:hint="eastAsia"/>
                      <w:color w:val="auto"/>
                      <w:kern w:val="0"/>
                      <w:szCs w:val="21"/>
                    </w:rPr>
                    <w:t>/</w:t>
                  </w:r>
                </w:p>
              </w:tc>
              <w:tc>
                <w:tcPr>
                  <w:tcW w:w="267" w:type="pct"/>
                  <w:tcBorders>
                    <w:tl2br w:val="nil"/>
                    <w:tr2bl w:val="nil"/>
                  </w:tcBorders>
                  <w:shd w:val="clear" w:color="auto" w:fill="auto"/>
                  <w:vAlign w:val="center"/>
                </w:tcPr>
                <w:p w14:paraId="280EFBA1">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w:t>
                  </w:r>
                </w:p>
              </w:tc>
              <w:tc>
                <w:tcPr>
                  <w:tcW w:w="357" w:type="pct"/>
                  <w:tcBorders>
                    <w:tl2br w:val="nil"/>
                    <w:tr2bl w:val="nil"/>
                  </w:tcBorders>
                  <w:shd w:val="clear" w:color="auto" w:fill="auto"/>
                  <w:vAlign w:val="center"/>
                </w:tcPr>
                <w:p w14:paraId="4D61ACCA">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eastAsia" w:eastAsia="宋体"/>
                      <w:color w:val="auto"/>
                      <w:kern w:val="0"/>
                      <w:szCs w:val="21"/>
                      <w:lang w:eastAsia="zh-CN"/>
                    </w:rPr>
                  </w:pPr>
                  <w:r>
                    <w:rPr>
                      <w:rFonts w:hint="eastAsia"/>
                      <w:color w:val="auto"/>
                      <w:kern w:val="0"/>
                      <w:szCs w:val="21"/>
                    </w:rPr>
                    <w:t>0.000</w:t>
                  </w:r>
                  <w:r>
                    <w:rPr>
                      <w:rFonts w:hint="eastAsia"/>
                      <w:color w:val="auto"/>
                      <w:kern w:val="0"/>
                      <w:szCs w:val="21"/>
                      <w:lang w:val="en-US" w:eastAsia="zh-CN"/>
                    </w:rPr>
                    <w:t>9</w:t>
                  </w:r>
                </w:p>
              </w:tc>
              <w:tc>
                <w:tcPr>
                  <w:tcW w:w="354" w:type="pct"/>
                  <w:tcBorders>
                    <w:tl2br w:val="nil"/>
                    <w:tr2bl w:val="nil"/>
                  </w:tcBorders>
                  <w:shd w:val="clear" w:color="auto" w:fill="auto"/>
                  <w:vAlign w:val="center"/>
                </w:tcPr>
                <w:p w14:paraId="330FD962">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kern w:val="0"/>
                      <w:szCs w:val="21"/>
                    </w:rPr>
                    <w:t>0.002</w:t>
                  </w:r>
                </w:p>
              </w:tc>
              <w:tc>
                <w:tcPr>
                  <w:tcW w:w="509" w:type="pct"/>
                  <w:tcBorders>
                    <w:tl2br w:val="nil"/>
                    <w:tr2bl w:val="nil"/>
                  </w:tcBorders>
                  <w:shd w:val="clear" w:color="auto" w:fill="auto"/>
                  <w:vAlign w:val="center"/>
                </w:tcPr>
                <w:p w14:paraId="6CB394DE">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eastAsia" w:eastAsia="宋体"/>
                      <w:color w:val="auto"/>
                      <w:szCs w:val="21"/>
                      <w:lang w:eastAsia="zh-CN"/>
                    </w:rPr>
                  </w:pPr>
                  <w:r>
                    <w:rPr>
                      <w:rFonts w:hint="eastAsia"/>
                      <w:color w:val="auto"/>
                      <w:szCs w:val="21"/>
                      <w:lang w:val="en-US" w:eastAsia="zh-CN"/>
                    </w:rPr>
                    <w:t>/</w:t>
                  </w:r>
                </w:p>
              </w:tc>
              <w:tc>
                <w:tcPr>
                  <w:tcW w:w="184" w:type="pct"/>
                  <w:tcBorders>
                    <w:tl2br w:val="nil"/>
                    <w:tr2bl w:val="nil"/>
                  </w:tcBorders>
                  <w:shd w:val="clear" w:color="auto" w:fill="auto"/>
                  <w:vAlign w:val="center"/>
                </w:tcPr>
                <w:p w14:paraId="26EC9135">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w:t>
                  </w:r>
                </w:p>
              </w:tc>
              <w:tc>
                <w:tcPr>
                  <w:tcW w:w="271" w:type="pct"/>
                  <w:vMerge w:val="continue"/>
                  <w:tcBorders>
                    <w:tl2br w:val="nil"/>
                    <w:tr2bl w:val="nil"/>
                  </w:tcBorders>
                  <w:shd w:val="clear" w:color="auto" w:fill="auto"/>
                  <w:vAlign w:val="center"/>
                </w:tcPr>
                <w:p w14:paraId="5028586D">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p>
              </w:tc>
              <w:tc>
                <w:tcPr>
                  <w:tcW w:w="259" w:type="pct"/>
                  <w:tcBorders>
                    <w:tl2br w:val="nil"/>
                    <w:tr2bl w:val="nil"/>
                  </w:tcBorders>
                  <w:shd w:val="clear" w:color="auto" w:fill="auto"/>
                  <w:vAlign w:val="center"/>
                </w:tcPr>
                <w:p w14:paraId="72C80234">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w:t>
                  </w:r>
                </w:p>
              </w:tc>
              <w:tc>
                <w:tcPr>
                  <w:tcW w:w="328" w:type="pct"/>
                  <w:tcBorders>
                    <w:tl2br w:val="nil"/>
                    <w:tr2bl w:val="nil"/>
                  </w:tcBorders>
                  <w:shd w:val="clear" w:color="auto" w:fill="auto"/>
                  <w:vAlign w:val="center"/>
                </w:tcPr>
                <w:p w14:paraId="3A31E8B7">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0.000</w:t>
                  </w:r>
                  <w:r>
                    <w:rPr>
                      <w:rFonts w:hint="eastAsia"/>
                      <w:color w:val="auto"/>
                      <w:kern w:val="0"/>
                      <w:szCs w:val="21"/>
                      <w:lang w:val="en-US" w:eastAsia="zh-CN"/>
                    </w:rPr>
                    <w:t>9</w:t>
                  </w:r>
                </w:p>
              </w:tc>
              <w:tc>
                <w:tcPr>
                  <w:tcW w:w="317" w:type="pct"/>
                  <w:tcBorders>
                    <w:tl2br w:val="nil"/>
                    <w:tr2bl w:val="nil"/>
                  </w:tcBorders>
                  <w:shd w:val="clear" w:color="auto" w:fill="auto"/>
                  <w:vAlign w:val="center"/>
                </w:tcPr>
                <w:p w14:paraId="5E61EF1A">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ascii="Times New Roman" w:hAnsi="Times New Roman" w:eastAsia="宋体" w:cs="Times New Roman"/>
                      <w:color w:val="auto"/>
                      <w:kern w:val="0"/>
                      <w:sz w:val="21"/>
                      <w:szCs w:val="21"/>
                      <w:lang w:val="en-US" w:eastAsia="zh-CN" w:bidi="ar-SA"/>
                    </w:rPr>
                  </w:pPr>
                  <w:r>
                    <w:rPr>
                      <w:rFonts w:hint="eastAsia"/>
                      <w:color w:val="auto"/>
                      <w:kern w:val="0"/>
                      <w:szCs w:val="21"/>
                    </w:rPr>
                    <w:t>0.002</w:t>
                  </w:r>
                </w:p>
              </w:tc>
              <w:tc>
                <w:tcPr>
                  <w:tcW w:w="252" w:type="pct"/>
                  <w:tcBorders>
                    <w:tl2br w:val="nil"/>
                    <w:tr2bl w:val="nil"/>
                  </w:tcBorders>
                  <w:shd w:val="clear" w:color="auto" w:fill="auto"/>
                  <w:vAlign w:val="center"/>
                </w:tcPr>
                <w:p w14:paraId="7A344396">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szCs w:val="21"/>
                    </w:rPr>
                    <w:t>/</w:t>
                  </w:r>
                </w:p>
              </w:tc>
              <w:tc>
                <w:tcPr>
                  <w:tcW w:w="272" w:type="pct"/>
                  <w:tcBorders>
                    <w:tl2br w:val="nil"/>
                    <w:tr2bl w:val="nil"/>
                  </w:tcBorders>
                  <w:shd w:val="clear" w:color="auto" w:fill="auto"/>
                  <w:vAlign w:val="center"/>
                </w:tcPr>
                <w:p w14:paraId="75BDC0FF">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kern w:val="0"/>
                      <w:szCs w:val="21"/>
                    </w:rPr>
                    <w:t>4.0</w:t>
                  </w:r>
                </w:p>
              </w:tc>
            </w:tr>
            <w:tr w14:paraId="706E36F6">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87" w:type="pct"/>
                  <w:vMerge w:val="restart"/>
                  <w:tcBorders>
                    <w:tl2br w:val="nil"/>
                    <w:tr2bl w:val="nil"/>
                  </w:tcBorders>
                  <w:shd w:val="clear" w:color="auto" w:fill="auto"/>
                  <w:vAlign w:val="center"/>
                </w:tcPr>
                <w:p w14:paraId="1E610F3B">
                  <w:pPr>
                    <w:keepNext w:val="0"/>
                    <w:keepLines w:val="0"/>
                    <w:pageBreakBefore w:val="0"/>
                    <w:widowControl/>
                    <w:kinsoku/>
                    <w:wordWrap/>
                    <w:overflowPunct/>
                    <w:topLinePunct w:val="0"/>
                    <w:autoSpaceDE/>
                    <w:autoSpaceDN/>
                    <w:bidi w:val="0"/>
                    <w:adjustRightInd w:val="0"/>
                    <w:snapToGrid w:val="0"/>
                    <w:ind w:firstLine="0"/>
                    <w:jc w:val="center"/>
                    <w:rPr>
                      <w:rFonts w:hint="eastAsia" w:eastAsia="宋体"/>
                      <w:color w:val="auto"/>
                      <w:kern w:val="0"/>
                      <w:szCs w:val="21"/>
                      <w:lang w:eastAsia="zh-CN"/>
                    </w:rPr>
                  </w:pPr>
                  <w:r>
                    <w:rPr>
                      <w:rFonts w:hint="eastAsia"/>
                      <w:color w:val="auto"/>
                      <w:kern w:val="0"/>
                      <w:szCs w:val="21"/>
                      <w:lang w:eastAsia="zh-CN"/>
                    </w:rPr>
                    <w:t>擦拭</w:t>
                  </w:r>
                </w:p>
              </w:tc>
              <w:tc>
                <w:tcPr>
                  <w:tcW w:w="262" w:type="pct"/>
                  <w:vMerge w:val="restart"/>
                  <w:tcBorders>
                    <w:tl2br w:val="nil"/>
                    <w:tr2bl w:val="nil"/>
                  </w:tcBorders>
                  <w:shd w:val="clear" w:color="auto" w:fill="auto"/>
                  <w:vAlign w:val="center"/>
                </w:tcPr>
                <w:p w14:paraId="1087CC81">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r>
                    <w:rPr>
                      <w:rFonts w:hint="eastAsia"/>
                      <w:color w:val="auto"/>
                      <w:kern w:val="0"/>
                      <w:szCs w:val="21"/>
                    </w:rPr>
                    <w:t>定子真空浸漆系统、低压高雾化喷枪</w:t>
                  </w:r>
                </w:p>
              </w:tc>
              <w:tc>
                <w:tcPr>
                  <w:tcW w:w="330" w:type="pct"/>
                  <w:tcBorders>
                    <w:tl2br w:val="nil"/>
                    <w:tr2bl w:val="nil"/>
                  </w:tcBorders>
                  <w:shd w:val="clear" w:color="auto" w:fill="auto"/>
                  <w:vAlign w:val="center"/>
                </w:tcPr>
                <w:p w14:paraId="5AE0CA9A">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eastAsia="宋体"/>
                      <w:color w:val="auto"/>
                      <w:kern w:val="0"/>
                      <w:szCs w:val="21"/>
                      <w:lang w:eastAsia="zh-CN"/>
                    </w:rPr>
                  </w:pPr>
                  <w:r>
                    <w:rPr>
                      <w:rFonts w:hint="eastAsia"/>
                      <w:color w:val="auto"/>
                      <w:kern w:val="0"/>
                      <w:szCs w:val="21"/>
                      <w:lang w:eastAsia="zh-CN"/>
                    </w:rPr>
                    <w:t>有组织</w:t>
                  </w:r>
                </w:p>
              </w:tc>
              <w:tc>
                <w:tcPr>
                  <w:tcW w:w="330" w:type="pct"/>
                  <w:vMerge w:val="restart"/>
                  <w:tcBorders>
                    <w:tl2br w:val="nil"/>
                    <w:tr2bl w:val="nil"/>
                  </w:tcBorders>
                  <w:shd w:val="clear" w:color="auto" w:fill="auto"/>
                  <w:vAlign w:val="center"/>
                </w:tcPr>
                <w:p w14:paraId="1CFAB4FD">
                  <w:pPr>
                    <w:keepNext w:val="0"/>
                    <w:keepLines w:val="0"/>
                    <w:pageBreakBefore w:val="0"/>
                    <w:kinsoku/>
                    <w:wordWrap/>
                    <w:overflowPunct/>
                    <w:topLinePunct w:val="0"/>
                    <w:autoSpaceDE/>
                    <w:autoSpaceDN/>
                    <w:bidi w:val="0"/>
                    <w:adjustRightInd w:val="0"/>
                    <w:snapToGrid w:val="0"/>
                    <w:ind w:firstLine="0"/>
                    <w:jc w:val="center"/>
                    <w:rPr>
                      <w:rFonts w:hint="default" w:eastAsia="宋体"/>
                      <w:color w:val="auto"/>
                      <w:szCs w:val="21"/>
                      <w:lang w:val="en-US" w:eastAsia="zh-CN"/>
                    </w:rPr>
                  </w:pPr>
                  <w:r>
                    <w:rPr>
                      <w:rFonts w:hint="eastAsia"/>
                      <w:color w:val="auto"/>
                      <w:szCs w:val="21"/>
                      <w:lang w:val="en-US" w:eastAsia="zh-CN"/>
                    </w:rPr>
                    <w:t>NMHC</w:t>
                  </w:r>
                </w:p>
              </w:tc>
              <w:tc>
                <w:tcPr>
                  <w:tcW w:w="246" w:type="pct"/>
                  <w:vMerge w:val="restart"/>
                  <w:tcBorders>
                    <w:tl2br w:val="nil"/>
                    <w:tr2bl w:val="nil"/>
                  </w:tcBorders>
                  <w:shd w:val="clear" w:color="auto" w:fill="auto"/>
                  <w:vAlign w:val="center"/>
                </w:tcPr>
                <w:p w14:paraId="7CD17C0A">
                  <w:pPr>
                    <w:keepNext w:val="0"/>
                    <w:keepLines w:val="0"/>
                    <w:pageBreakBefore w:val="0"/>
                    <w:widowControl/>
                    <w:kinsoku/>
                    <w:wordWrap/>
                    <w:overflowPunct/>
                    <w:topLinePunct w:val="0"/>
                    <w:autoSpaceDE/>
                    <w:autoSpaceDN/>
                    <w:bidi w:val="0"/>
                    <w:adjustRightInd w:val="0"/>
                    <w:snapToGrid w:val="0"/>
                    <w:ind w:firstLine="0"/>
                    <w:jc w:val="center"/>
                    <w:rPr>
                      <w:rFonts w:hint="eastAsia" w:eastAsia="宋体"/>
                      <w:color w:val="auto"/>
                      <w:kern w:val="0"/>
                      <w:szCs w:val="21"/>
                      <w:lang w:eastAsia="zh-CN"/>
                    </w:rPr>
                  </w:pPr>
                  <w:r>
                    <w:rPr>
                      <w:rFonts w:hint="eastAsia"/>
                      <w:color w:val="auto"/>
                      <w:kern w:val="0"/>
                      <w:szCs w:val="21"/>
                      <w:lang w:eastAsia="zh-CN"/>
                    </w:rPr>
                    <w:t>物料衡算法</w:t>
                  </w:r>
                </w:p>
              </w:tc>
              <w:tc>
                <w:tcPr>
                  <w:tcW w:w="267" w:type="pct"/>
                  <w:tcBorders>
                    <w:tl2br w:val="nil"/>
                    <w:tr2bl w:val="nil"/>
                  </w:tcBorders>
                  <w:shd w:val="clear" w:color="auto" w:fill="auto"/>
                  <w:vAlign w:val="center"/>
                </w:tcPr>
                <w:p w14:paraId="6F3007AC">
                  <w:pPr>
                    <w:keepNext w:val="0"/>
                    <w:keepLines w:val="0"/>
                    <w:pageBreakBefore w:val="0"/>
                    <w:widowControl/>
                    <w:kinsoku/>
                    <w:wordWrap/>
                    <w:overflowPunct/>
                    <w:topLinePunct w:val="0"/>
                    <w:autoSpaceDE/>
                    <w:autoSpaceDN/>
                    <w:bidi w:val="0"/>
                    <w:adjustRightInd w:val="0"/>
                    <w:snapToGrid w:val="0"/>
                    <w:ind w:firstLine="0"/>
                    <w:jc w:val="center"/>
                    <w:rPr>
                      <w:rFonts w:hint="default" w:eastAsia="宋体"/>
                      <w:color w:val="auto"/>
                      <w:kern w:val="0"/>
                      <w:szCs w:val="21"/>
                      <w:lang w:val="en-US" w:eastAsia="zh-CN"/>
                    </w:rPr>
                  </w:pPr>
                  <w:r>
                    <w:rPr>
                      <w:rFonts w:hint="eastAsia"/>
                      <w:color w:val="auto"/>
                      <w:kern w:val="0"/>
                      <w:szCs w:val="21"/>
                      <w:lang w:val="en-US" w:eastAsia="zh-CN"/>
                    </w:rPr>
                    <w:t>12000</w:t>
                  </w:r>
                </w:p>
              </w:tc>
              <w:tc>
                <w:tcPr>
                  <w:tcW w:w="267" w:type="pct"/>
                  <w:tcBorders>
                    <w:tl2br w:val="nil"/>
                    <w:tr2bl w:val="nil"/>
                  </w:tcBorders>
                  <w:shd w:val="clear" w:color="auto" w:fill="auto"/>
                  <w:vAlign w:val="center"/>
                </w:tcPr>
                <w:p w14:paraId="222EC800">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default" w:eastAsia="宋体"/>
                      <w:color w:val="auto"/>
                      <w:szCs w:val="21"/>
                      <w:lang w:val="en-US" w:eastAsia="zh-CN"/>
                    </w:rPr>
                  </w:pPr>
                  <w:r>
                    <w:rPr>
                      <w:rFonts w:hint="eastAsia"/>
                      <w:color w:val="auto"/>
                      <w:szCs w:val="21"/>
                      <w:lang w:val="en-US" w:eastAsia="zh-CN"/>
                    </w:rPr>
                    <w:t>110.8</w:t>
                  </w:r>
                </w:p>
              </w:tc>
              <w:tc>
                <w:tcPr>
                  <w:tcW w:w="357" w:type="pct"/>
                  <w:tcBorders>
                    <w:tl2br w:val="nil"/>
                    <w:tr2bl w:val="nil"/>
                  </w:tcBorders>
                  <w:shd w:val="clear" w:color="auto" w:fill="auto"/>
                  <w:vAlign w:val="center"/>
                </w:tcPr>
                <w:p w14:paraId="2A79A218">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default" w:eastAsia="宋体"/>
                      <w:color w:val="auto"/>
                      <w:kern w:val="0"/>
                      <w:szCs w:val="21"/>
                      <w:lang w:val="en-US" w:eastAsia="zh-CN"/>
                    </w:rPr>
                  </w:pPr>
                  <w:r>
                    <w:rPr>
                      <w:rFonts w:hint="eastAsia"/>
                      <w:color w:val="auto"/>
                      <w:kern w:val="0"/>
                      <w:szCs w:val="21"/>
                      <w:lang w:val="en-US" w:eastAsia="zh-CN"/>
                    </w:rPr>
                    <w:t>1.33</w:t>
                  </w:r>
                </w:p>
              </w:tc>
              <w:tc>
                <w:tcPr>
                  <w:tcW w:w="354" w:type="pct"/>
                  <w:tcBorders>
                    <w:tl2br w:val="nil"/>
                    <w:tr2bl w:val="nil"/>
                  </w:tcBorders>
                  <w:shd w:val="clear" w:color="auto" w:fill="auto"/>
                  <w:vAlign w:val="center"/>
                </w:tcPr>
                <w:p w14:paraId="063811A2">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default" w:eastAsia="宋体"/>
                      <w:color w:val="auto"/>
                      <w:kern w:val="0"/>
                      <w:szCs w:val="21"/>
                      <w:lang w:val="en-US" w:eastAsia="zh-CN"/>
                    </w:rPr>
                  </w:pPr>
                  <w:r>
                    <w:rPr>
                      <w:rFonts w:hint="eastAsia"/>
                      <w:color w:val="auto"/>
                      <w:kern w:val="0"/>
                      <w:szCs w:val="21"/>
                      <w:lang w:val="en-US" w:eastAsia="zh-CN"/>
                    </w:rPr>
                    <w:t>0.0665</w:t>
                  </w:r>
                </w:p>
              </w:tc>
              <w:tc>
                <w:tcPr>
                  <w:tcW w:w="509" w:type="pct"/>
                  <w:tcBorders>
                    <w:tl2br w:val="nil"/>
                    <w:tr2bl w:val="nil"/>
                  </w:tcBorders>
                  <w:shd w:val="clear" w:color="auto" w:fill="auto"/>
                  <w:vAlign w:val="center"/>
                </w:tcPr>
                <w:p w14:paraId="72A00E4B">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2"/>
                      <w:sz w:val="21"/>
                      <w:szCs w:val="21"/>
                      <w:lang w:val="en-US" w:eastAsia="zh-CN" w:bidi="ar-SA"/>
                    </w:rPr>
                  </w:pPr>
                  <w:r>
                    <w:rPr>
                      <w:rFonts w:hint="eastAsia"/>
                      <w:color w:val="auto"/>
                      <w:szCs w:val="21"/>
                    </w:rPr>
                    <w:t>干式过滤棉+二级活性炭装置</w:t>
                  </w:r>
                </w:p>
              </w:tc>
              <w:tc>
                <w:tcPr>
                  <w:tcW w:w="184" w:type="pct"/>
                  <w:tcBorders>
                    <w:tl2br w:val="nil"/>
                    <w:tr2bl w:val="nil"/>
                  </w:tcBorders>
                  <w:shd w:val="clear" w:color="auto" w:fill="auto"/>
                  <w:vAlign w:val="center"/>
                </w:tcPr>
                <w:p w14:paraId="35EA6E72">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default" w:eastAsia="宋体"/>
                      <w:color w:val="auto"/>
                      <w:szCs w:val="21"/>
                      <w:lang w:val="en-US" w:eastAsia="zh-CN"/>
                    </w:rPr>
                  </w:pPr>
                  <w:r>
                    <w:rPr>
                      <w:rFonts w:hint="eastAsia"/>
                      <w:color w:val="auto"/>
                      <w:szCs w:val="21"/>
                      <w:lang w:val="en-US" w:eastAsia="zh-CN"/>
                    </w:rPr>
                    <w:t>90</w:t>
                  </w:r>
                </w:p>
              </w:tc>
              <w:tc>
                <w:tcPr>
                  <w:tcW w:w="271" w:type="pct"/>
                  <w:vMerge w:val="restart"/>
                  <w:tcBorders>
                    <w:tl2br w:val="nil"/>
                    <w:tr2bl w:val="nil"/>
                  </w:tcBorders>
                  <w:shd w:val="clear" w:color="auto" w:fill="auto"/>
                  <w:vAlign w:val="center"/>
                </w:tcPr>
                <w:p w14:paraId="46C821F8">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default" w:eastAsia="宋体"/>
                      <w:color w:val="auto"/>
                      <w:kern w:val="0"/>
                      <w:szCs w:val="21"/>
                      <w:lang w:val="en-US" w:eastAsia="zh-CN"/>
                    </w:rPr>
                  </w:pPr>
                  <w:r>
                    <w:rPr>
                      <w:rFonts w:hint="eastAsia"/>
                      <w:color w:val="auto"/>
                      <w:kern w:val="0"/>
                      <w:szCs w:val="21"/>
                      <w:lang w:eastAsia="zh-CN"/>
                    </w:rPr>
                    <w:t>是</w:t>
                  </w:r>
                </w:p>
              </w:tc>
              <w:tc>
                <w:tcPr>
                  <w:tcW w:w="259" w:type="pct"/>
                  <w:tcBorders>
                    <w:tl2br w:val="nil"/>
                    <w:tr2bl w:val="nil"/>
                  </w:tcBorders>
                  <w:shd w:val="clear" w:color="auto" w:fill="auto"/>
                  <w:vAlign w:val="center"/>
                </w:tcPr>
                <w:p w14:paraId="35A55DAF">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default" w:eastAsia="宋体"/>
                      <w:color w:val="auto"/>
                      <w:szCs w:val="21"/>
                      <w:lang w:val="en-US" w:eastAsia="zh-CN"/>
                    </w:rPr>
                  </w:pPr>
                  <w:r>
                    <w:rPr>
                      <w:rFonts w:hint="eastAsia"/>
                      <w:color w:val="auto"/>
                      <w:szCs w:val="21"/>
                      <w:lang w:val="en-US" w:eastAsia="zh-CN"/>
                    </w:rPr>
                    <w:t>11.2</w:t>
                  </w:r>
                </w:p>
              </w:tc>
              <w:tc>
                <w:tcPr>
                  <w:tcW w:w="328" w:type="pct"/>
                  <w:tcBorders>
                    <w:tl2br w:val="nil"/>
                    <w:tr2bl w:val="nil"/>
                  </w:tcBorders>
                  <w:shd w:val="clear" w:color="auto" w:fill="auto"/>
                  <w:vAlign w:val="center"/>
                </w:tcPr>
                <w:p w14:paraId="636AA085">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default" w:eastAsia="宋体"/>
                      <w:color w:val="auto"/>
                      <w:kern w:val="0"/>
                      <w:szCs w:val="21"/>
                      <w:lang w:val="en-US" w:eastAsia="zh-CN"/>
                    </w:rPr>
                  </w:pPr>
                  <w:r>
                    <w:rPr>
                      <w:rFonts w:hint="eastAsia"/>
                      <w:color w:val="auto"/>
                      <w:kern w:val="0"/>
                      <w:szCs w:val="21"/>
                      <w:lang w:val="en-US" w:eastAsia="zh-CN"/>
                    </w:rPr>
                    <w:t>0.134</w:t>
                  </w:r>
                </w:p>
              </w:tc>
              <w:tc>
                <w:tcPr>
                  <w:tcW w:w="317" w:type="pct"/>
                  <w:tcBorders>
                    <w:tl2br w:val="nil"/>
                    <w:tr2bl w:val="nil"/>
                  </w:tcBorders>
                  <w:shd w:val="clear" w:color="auto" w:fill="auto"/>
                  <w:vAlign w:val="center"/>
                </w:tcPr>
                <w:p w14:paraId="3E330FDE">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default" w:eastAsia="宋体"/>
                      <w:color w:val="auto"/>
                      <w:kern w:val="0"/>
                      <w:szCs w:val="21"/>
                      <w:lang w:val="en-US" w:eastAsia="zh-CN"/>
                    </w:rPr>
                  </w:pPr>
                  <w:r>
                    <w:rPr>
                      <w:rFonts w:hint="eastAsia"/>
                      <w:color w:val="auto"/>
                      <w:kern w:val="0"/>
                      <w:szCs w:val="21"/>
                      <w:lang w:val="en-US" w:eastAsia="zh-CN"/>
                    </w:rPr>
                    <w:t>0.0067</w:t>
                  </w:r>
                </w:p>
              </w:tc>
              <w:tc>
                <w:tcPr>
                  <w:tcW w:w="252" w:type="pct"/>
                  <w:tcBorders>
                    <w:tl2br w:val="nil"/>
                    <w:tr2bl w:val="nil"/>
                  </w:tcBorders>
                  <w:shd w:val="clear" w:color="auto" w:fill="auto"/>
                  <w:vAlign w:val="center"/>
                </w:tcPr>
                <w:p w14:paraId="2408DA68">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2.0</w:t>
                  </w:r>
                </w:p>
              </w:tc>
              <w:tc>
                <w:tcPr>
                  <w:tcW w:w="272" w:type="pct"/>
                  <w:tcBorders>
                    <w:tl2br w:val="nil"/>
                    <w:tr2bl w:val="nil"/>
                  </w:tcBorders>
                  <w:shd w:val="clear" w:color="auto" w:fill="auto"/>
                  <w:vAlign w:val="center"/>
                </w:tcPr>
                <w:p w14:paraId="6A08395D">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50</w:t>
                  </w:r>
                </w:p>
              </w:tc>
            </w:tr>
            <w:tr w14:paraId="54FFC01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87" w:type="pct"/>
                  <w:vMerge w:val="continue"/>
                  <w:tcBorders>
                    <w:tl2br w:val="nil"/>
                    <w:tr2bl w:val="nil"/>
                  </w:tcBorders>
                  <w:shd w:val="clear" w:color="auto" w:fill="auto"/>
                  <w:vAlign w:val="center"/>
                </w:tcPr>
                <w:p w14:paraId="5B230F74">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c>
                <w:tcPr>
                  <w:tcW w:w="262" w:type="pct"/>
                  <w:vMerge w:val="continue"/>
                  <w:tcBorders>
                    <w:tl2br w:val="nil"/>
                    <w:tr2bl w:val="nil"/>
                  </w:tcBorders>
                  <w:shd w:val="clear" w:color="auto" w:fill="auto"/>
                  <w:vAlign w:val="center"/>
                </w:tcPr>
                <w:p w14:paraId="729AE7BA">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c>
                <w:tcPr>
                  <w:tcW w:w="330" w:type="pct"/>
                  <w:tcBorders>
                    <w:tl2br w:val="nil"/>
                    <w:tr2bl w:val="nil"/>
                  </w:tcBorders>
                  <w:shd w:val="clear" w:color="auto" w:fill="auto"/>
                  <w:vAlign w:val="center"/>
                </w:tcPr>
                <w:p w14:paraId="6C025E8E">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eastAsia="宋体"/>
                      <w:color w:val="auto"/>
                      <w:kern w:val="0"/>
                      <w:szCs w:val="21"/>
                      <w:lang w:eastAsia="zh-CN"/>
                    </w:rPr>
                  </w:pPr>
                  <w:r>
                    <w:rPr>
                      <w:rFonts w:hint="eastAsia"/>
                      <w:color w:val="auto"/>
                      <w:kern w:val="0"/>
                      <w:szCs w:val="21"/>
                      <w:lang w:eastAsia="zh-CN"/>
                    </w:rPr>
                    <w:t>无组织</w:t>
                  </w:r>
                </w:p>
              </w:tc>
              <w:tc>
                <w:tcPr>
                  <w:tcW w:w="330" w:type="pct"/>
                  <w:vMerge w:val="continue"/>
                  <w:tcBorders>
                    <w:tl2br w:val="nil"/>
                    <w:tr2bl w:val="nil"/>
                  </w:tcBorders>
                  <w:shd w:val="clear" w:color="auto" w:fill="auto"/>
                  <w:vAlign w:val="center"/>
                </w:tcPr>
                <w:p w14:paraId="0CAE1C55">
                  <w:pPr>
                    <w:keepNext w:val="0"/>
                    <w:keepLines w:val="0"/>
                    <w:pageBreakBefore w:val="0"/>
                    <w:kinsoku/>
                    <w:wordWrap/>
                    <w:overflowPunct/>
                    <w:topLinePunct w:val="0"/>
                    <w:autoSpaceDE/>
                    <w:autoSpaceDN/>
                    <w:bidi w:val="0"/>
                    <w:adjustRightInd w:val="0"/>
                    <w:snapToGrid w:val="0"/>
                    <w:ind w:firstLine="0"/>
                    <w:jc w:val="center"/>
                    <w:rPr>
                      <w:color w:val="auto"/>
                      <w:szCs w:val="21"/>
                    </w:rPr>
                  </w:pPr>
                </w:p>
              </w:tc>
              <w:tc>
                <w:tcPr>
                  <w:tcW w:w="246" w:type="pct"/>
                  <w:vMerge w:val="continue"/>
                  <w:tcBorders>
                    <w:tl2br w:val="nil"/>
                    <w:tr2bl w:val="nil"/>
                  </w:tcBorders>
                  <w:shd w:val="clear" w:color="auto" w:fill="auto"/>
                  <w:vAlign w:val="center"/>
                </w:tcPr>
                <w:p w14:paraId="37E8FF57">
                  <w:pPr>
                    <w:keepNext w:val="0"/>
                    <w:keepLines w:val="0"/>
                    <w:pageBreakBefore w:val="0"/>
                    <w:widowControl/>
                    <w:kinsoku/>
                    <w:wordWrap/>
                    <w:overflowPunct/>
                    <w:topLinePunct w:val="0"/>
                    <w:autoSpaceDE/>
                    <w:autoSpaceDN/>
                    <w:bidi w:val="0"/>
                    <w:adjustRightInd w:val="0"/>
                    <w:snapToGrid w:val="0"/>
                    <w:ind w:firstLine="0"/>
                    <w:jc w:val="center"/>
                    <w:rPr>
                      <w:color w:val="auto"/>
                      <w:kern w:val="0"/>
                      <w:szCs w:val="21"/>
                    </w:rPr>
                  </w:pPr>
                </w:p>
              </w:tc>
              <w:tc>
                <w:tcPr>
                  <w:tcW w:w="267" w:type="pct"/>
                  <w:tcBorders>
                    <w:tl2br w:val="nil"/>
                    <w:tr2bl w:val="nil"/>
                  </w:tcBorders>
                  <w:shd w:val="clear" w:color="auto" w:fill="auto"/>
                  <w:vAlign w:val="center"/>
                </w:tcPr>
                <w:p w14:paraId="38CFC63C">
                  <w:pPr>
                    <w:keepNext w:val="0"/>
                    <w:keepLines w:val="0"/>
                    <w:pageBreakBefore w:val="0"/>
                    <w:widowControl/>
                    <w:kinsoku/>
                    <w:wordWrap/>
                    <w:overflowPunct/>
                    <w:topLinePunct w:val="0"/>
                    <w:autoSpaceDE/>
                    <w:autoSpaceDN/>
                    <w:bidi w:val="0"/>
                    <w:adjustRightInd w:val="0"/>
                    <w:snapToGrid w:val="0"/>
                    <w:ind w:firstLine="0"/>
                    <w:jc w:val="center"/>
                    <w:rPr>
                      <w:rFonts w:hint="eastAsia" w:eastAsia="宋体"/>
                      <w:color w:val="auto"/>
                      <w:kern w:val="0"/>
                      <w:szCs w:val="21"/>
                      <w:lang w:val="en-US" w:eastAsia="zh-CN"/>
                    </w:rPr>
                  </w:pPr>
                  <w:r>
                    <w:rPr>
                      <w:rFonts w:hint="eastAsia"/>
                      <w:color w:val="auto"/>
                      <w:kern w:val="0"/>
                      <w:szCs w:val="21"/>
                      <w:lang w:val="en-US" w:eastAsia="zh-CN"/>
                    </w:rPr>
                    <w:t>/</w:t>
                  </w:r>
                </w:p>
              </w:tc>
              <w:tc>
                <w:tcPr>
                  <w:tcW w:w="267" w:type="pct"/>
                  <w:tcBorders>
                    <w:tl2br w:val="nil"/>
                    <w:tr2bl w:val="nil"/>
                  </w:tcBorders>
                  <w:shd w:val="clear" w:color="auto" w:fill="auto"/>
                  <w:vAlign w:val="center"/>
                </w:tcPr>
                <w:p w14:paraId="6D542BF7">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eastAsia" w:eastAsia="宋体"/>
                      <w:color w:val="auto"/>
                      <w:szCs w:val="21"/>
                      <w:lang w:val="en-US" w:eastAsia="zh-CN"/>
                    </w:rPr>
                  </w:pPr>
                  <w:r>
                    <w:rPr>
                      <w:rFonts w:hint="eastAsia"/>
                      <w:color w:val="auto"/>
                      <w:szCs w:val="21"/>
                      <w:lang w:val="en-US" w:eastAsia="zh-CN"/>
                    </w:rPr>
                    <w:t>/</w:t>
                  </w:r>
                </w:p>
              </w:tc>
              <w:tc>
                <w:tcPr>
                  <w:tcW w:w="357" w:type="pct"/>
                  <w:tcBorders>
                    <w:tl2br w:val="nil"/>
                    <w:tr2bl w:val="nil"/>
                  </w:tcBorders>
                  <w:shd w:val="clear" w:color="auto" w:fill="auto"/>
                  <w:vAlign w:val="center"/>
                </w:tcPr>
                <w:p w14:paraId="4E462459">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default" w:eastAsia="宋体"/>
                      <w:color w:val="auto"/>
                      <w:kern w:val="0"/>
                      <w:szCs w:val="21"/>
                      <w:lang w:val="en-US" w:eastAsia="zh-CN"/>
                    </w:rPr>
                  </w:pPr>
                  <w:r>
                    <w:rPr>
                      <w:rFonts w:hint="eastAsia"/>
                      <w:color w:val="auto"/>
                      <w:kern w:val="0"/>
                      <w:szCs w:val="21"/>
                      <w:lang w:val="en-US" w:eastAsia="zh-CN"/>
                    </w:rPr>
                    <w:t>0.07</w:t>
                  </w:r>
                </w:p>
              </w:tc>
              <w:tc>
                <w:tcPr>
                  <w:tcW w:w="354" w:type="pct"/>
                  <w:tcBorders>
                    <w:tl2br w:val="nil"/>
                    <w:tr2bl w:val="nil"/>
                  </w:tcBorders>
                  <w:shd w:val="clear" w:color="auto" w:fill="auto"/>
                  <w:vAlign w:val="center"/>
                </w:tcPr>
                <w:p w14:paraId="6C1A774B">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default" w:eastAsia="宋体"/>
                      <w:color w:val="auto"/>
                      <w:kern w:val="0"/>
                      <w:szCs w:val="21"/>
                      <w:lang w:val="en-US" w:eastAsia="zh-CN"/>
                    </w:rPr>
                  </w:pPr>
                  <w:r>
                    <w:rPr>
                      <w:rFonts w:hint="eastAsia"/>
                      <w:color w:val="auto"/>
                      <w:kern w:val="0"/>
                      <w:szCs w:val="21"/>
                      <w:lang w:val="en-US" w:eastAsia="zh-CN"/>
                    </w:rPr>
                    <w:t>0.0035</w:t>
                  </w:r>
                </w:p>
              </w:tc>
              <w:tc>
                <w:tcPr>
                  <w:tcW w:w="509" w:type="pct"/>
                  <w:tcBorders>
                    <w:tl2br w:val="nil"/>
                    <w:tr2bl w:val="nil"/>
                  </w:tcBorders>
                  <w:shd w:val="clear" w:color="auto" w:fill="auto"/>
                  <w:vAlign w:val="center"/>
                </w:tcPr>
                <w:p w14:paraId="64FB83A8">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w:t>
                  </w:r>
                </w:p>
              </w:tc>
              <w:tc>
                <w:tcPr>
                  <w:tcW w:w="184" w:type="pct"/>
                  <w:tcBorders>
                    <w:tl2br w:val="nil"/>
                    <w:tr2bl w:val="nil"/>
                  </w:tcBorders>
                  <w:shd w:val="clear" w:color="auto" w:fill="auto"/>
                  <w:vAlign w:val="center"/>
                </w:tcPr>
                <w:p w14:paraId="0970C8B7">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eastAsia" w:eastAsia="宋体"/>
                      <w:color w:val="auto"/>
                      <w:szCs w:val="21"/>
                      <w:lang w:val="en-US" w:eastAsia="zh-CN"/>
                    </w:rPr>
                  </w:pPr>
                  <w:r>
                    <w:rPr>
                      <w:rFonts w:hint="eastAsia"/>
                      <w:color w:val="auto"/>
                      <w:szCs w:val="21"/>
                      <w:lang w:val="en-US" w:eastAsia="zh-CN"/>
                    </w:rPr>
                    <w:t>/</w:t>
                  </w:r>
                </w:p>
              </w:tc>
              <w:tc>
                <w:tcPr>
                  <w:tcW w:w="271" w:type="pct"/>
                  <w:vMerge w:val="continue"/>
                  <w:tcBorders>
                    <w:tl2br w:val="nil"/>
                    <w:tr2bl w:val="nil"/>
                  </w:tcBorders>
                  <w:shd w:val="clear" w:color="auto" w:fill="auto"/>
                  <w:vAlign w:val="center"/>
                </w:tcPr>
                <w:p w14:paraId="43D842A5">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p>
              </w:tc>
              <w:tc>
                <w:tcPr>
                  <w:tcW w:w="259" w:type="pct"/>
                  <w:tcBorders>
                    <w:tl2br w:val="nil"/>
                    <w:tr2bl w:val="nil"/>
                  </w:tcBorders>
                  <w:shd w:val="clear" w:color="auto" w:fill="auto"/>
                  <w:vAlign w:val="center"/>
                </w:tcPr>
                <w:p w14:paraId="4E011753">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eastAsia" w:eastAsia="宋体"/>
                      <w:color w:val="auto"/>
                      <w:szCs w:val="21"/>
                      <w:lang w:val="en-US" w:eastAsia="zh-CN"/>
                    </w:rPr>
                  </w:pPr>
                  <w:r>
                    <w:rPr>
                      <w:rFonts w:hint="eastAsia"/>
                      <w:color w:val="auto"/>
                      <w:szCs w:val="21"/>
                      <w:lang w:val="en-US" w:eastAsia="zh-CN"/>
                    </w:rPr>
                    <w:t>/</w:t>
                  </w:r>
                </w:p>
              </w:tc>
              <w:tc>
                <w:tcPr>
                  <w:tcW w:w="328" w:type="pct"/>
                  <w:tcBorders>
                    <w:tl2br w:val="nil"/>
                    <w:tr2bl w:val="nil"/>
                  </w:tcBorders>
                  <w:shd w:val="clear" w:color="auto" w:fill="auto"/>
                  <w:vAlign w:val="center"/>
                </w:tcPr>
                <w:p w14:paraId="07784DC2">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0.07</w:t>
                  </w:r>
                </w:p>
              </w:tc>
              <w:tc>
                <w:tcPr>
                  <w:tcW w:w="317" w:type="pct"/>
                  <w:tcBorders>
                    <w:tl2br w:val="nil"/>
                    <w:tr2bl w:val="nil"/>
                  </w:tcBorders>
                  <w:shd w:val="clear" w:color="auto" w:fill="auto"/>
                  <w:vAlign w:val="center"/>
                </w:tcPr>
                <w:p w14:paraId="69A5D700">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0.0035</w:t>
                  </w:r>
                </w:p>
              </w:tc>
              <w:tc>
                <w:tcPr>
                  <w:tcW w:w="252" w:type="pct"/>
                  <w:tcBorders>
                    <w:tl2br w:val="nil"/>
                    <w:tr2bl w:val="nil"/>
                  </w:tcBorders>
                  <w:shd w:val="clear" w:color="auto" w:fill="auto"/>
                  <w:vAlign w:val="center"/>
                </w:tcPr>
                <w:p w14:paraId="0536E3AA">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0"/>
                      <w:sz w:val="21"/>
                      <w:szCs w:val="21"/>
                      <w:lang w:val="en-US" w:eastAsia="zh-CN" w:bidi="ar-SA"/>
                    </w:rPr>
                  </w:pPr>
                  <w:r>
                    <w:rPr>
                      <w:rFonts w:hint="eastAsia"/>
                      <w:color w:val="auto"/>
                      <w:szCs w:val="21"/>
                    </w:rPr>
                    <w:t>/</w:t>
                  </w:r>
                </w:p>
              </w:tc>
              <w:tc>
                <w:tcPr>
                  <w:tcW w:w="272" w:type="pct"/>
                  <w:tcBorders>
                    <w:tl2br w:val="nil"/>
                    <w:tr2bl w:val="nil"/>
                  </w:tcBorders>
                  <w:shd w:val="clear" w:color="auto" w:fill="auto"/>
                  <w:vAlign w:val="center"/>
                </w:tcPr>
                <w:p w14:paraId="3117746F">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4.0</w:t>
                  </w:r>
                </w:p>
              </w:tc>
            </w:tr>
            <w:tr w14:paraId="10565759">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87" w:type="pct"/>
                  <w:tcBorders>
                    <w:tl2br w:val="nil"/>
                    <w:tr2bl w:val="nil"/>
                  </w:tcBorders>
                  <w:shd w:val="clear" w:color="auto" w:fill="auto"/>
                  <w:vAlign w:val="center"/>
                </w:tcPr>
                <w:p w14:paraId="1CD41BE3">
                  <w:pPr>
                    <w:keepNext w:val="0"/>
                    <w:keepLines w:val="0"/>
                    <w:pageBreakBefore w:val="0"/>
                    <w:widowControl/>
                    <w:kinsoku/>
                    <w:wordWrap/>
                    <w:overflowPunct/>
                    <w:topLinePunct w:val="0"/>
                    <w:autoSpaceDE/>
                    <w:autoSpaceDN/>
                    <w:bidi w:val="0"/>
                    <w:adjustRightInd w:val="0"/>
                    <w:snapToGrid w:val="0"/>
                    <w:ind w:firstLine="0"/>
                    <w:jc w:val="center"/>
                    <w:rPr>
                      <w:rFonts w:hint="eastAsia" w:eastAsia="宋体"/>
                      <w:color w:val="auto"/>
                      <w:kern w:val="0"/>
                      <w:szCs w:val="21"/>
                      <w:lang w:eastAsia="zh-CN"/>
                    </w:rPr>
                  </w:pPr>
                  <w:r>
                    <w:rPr>
                      <w:rFonts w:hint="eastAsia"/>
                      <w:color w:val="auto"/>
                      <w:kern w:val="0"/>
                      <w:szCs w:val="21"/>
                      <w:lang w:eastAsia="zh-CN"/>
                    </w:rPr>
                    <w:t>食堂</w:t>
                  </w:r>
                </w:p>
              </w:tc>
              <w:tc>
                <w:tcPr>
                  <w:tcW w:w="262" w:type="pct"/>
                  <w:tcBorders>
                    <w:tl2br w:val="nil"/>
                    <w:tr2bl w:val="nil"/>
                  </w:tcBorders>
                  <w:shd w:val="clear" w:color="auto" w:fill="auto"/>
                  <w:vAlign w:val="center"/>
                </w:tcPr>
                <w:p w14:paraId="420EDA4E">
                  <w:pPr>
                    <w:keepNext w:val="0"/>
                    <w:keepLines w:val="0"/>
                    <w:pageBreakBefore w:val="0"/>
                    <w:widowControl/>
                    <w:kinsoku/>
                    <w:wordWrap/>
                    <w:overflowPunct/>
                    <w:topLinePunct w:val="0"/>
                    <w:autoSpaceDE/>
                    <w:autoSpaceDN/>
                    <w:bidi w:val="0"/>
                    <w:adjustRightInd w:val="0"/>
                    <w:snapToGrid w:val="0"/>
                    <w:ind w:firstLine="0"/>
                    <w:jc w:val="center"/>
                    <w:rPr>
                      <w:rFonts w:hint="eastAsia" w:eastAsia="宋体"/>
                      <w:color w:val="auto"/>
                      <w:kern w:val="0"/>
                      <w:szCs w:val="21"/>
                      <w:lang w:eastAsia="zh-CN"/>
                    </w:rPr>
                  </w:pPr>
                  <w:r>
                    <w:rPr>
                      <w:rFonts w:hint="eastAsia"/>
                      <w:color w:val="auto"/>
                      <w:kern w:val="0"/>
                      <w:szCs w:val="21"/>
                      <w:lang w:val="en-US" w:eastAsia="zh-CN"/>
                    </w:rPr>
                    <w:t>/</w:t>
                  </w:r>
                </w:p>
              </w:tc>
              <w:tc>
                <w:tcPr>
                  <w:tcW w:w="330" w:type="pct"/>
                  <w:tcBorders>
                    <w:tl2br w:val="nil"/>
                    <w:tr2bl w:val="nil"/>
                  </w:tcBorders>
                  <w:shd w:val="clear" w:color="auto" w:fill="auto"/>
                  <w:vAlign w:val="center"/>
                </w:tcPr>
                <w:p w14:paraId="173B0BC8">
                  <w:pPr>
                    <w:keepNext w:val="0"/>
                    <w:keepLines w:val="0"/>
                    <w:pageBreakBefore w:val="0"/>
                    <w:widowControl/>
                    <w:kinsoku/>
                    <w:wordWrap/>
                    <w:overflowPunct/>
                    <w:topLinePunct w:val="0"/>
                    <w:autoSpaceDE/>
                    <w:autoSpaceDN/>
                    <w:bidi w:val="0"/>
                    <w:adjustRightInd w:val="0"/>
                    <w:snapToGrid w:val="0"/>
                    <w:ind w:firstLine="0"/>
                    <w:jc w:val="center"/>
                    <w:rPr>
                      <w:rFonts w:hint="eastAsia" w:eastAsia="宋体"/>
                      <w:color w:val="auto"/>
                      <w:kern w:val="0"/>
                      <w:szCs w:val="21"/>
                      <w:lang w:eastAsia="zh-CN"/>
                    </w:rPr>
                  </w:pPr>
                  <w:r>
                    <w:rPr>
                      <w:rFonts w:hint="eastAsia"/>
                      <w:color w:val="auto"/>
                      <w:kern w:val="0"/>
                      <w:szCs w:val="21"/>
                      <w:lang w:eastAsia="zh-CN"/>
                    </w:rPr>
                    <w:t>有组织</w:t>
                  </w:r>
                </w:p>
              </w:tc>
              <w:tc>
                <w:tcPr>
                  <w:tcW w:w="330" w:type="pct"/>
                  <w:tcBorders>
                    <w:tl2br w:val="nil"/>
                    <w:tr2bl w:val="nil"/>
                  </w:tcBorders>
                  <w:shd w:val="clear" w:color="auto" w:fill="auto"/>
                  <w:vAlign w:val="center"/>
                </w:tcPr>
                <w:p w14:paraId="2672BD33">
                  <w:pPr>
                    <w:keepNext w:val="0"/>
                    <w:keepLines w:val="0"/>
                    <w:pageBreakBefore w:val="0"/>
                    <w:kinsoku/>
                    <w:wordWrap/>
                    <w:overflowPunct/>
                    <w:topLinePunct w:val="0"/>
                    <w:autoSpaceDE/>
                    <w:autoSpaceDN/>
                    <w:bidi w:val="0"/>
                    <w:adjustRightInd w:val="0"/>
                    <w:snapToGrid w:val="0"/>
                    <w:ind w:firstLine="0"/>
                    <w:jc w:val="center"/>
                    <w:rPr>
                      <w:rFonts w:hint="eastAsia" w:eastAsia="宋体"/>
                      <w:color w:val="auto"/>
                      <w:szCs w:val="21"/>
                      <w:lang w:eastAsia="zh-CN"/>
                    </w:rPr>
                  </w:pPr>
                  <w:r>
                    <w:rPr>
                      <w:rFonts w:hint="eastAsia"/>
                      <w:color w:val="auto"/>
                      <w:szCs w:val="21"/>
                      <w:lang w:eastAsia="zh-CN"/>
                    </w:rPr>
                    <w:t>油烟</w:t>
                  </w:r>
                </w:p>
              </w:tc>
              <w:tc>
                <w:tcPr>
                  <w:tcW w:w="246" w:type="pct"/>
                  <w:tcBorders>
                    <w:tl2br w:val="nil"/>
                    <w:tr2bl w:val="nil"/>
                  </w:tcBorders>
                  <w:shd w:val="clear" w:color="auto" w:fill="auto"/>
                  <w:vAlign w:val="center"/>
                </w:tcPr>
                <w:p w14:paraId="7E23DADF">
                  <w:pPr>
                    <w:keepNext w:val="0"/>
                    <w:keepLines w:val="0"/>
                    <w:pageBreakBefore w:val="0"/>
                    <w:widowControl/>
                    <w:kinsoku/>
                    <w:wordWrap/>
                    <w:overflowPunct/>
                    <w:topLinePunct w:val="0"/>
                    <w:autoSpaceDE/>
                    <w:autoSpaceDN/>
                    <w:bidi w:val="0"/>
                    <w:adjustRightInd w:val="0"/>
                    <w:snapToGrid w:val="0"/>
                    <w:ind w:firstLine="0"/>
                    <w:jc w:val="center"/>
                    <w:rPr>
                      <w:rFonts w:hint="eastAsia" w:eastAsia="宋体"/>
                      <w:color w:val="auto"/>
                      <w:kern w:val="0"/>
                      <w:szCs w:val="21"/>
                      <w:lang w:eastAsia="zh-CN"/>
                    </w:rPr>
                  </w:pPr>
                  <w:r>
                    <w:rPr>
                      <w:rFonts w:hint="eastAsia"/>
                      <w:color w:val="auto"/>
                      <w:kern w:val="0"/>
                      <w:szCs w:val="21"/>
                      <w:lang w:eastAsia="zh-CN"/>
                    </w:rPr>
                    <w:t>类比法</w:t>
                  </w:r>
                </w:p>
              </w:tc>
              <w:tc>
                <w:tcPr>
                  <w:tcW w:w="267" w:type="pct"/>
                  <w:tcBorders>
                    <w:tl2br w:val="nil"/>
                    <w:tr2bl w:val="nil"/>
                  </w:tcBorders>
                  <w:shd w:val="clear" w:color="auto" w:fill="auto"/>
                  <w:vAlign w:val="center"/>
                </w:tcPr>
                <w:p w14:paraId="6E8B9A2E">
                  <w:pPr>
                    <w:keepNext w:val="0"/>
                    <w:keepLines w:val="0"/>
                    <w:pageBreakBefore w:val="0"/>
                    <w:widowControl/>
                    <w:kinsoku/>
                    <w:wordWrap/>
                    <w:overflowPunct/>
                    <w:topLinePunct w:val="0"/>
                    <w:autoSpaceDE/>
                    <w:autoSpaceDN/>
                    <w:bidi w:val="0"/>
                    <w:adjustRightInd w:val="0"/>
                    <w:snapToGrid w:val="0"/>
                    <w:ind w:firstLine="0"/>
                    <w:jc w:val="center"/>
                    <w:rPr>
                      <w:rFonts w:hint="default" w:eastAsia="宋体"/>
                      <w:color w:val="auto"/>
                      <w:kern w:val="0"/>
                      <w:szCs w:val="21"/>
                      <w:lang w:val="en-US" w:eastAsia="zh-CN"/>
                    </w:rPr>
                  </w:pPr>
                  <w:r>
                    <w:rPr>
                      <w:rFonts w:hint="eastAsia"/>
                      <w:color w:val="auto"/>
                      <w:kern w:val="0"/>
                      <w:szCs w:val="21"/>
                      <w:lang w:val="en-US" w:eastAsia="zh-CN"/>
                    </w:rPr>
                    <w:t>6000</w:t>
                  </w:r>
                </w:p>
              </w:tc>
              <w:tc>
                <w:tcPr>
                  <w:tcW w:w="267" w:type="pct"/>
                  <w:tcBorders>
                    <w:tl2br w:val="nil"/>
                    <w:tr2bl w:val="nil"/>
                  </w:tcBorders>
                  <w:shd w:val="clear" w:color="auto" w:fill="auto"/>
                  <w:vAlign w:val="center"/>
                </w:tcPr>
                <w:p w14:paraId="5A4AB97E">
                  <w:pPr>
                    <w:keepNext w:val="0"/>
                    <w:keepLines w:val="0"/>
                    <w:pageBreakBefore w:val="0"/>
                    <w:widowControl/>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3.75</w:t>
                  </w:r>
                </w:p>
              </w:tc>
              <w:tc>
                <w:tcPr>
                  <w:tcW w:w="357" w:type="pct"/>
                  <w:tcBorders>
                    <w:tl2br w:val="nil"/>
                    <w:tr2bl w:val="nil"/>
                  </w:tcBorders>
                  <w:shd w:val="clear" w:color="auto" w:fill="auto"/>
                  <w:vAlign w:val="center"/>
                </w:tcPr>
                <w:p w14:paraId="34FE1A21">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0.0225</w:t>
                  </w:r>
                </w:p>
              </w:tc>
              <w:tc>
                <w:tcPr>
                  <w:tcW w:w="354" w:type="pct"/>
                  <w:tcBorders>
                    <w:tl2br w:val="nil"/>
                    <w:tr2bl w:val="nil"/>
                  </w:tcBorders>
                  <w:shd w:val="clear" w:color="auto" w:fill="auto"/>
                  <w:vAlign w:val="center"/>
                </w:tcPr>
                <w:p w14:paraId="1C1802CF">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0.0135</w:t>
                  </w:r>
                </w:p>
              </w:tc>
              <w:tc>
                <w:tcPr>
                  <w:tcW w:w="509" w:type="pct"/>
                  <w:tcBorders>
                    <w:tl2br w:val="nil"/>
                    <w:tr2bl w:val="nil"/>
                  </w:tcBorders>
                  <w:shd w:val="clear" w:color="auto" w:fill="auto"/>
                  <w:vAlign w:val="center"/>
                </w:tcPr>
                <w:p w14:paraId="4FCBA5DE">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eastAsia" w:eastAsia="宋体"/>
                      <w:color w:val="auto"/>
                      <w:szCs w:val="21"/>
                      <w:lang w:eastAsia="zh-CN"/>
                    </w:rPr>
                  </w:pPr>
                  <w:r>
                    <w:rPr>
                      <w:rFonts w:hint="eastAsia"/>
                      <w:color w:val="auto"/>
                      <w:szCs w:val="21"/>
                      <w:lang w:eastAsia="zh-CN"/>
                    </w:rPr>
                    <w:t>油烟净化器</w:t>
                  </w:r>
                </w:p>
              </w:tc>
              <w:tc>
                <w:tcPr>
                  <w:tcW w:w="184" w:type="pct"/>
                  <w:tcBorders>
                    <w:tl2br w:val="nil"/>
                    <w:tr2bl w:val="nil"/>
                  </w:tcBorders>
                  <w:shd w:val="clear" w:color="auto" w:fill="auto"/>
                  <w:vAlign w:val="center"/>
                </w:tcPr>
                <w:p w14:paraId="64E4B8EE">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default" w:eastAsia="宋体"/>
                      <w:color w:val="auto"/>
                      <w:szCs w:val="21"/>
                      <w:lang w:val="en-US" w:eastAsia="zh-CN"/>
                    </w:rPr>
                  </w:pPr>
                  <w:r>
                    <w:rPr>
                      <w:rFonts w:hint="eastAsia"/>
                      <w:color w:val="auto"/>
                      <w:szCs w:val="21"/>
                      <w:lang w:val="en-US" w:eastAsia="zh-CN"/>
                    </w:rPr>
                    <w:t>75</w:t>
                  </w:r>
                </w:p>
              </w:tc>
              <w:tc>
                <w:tcPr>
                  <w:tcW w:w="271" w:type="pct"/>
                  <w:tcBorders>
                    <w:tl2br w:val="nil"/>
                    <w:tr2bl w:val="nil"/>
                  </w:tcBorders>
                  <w:shd w:val="clear" w:color="auto" w:fill="auto"/>
                  <w:vAlign w:val="center"/>
                </w:tcPr>
                <w:p w14:paraId="5BB247C0">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eastAsia" w:eastAsia="宋体"/>
                      <w:color w:val="auto"/>
                      <w:kern w:val="0"/>
                      <w:szCs w:val="21"/>
                      <w:lang w:eastAsia="zh-CN"/>
                    </w:rPr>
                  </w:pPr>
                  <w:r>
                    <w:rPr>
                      <w:rFonts w:hint="eastAsia"/>
                      <w:color w:val="auto"/>
                      <w:kern w:val="0"/>
                      <w:szCs w:val="21"/>
                      <w:lang w:eastAsia="zh-CN"/>
                    </w:rPr>
                    <w:t>是</w:t>
                  </w:r>
                </w:p>
              </w:tc>
              <w:tc>
                <w:tcPr>
                  <w:tcW w:w="259" w:type="pct"/>
                  <w:tcBorders>
                    <w:tl2br w:val="nil"/>
                    <w:tr2bl w:val="nil"/>
                  </w:tcBorders>
                  <w:shd w:val="clear" w:color="auto" w:fill="auto"/>
                  <w:vAlign w:val="center"/>
                </w:tcPr>
                <w:p w14:paraId="3DEF7A76">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default" w:eastAsia="宋体"/>
                      <w:color w:val="auto"/>
                      <w:szCs w:val="21"/>
                      <w:lang w:val="en-US" w:eastAsia="zh-CN"/>
                    </w:rPr>
                  </w:pPr>
                  <w:r>
                    <w:rPr>
                      <w:rFonts w:hint="eastAsia"/>
                      <w:color w:val="auto"/>
                      <w:szCs w:val="21"/>
                      <w:lang w:val="en-US" w:eastAsia="zh-CN"/>
                    </w:rPr>
                    <w:t>0.94</w:t>
                  </w:r>
                </w:p>
              </w:tc>
              <w:tc>
                <w:tcPr>
                  <w:tcW w:w="328" w:type="pct"/>
                  <w:tcBorders>
                    <w:tl2br w:val="nil"/>
                    <w:tr2bl w:val="nil"/>
                  </w:tcBorders>
                  <w:shd w:val="clear" w:color="auto" w:fill="auto"/>
                  <w:vAlign w:val="center"/>
                </w:tcPr>
                <w:p w14:paraId="3160150B">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default" w:eastAsia="宋体"/>
                      <w:color w:val="auto"/>
                      <w:kern w:val="0"/>
                      <w:szCs w:val="21"/>
                      <w:lang w:val="en-US" w:eastAsia="zh-CN"/>
                    </w:rPr>
                  </w:pPr>
                  <w:r>
                    <w:rPr>
                      <w:rFonts w:hint="eastAsia"/>
                      <w:color w:val="auto"/>
                      <w:kern w:val="0"/>
                      <w:szCs w:val="21"/>
                      <w:lang w:val="en-US" w:eastAsia="zh-CN"/>
                    </w:rPr>
                    <w:t>0.0056</w:t>
                  </w:r>
                </w:p>
              </w:tc>
              <w:tc>
                <w:tcPr>
                  <w:tcW w:w="317" w:type="pct"/>
                  <w:tcBorders>
                    <w:tl2br w:val="nil"/>
                    <w:tr2bl w:val="nil"/>
                  </w:tcBorders>
                  <w:shd w:val="clear" w:color="auto" w:fill="auto"/>
                  <w:vAlign w:val="center"/>
                </w:tcPr>
                <w:p w14:paraId="0F2BFCB1">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default" w:eastAsia="宋体"/>
                      <w:color w:val="auto"/>
                      <w:kern w:val="0"/>
                      <w:szCs w:val="21"/>
                      <w:lang w:val="en-US" w:eastAsia="zh-CN"/>
                    </w:rPr>
                  </w:pPr>
                  <w:r>
                    <w:rPr>
                      <w:rFonts w:hint="eastAsia"/>
                      <w:color w:val="auto"/>
                      <w:kern w:val="0"/>
                      <w:szCs w:val="21"/>
                      <w:lang w:val="en-US" w:eastAsia="zh-CN"/>
                    </w:rPr>
                    <w:t>0.0034</w:t>
                  </w:r>
                </w:p>
              </w:tc>
              <w:tc>
                <w:tcPr>
                  <w:tcW w:w="252" w:type="pct"/>
                  <w:tcBorders>
                    <w:tl2br w:val="nil"/>
                    <w:tr2bl w:val="nil"/>
                  </w:tcBorders>
                  <w:shd w:val="clear" w:color="auto" w:fill="auto"/>
                  <w:vAlign w:val="center"/>
                </w:tcPr>
                <w:p w14:paraId="259DAC67">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eastAsia" w:eastAsia="宋体"/>
                      <w:color w:val="auto"/>
                      <w:szCs w:val="21"/>
                      <w:lang w:val="en-US" w:eastAsia="zh-CN"/>
                    </w:rPr>
                  </w:pPr>
                  <w:r>
                    <w:rPr>
                      <w:rFonts w:hint="eastAsia"/>
                      <w:color w:val="auto"/>
                      <w:szCs w:val="21"/>
                      <w:lang w:val="en-US" w:eastAsia="zh-CN"/>
                    </w:rPr>
                    <w:t>/</w:t>
                  </w:r>
                </w:p>
              </w:tc>
              <w:tc>
                <w:tcPr>
                  <w:tcW w:w="272" w:type="pct"/>
                  <w:tcBorders>
                    <w:tl2br w:val="nil"/>
                    <w:tr2bl w:val="nil"/>
                  </w:tcBorders>
                  <w:shd w:val="clear" w:color="auto" w:fill="auto"/>
                  <w:vAlign w:val="center"/>
                </w:tcPr>
                <w:p w14:paraId="033BDFA0">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default" w:eastAsia="宋体"/>
                      <w:color w:val="auto"/>
                      <w:kern w:val="0"/>
                      <w:szCs w:val="21"/>
                      <w:lang w:val="en-US" w:eastAsia="zh-CN"/>
                    </w:rPr>
                  </w:pPr>
                  <w:r>
                    <w:rPr>
                      <w:rFonts w:hint="eastAsia"/>
                      <w:color w:val="auto"/>
                      <w:kern w:val="0"/>
                      <w:szCs w:val="21"/>
                      <w:lang w:val="en-US" w:eastAsia="zh-CN"/>
                    </w:rPr>
                    <w:t>2.0</w:t>
                  </w:r>
                </w:p>
              </w:tc>
            </w:tr>
          </w:tbl>
          <w:p w14:paraId="79661A55">
            <w:pPr>
              <w:widowControl/>
              <w:adjustRightInd w:val="0"/>
              <w:snapToGrid w:val="0"/>
              <w:spacing w:before="120" w:beforeLines="50"/>
              <w:ind w:firstLine="482"/>
              <w:jc w:val="center"/>
              <w:rPr>
                <w:b/>
                <w:color w:val="auto"/>
                <w:kern w:val="0"/>
                <w:sz w:val="24"/>
              </w:rPr>
            </w:pPr>
            <w:r>
              <w:rPr>
                <w:rFonts w:hint="eastAsia"/>
                <w:b/>
                <w:color w:val="auto"/>
                <w:kern w:val="0"/>
                <w:sz w:val="24"/>
              </w:rPr>
              <w:t>表4-</w:t>
            </w:r>
            <w:r>
              <w:rPr>
                <w:rFonts w:hint="eastAsia"/>
                <w:b/>
                <w:color w:val="auto"/>
                <w:kern w:val="0"/>
                <w:sz w:val="24"/>
                <w:lang w:val="en-US" w:eastAsia="zh-CN"/>
              </w:rPr>
              <w:t>5</w:t>
            </w:r>
            <w:r>
              <w:rPr>
                <w:rFonts w:hint="eastAsia"/>
                <w:b/>
                <w:color w:val="auto"/>
                <w:kern w:val="0"/>
                <w:sz w:val="24"/>
              </w:rPr>
              <w:t>项目有组织废气污染源源强合并结果及相关参数</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4"/>
              <w:gridCol w:w="866"/>
              <w:gridCol w:w="633"/>
              <w:gridCol w:w="729"/>
              <w:gridCol w:w="749"/>
              <w:gridCol w:w="827"/>
              <w:gridCol w:w="747"/>
              <w:gridCol w:w="1024"/>
              <w:gridCol w:w="705"/>
              <w:gridCol w:w="465"/>
              <w:gridCol w:w="615"/>
              <w:gridCol w:w="810"/>
              <w:gridCol w:w="735"/>
              <w:gridCol w:w="870"/>
              <w:gridCol w:w="816"/>
              <w:gridCol w:w="598"/>
              <w:gridCol w:w="559"/>
              <w:gridCol w:w="642"/>
            </w:tblGrid>
            <w:tr w14:paraId="74A6EF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tcBorders>
                    <w:tl2br w:val="nil"/>
                    <w:tr2bl w:val="nil"/>
                  </w:tcBorders>
                  <w:vAlign w:val="center"/>
                </w:tcPr>
                <w:p w14:paraId="4F395FA0">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b/>
                      <w:bCs/>
                      <w:color w:val="auto"/>
                      <w:kern w:val="0"/>
                      <w:szCs w:val="21"/>
                      <w:lang w:val="zh-CN"/>
                    </w:rPr>
                  </w:pPr>
                  <w:r>
                    <w:rPr>
                      <w:b/>
                      <w:bCs/>
                      <w:color w:val="auto"/>
                      <w:kern w:val="0"/>
                      <w:szCs w:val="21"/>
                      <w:lang w:val="zh-CN"/>
                    </w:rPr>
                    <w:t>产污环节</w:t>
                  </w:r>
                </w:p>
              </w:tc>
              <w:tc>
                <w:tcPr>
                  <w:tcW w:w="333" w:type="pct"/>
                  <w:vMerge w:val="restart"/>
                  <w:tcBorders>
                    <w:tl2br w:val="nil"/>
                    <w:tr2bl w:val="nil"/>
                  </w:tcBorders>
                  <w:vAlign w:val="center"/>
                </w:tcPr>
                <w:p w14:paraId="10B88F3C">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b/>
                      <w:bCs/>
                      <w:color w:val="auto"/>
                      <w:kern w:val="0"/>
                      <w:szCs w:val="21"/>
                    </w:rPr>
                  </w:pPr>
                  <w:r>
                    <w:rPr>
                      <w:b/>
                      <w:bCs/>
                      <w:color w:val="auto"/>
                      <w:kern w:val="0"/>
                      <w:szCs w:val="21"/>
                      <w:lang w:val="zh-CN"/>
                    </w:rPr>
                    <w:t>污染物名称</w:t>
                  </w:r>
                </w:p>
              </w:tc>
              <w:tc>
                <w:tcPr>
                  <w:tcW w:w="243" w:type="pct"/>
                  <w:vMerge w:val="restart"/>
                  <w:tcBorders>
                    <w:tl2br w:val="nil"/>
                    <w:tr2bl w:val="nil"/>
                  </w:tcBorders>
                  <w:vAlign w:val="center"/>
                </w:tcPr>
                <w:p w14:paraId="79A3CE59">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b/>
                      <w:bCs/>
                      <w:color w:val="auto"/>
                      <w:kern w:val="0"/>
                      <w:szCs w:val="21"/>
                    </w:rPr>
                  </w:pPr>
                  <w:r>
                    <w:rPr>
                      <w:b/>
                      <w:bCs/>
                      <w:color w:val="auto"/>
                      <w:kern w:val="0"/>
                      <w:szCs w:val="21"/>
                      <w:lang w:val="zh-CN"/>
                    </w:rPr>
                    <w:t>排放形式</w:t>
                  </w:r>
                </w:p>
              </w:tc>
              <w:tc>
                <w:tcPr>
                  <w:tcW w:w="886" w:type="pct"/>
                  <w:gridSpan w:val="3"/>
                  <w:tcBorders>
                    <w:tl2br w:val="nil"/>
                    <w:tr2bl w:val="nil"/>
                  </w:tcBorders>
                  <w:vAlign w:val="center"/>
                </w:tcPr>
                <w:p w14:paraId="54C9D64F">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b/>
                      <w:bCs/>
                      <w:color w:val="auto"/>
                      <w:kern w:val="0"/>
                      <w:szCs w:val="21"/>
                    </w:rPr>
                  </w:pPr>
                  <w:r>
                    <w:rPr>
                      <w:b/>
                      <w:bCs/>
                      <w:color w:val="auto"/>
                      <w:kern w:val="0"/>
                      <w:szCs w:val="21"/>
                      <w:lang w:val="zh-CN"/>
                    </w:rPr>
                    <w:t>污染物产生情况</w:t>
                  </w:r>
                </w:p>
              </w:tc>
              <w:tc>
                <w:tcPr>
                  <w:tcW w:w="1680" w:type="pct"/>
                  <w:gridSpan w:val="6"/>
                  <w:tcBorders>
                    <w:tl2br w:val="nil"/>
                    <w:tr2bl w:val="nil"/>
                  </w:tcBorders>
                  <w:vAlign w:val="center"/>
                </w:tcPr>
                <w:p w14:paraId="102AF3A0">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b/>
                      <w:bCs/>
                      <w:color w:val="auto"/>
                      <w:kern w:val="0"/>
                      <w:szCs w:val="21"/>
                    </w:rPr>
                  </w:pPr>
                  <w:r>
                    <w:rPr>
                      <w:b/>
                      <w:bCs/>
                      <w:color w:val="auto"/>
                      <w:kern w:val="0"/>
                      <w:szCs w:val="21"/>
                      <w:lang w:val="zh-CN"/>
                    </w:rPr>
                    <w:t>污染治理设施情况</w:t>
                  </w:r>
                </w:p>
              </w:tc>
              <w:tc>
                <w:tcPr>
                  <w:tcW w:w="931" w:type="pct"/>
                  <w:gridSpan w:val="3"/>
                  <w:tcBorders>
                    <w:tl2br w:val="nil"/>
                    <w:tr2bl w:val="nil"/>
                  </w:tcBorders>
                  <w:vAlign w:val="center"/>
                </w:tcPr>
                <w:p w14:paraId="7E78EB23">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b/>
                      <w:bCs/>
                      <w:color w:val="auto"/>
                      <w:kern w:val="0"/>
                      <w:szCs w:val="21"/>
                    </w:rPr>
                  </w:pPr>
                  <w:r>
                    <w:rPr>
                      <w:b/>
                      <w:bCs/>
                      <w:color w:val="auto"/>
                      <w:kern w:val="0"/>
                      <w:szCs w:val="21"/>
                      <w:lang w:val="zh-CN"/>
                    </w:rPr>
                    <w:t>污染物排放情况</w:t>
                  </w:r>
                </w:p>
              </w:tc>
              <w:tc>
                <w:tcPr>
                  <w:tcW w:w="230" w:type="pct"/>
                  <w:vMerge w:val="restart"/>
                  <w:tcBorders>
                    <w:tl2br w:val="nil"/>
                    <w:tr2bl w:val="nil"/>
                  </w:tcBorders>
                  <w:vAlign w:val="center"/>
                </w:tcPr>
                <w:p w14:paraId="03640905">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b/>
                      <w:bCs/>
                      <w:color w:val="auto"/>
                      <w:kern w:val="0"/>
                      <w:szCs w:val="21"/>
                    </w:rPr>
                  </w:pPr>
                  <w:r>
                    <w:rPr>
                      <w:b/>
                      <w:bCs/>
                      <w:color w:val="auto"/>
                      <w:kern w:val="0"/>
                      <w:szCs w:val="21"/>
                      <w:lang w:val="zh-CN"/>
                    </w:rPr>
                    <w:t>排放口编号</w:t>
                  </w:r>
                </w:p>
              </w:tc>
              <w:tc>
                <w:tcPr>
                  <w:tcW w:w="462" w:type="pct"/>
                  <w:gridSpan w:val="2"/>
                  <w:tcBorders>
                    <w:tl2br w:val="nil"/>
                    <w:tr2bl w:val="nil"/>
                  </w:tcBorders>
                  <w:vAlign w:val="center"/>
                </w:tcPr>
                <w:p w14:paraId="7C819D09">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b/>
                      <w:bCs/>
                      <w:color w:val="auto"/>
                      <w:kern w:val="0"/>
                      <w:szCs w:val="21"/>
                    </w:rPr>
                  </w:pPr>
                  <w:r>
                    <w:rPr>
                      <w:b/>
                      <w:bCs/>
                      <w:color w:val="auto"/>
                      <w:kern w:val="0"/>
                      <w:szCs w:val="21"/>
                      <w:lang w:val="zh-CN"/>
                    </w:rPr>
                    <w:t>执行标准</w:t>
                  </w:r>
                </w:p>
              </w:tc>
            </w:tr>
            <w:tr w14:paraId="07312E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tcBorders>
                    <w:tl2br w:val="nil"/>
                    <w:tr2bl w:val="nil"/>
                  </w:tcBorders>
                  <w:vAlign w:val="center"/>
                </w:tcPr>
                <w:p w14:paraId="64473221">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b/>
                      <w:bCs/>
                      <w:color w:val="auto"/>
                      <w:kern w:val="0"/>
                      <w:szCs w:val="21"/>
                    </w:rPr>
                  </w:pPr>
                </w:p>
              </w:tc>
              <w:tc>
                <w:tcPr>
                  <w:tcW w:w="333" w:type="pct"/>
                  <w:vMerge w:val="continue"/>
                  <w:tcBorders>
                    <w:tl2br w:val="nil"/>
                    <w:tr2bl w:val="nil"/>
                  </w:tcBorders>
                  <w:vAlign w:val="center"/>
                </w:tcPr>
                <w:p w14:paraId="4D40BF3A">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b/>
                      <w:bCs/>
                      <w:color w:val="auto"/>
                      <w:kern w:val="0"/>
                      <w:szCs w:val="21"/>
                    </w:rPr>
                  </w:pPr>
                </w:p>
              </w:tc>
              <w:tc>
                <w:tcPr>
                  <w:tcW w:w="243" w:type="pct"/>
                  <w:vMerge w:val="continue"/>
                  <w:tcBorders>
                    <w:tl2br w:val="nil"/>
                    <w:tr2bl w:val="nil"/>
                  </w:tcBorders>
                  <w:vAlign w:val="center"/>
                </w:tcPr>
                <w:p w14:paraId="065919CD">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b/>
                      <w:bCs/>
                      <w:color w:val="auto"/>
                      <w:kern w:val="0"/>
                      <w:szCs w:val="21"/>
                    </w:rPr>
                  </w:pPr>
                </w:p>
              </w:tc>
              <w:tc>
                <w:tcPr>
                  <w:tcW w:w="280" w:type="pct"/>
                  <w:tcBorders>
                    <w:tl2br w:val="nil"/>
                    <w:tr2bl w:val="nil"/>
                  </w:tcBorders>
                  <w:vAlign w:val="center"/>
                </w:tcPr>
                <w:p w14:paraId="5D32C623">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b/>
                      <w:bCs/>
                      <w:color w:val="auto"/>
                      <w:kern w:val="0"/>
                      <w:szCs w:val="21"/>
                    </w:rPr>
                  </w:pPr>
                  <w:r>
                    <w:rPr>
                      <w:b/>
                      <w:bCs/>
                      <w:color w:val="auto"/>
                      <w:kern w:val="0"/>
                      <w:szCs w:val="21"/>
                      <w:lang w:val="zh-CN"/>
                    </w:rPr>
                    <w:t>产生浓度</w:t>
                  </w:r>
                </w:p>
                <w:p w14:paraId="28F9B7FE">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b/>
                      <w:bCs/>
                      <w:color w:val="auto"/>
                      <w:kern w:val="0"/>
                      <w:szCs w:val="21"/>
                    </w:rPr>
                  </w:pPr>
                  <w:r>
                    <w:rPr>
                      <w:b/>
                      <w:bCs/>
                      <w:color w:val="auto"/>
                      <w:kern w:val="0"/>
                      <w:szCs w:val="21"/>
                    </w:rPr>
                    <w:t>mg/m³</w:t>
                  </w:r>
                </w:p>
              </w:tc>
              <w:tc>
                <w:tcPr>
                  <w:tcW w:w="288" w:type="pct"/>
                  <w:tcBorders>
                    <w:tl2br w:val="nil"/>
                    <w:tr2bl w:val="nil"/>
                  </w:tcBorders>
                  <w:vAlign w:val="center"/>
                </w:tcPr>
                <w:p w14:paraId="2307450C">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b/>
                      <w:bCs/>
                      <w:color w:val="auto"/>
                      <w:kern w:val="0"/>
                      <w:szCs w:val="21"/>
                      <w:lang w:val="zh-CN"/>
                    </w:rPr>
                  </w:pPr>
                  <w:r>
                    <w:rPr>
                      <w:b/>
                      <w:bCs/>
                      <w:color w:val="auto"/>
                      <w:kern w:val="0"/>
                      <w:szCs w:val="21"/>
                      <w:lang w:val="zh-CN"/>
                    </w:rPr>
                    <w:t>产生速率</w:t>
                  </w:r>
                </w:p>
                <w:p w14:paraId="18797E23">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b/>
                      <w:bCs/>
                      <w:color w:val="auto"/>
                      <w:kern w:val="0"/>
                      <w:szCs w:val="21"/>
                    </w:rPr>
                  </w:pPr>
                  <w:r>
                    <w:rPr>
                      <w:b/>
                      <w:bCs/>
                      <w:color w:val="auto"/>
                      <w:kern w:val="0"/>
                      <w:szCs w:val="21"/>
                    </w:rPr>
                    <w:t>kg/h</w:t>
                  </w:r>
                </w:p>
              </w:tc>
              <w:tc>
                <w:tcPr>
                  <w:tcW w:w="318" w:type="pct"/>
                  <w:tcBorders>
                    <w:tl2br w:val="nil"/>
                    <w:tr2bl w:val="nil"/>
                  </w:tcBorders>
                  <w:vAlign w:val="center"/>
                </w:tcPr>
                <w:p w14:paraId="3FAEEADB">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b/>
                      <w:bCs/>
                      <w:color w:val="auto"/>
                      <w:kern w:val="0"/>
                      <w:szCs w:val="21"/>
                    </w:rPr>
                  </w:pPr>
                  <w:r>
                    <w:rPr>
                      <w:b/>
                      <w:bCs/>
                      <w:color w:val="auto"/>
                      <w:kern w:val="0"/>
                      <w:szCs w:val="21"/>
                      <w:lang w:val="zh-CN"/>
                    </w:rPr>
                    <w:t>产生量</w:t>
                  </w:r>
                </w:p>
                <w:p w14:paraId="4ADFD561">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b/>
                      <w:bCs/>
                      <w:color w:val="auto"/>
                      <w:kern w:val="0"/>
                      <w:szCs w:val="21"/>
                    </w:rPr>
                  </w:pPr>
                  <w:r>
                    <w:rPr>
                      <w:b/>
                      <w:bCs/>
                      <w:color w:val="auto"/>
                      <w:kern w:val="0"/>
                      <w:szCs w:val="21"/>
                    </w:rPr>
                    <w:t>t/a</w:t>
                  </w:r>
                </w:p>
              </w:tc>
              <w:tc>
                <w:tcPr>
                  <w:tcW w:w="287" w:type="pct"/>
                  <w:tcBorders>
                    <w:tl2br w:val="nil"/>
                    <w:tr2bl w:val="nil"/>
                  </w:tcBorders>
                  <w:vAlign w:val="center"/>
                </w:tcPr>
                <w:p w14:paraId="4133DEC2">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b/>
                      <w:bCs/>
                      <w:color w:val="auto"/>
                      <w:kern w:val="0"/>
                      <w:szCs w:val="21"/>
                    </w:rPr>
                  </w:pPr>
                  <w:r>
                    <w:rPr>
                      <w:b/>
                      <w:bCs/>
                      <w:color w:val="auto"/>
                      <w:kern w:val="0"/>
                      <w:szCs w:val="21"/>
                      <w:lang w:val="zh-CN"/>
                    </w:rPr>
                    <w:t>污染治理设施编号</w:t>
                  </w:r>
                </w:p>
              </w:tc>
              <w:tc>
                <w:tcPr>
                  <w:tcW w:w="394" w:type="pct"/>
                  <w:tcBorders>
                    <w:tl2br w:val="nil"/>
                    <w:tr2bl w:val="nil"/>
                  </w:tcBorders>
                  <w:vAlign w:val="center"/>
                </w:tcPr>
                <w:p w14:paraId="7ED885E5">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b/>
                      <w:bCs/>
                      <w:color w:val="auto"/>
                      <w:kern w:val="0"/>
                      <w:szCs w:val="21"/>
                    </w:rPr>
                  </w:pPr>
                  <w:r>
                    <w:rPr>
                      <w:b/>
                      <w:bCs/>
                      <w:color w:val="auto"/>
                      <w:kern w:val="0"/>
                      <w:szCs w:val="21"/>
                      <w:lang w:val="zh-CN"/>
                    </w:rPr>
                    <w:t>污染治理设施工艺</w:t>
                  </w:r>
                </w:p>
              </w:tc>
              <w:tc>
                <w:tcPr>
                  <w:tcW w:w="271" w:type="pct"/>
                  <w:tcBorders>
                    <w:tl2br w:val="nil"/>
                    <w:tr2bl w:val="nil"/>
                  </w:tcBorders>
                  <w:vAlign w:val="center"/>
                </w:tcPr>
                <w:p w14:paraId="36659A98">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b/>
                      <w:bCs/>
                      <w:color w:val="auto"/>
                      <w:kern w:val="0"/>
                      <w:szCs w:val="21"/>
                    </w:rPr>
                  </w:pPr>
                  <w:r>
                    <w:rPr>
                      <w:b/>
                      <w:bCs/>
                      <w:color w:val="auto"/>
                      <w:kern w:val="0"/>
                      <w:szCs w:val="21"/>
                      <w:lang w:val="zh-CN"/>
                    </w:rPr>
                    <w:t>处理能力</w:t>
                  </w:r>
                  <w:r>
                    <w:rPr>
                      <w:b/>
                      <w:bCs/>
                      <w:color w:val="auto"/>
                      <w:kern w:val="0"/>
                      <w:szCs w:val="21"/>
                    </w:rPr>
                    <w:t>m</w:t>
                  </w:r>
                  <w:r>
                    <w:rPr>
                      <w:b/>
                      <w:bCs/>
                      <w:color w:val="auto"/>
                      <w:kern w:val="0"/>
                      <w:szCs w:val="21"/>
                      <w:vertAlign w:val="superscript"/>
                    </w:rPr>
                    <w:t>3</w:t>
                  </w:r>
                  <w:r>
                    <w:rPr>
                      <w:b/>
                      <w:bCs/>
                      <w:color w:val="auto"/>
                      <w:kern w:val="0"/>
                      <w:szCs w:val="21"/>
                    </w:rPr>
                    <w:t>/h</w:t>
                  </w:r>
                </w:p>
              </w:tc>
              <w:tc>
                <w:tcPr>
                  <w:tcW w:w="178" w:type="pct"/>
                  <w:tcBorders>
                    <w:tl2br w:val="nil"/>
                    <w:tr2bl w:val="nil"/>
                  </w:tcBorders>
                  <w:vAlign w:val="center"/>
                </w:tcPr>
                <w:p w14:paraId="4B6BB387">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b/>
                      <w:bCs/>
                      <w:color w:val="auto"/>
                      <w:kern w:val="0"/>
                      <w:szCs w:val="21"/>
                    </w:rPr>
                  </w:pPr>
                  <w:r>
                    <w:rPr>
                      <w:b/>
                      <w:bCs/>
                      <w:color w:val="auto"/>
                      <w:kern w:val="0"/>
                      <w:szCs w:val="21"/>
                      <w:lang w:val="zh-CN"/>
                    </w:rPr>
                    <w:t>捕集效率</w:t>
                  </w:r>
                  <w:r>
                    <w:rPr>
                      <w:b/>
                      <w:bCs/>
                      <w:color w:val="auto"/>
                      <w:kern w:val="0"/>
                      <w:szCs w:val="21"/>
                    </w:rPr>
                    <w:t>%</w:t>
                  </w:r>
                </w:p>
              </w:tc>
              <w:tc>
                <w:tcPr>
                  <w:tcW w:w="236" w:type="pct"/>
                  <w:tcBorders>
                    <w:tl2br w:val="nil"/>
                    <w:tr2bl w:val="nil"/>
                  </w:tcBorders>
                  <w:vAlign w:val="center"/>
                </w:tcPr>
                <w:p w14:paraId="41E0CC15">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b/>
                      <w:bCs/>
                      <w:color w:val="auto"/>
                      <w:kern w:val="0"/>
                      <w:szCs w:val="21"/>
                    </w:rPr>
                  </w:pPr>
                  <w:r>
                    <w:rPr>
                      <w:b/>
                      <w:bCs/>
                      <w:color w:val="auto"/>
                      <w:kern w:val="0"/>
                      <w:szCs w:val="21"/>
                      <w:lang w:val="zh-CN"/>
                    </w:rPr>
                    <w:t>处理效率</w:t>
                  </w:r>
                  <w:r>
                    <w:rPr>
                      <w:b/>
                      <w:bCs/>
                      <w:color w:val="auto"/>
                      <w:kern w:val="0"/>
                      <w:szCs w:val="21"/>
                    </w:rPr>
                    <w:t>%</w:t>
                  </w:r>
                </w:p>
              </w:tc>
              <w:tc>
                <w:tcPr>
                  <w:tcW w:w="311" w:type="pct"/>
                  <w:tcBorders>
                    <w:tl2br w:val="nil"/>
                    <w:tr2bl w:val="nil"/>
                  </w:tcBorders>
                  <w:vAlign w:val="center"/>
                </w:tcPr>
                <w:p w14:paraId="357E2E87">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b/>
                      <w:bCs/>
                      <w:color w:val="auto"/>
                      <w:kern w:val="0"/>
                      <w:szCs w:val="21"/>
                    </w:rPr>
                  </w:pPr>
                  <w:r>
                    <w:rPr>
                      <w:b/>
                      <w:bCs/>
                      <w:color w:val="auto"/>
                      <w:kern w:val="0"/>
                      <w:szCs w:val="21"/>
                      <w:lang w:val="zh-CN"/>
                    </w:rPr>
                    <w:t>是否为可行技术</w:t>
                  </w:r>
                </w:p>
              </w:tc>
              <w:tc>
                <w:tcPr>
                  <w:tcW w:w="282" w:type="pct"/>
                  <w:tcBorders>
                    <w:tl2br w:val="nil"/>
                    <w:tr2bl w:val="nil"/>
                  </w:tcBorders>
                  <w:vAlign w:val="center"/>
                </w:tcPr>
                <w:p w14:paraId="183B28FC">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b/>
                      <w:bCs/>
                      <w:color w:val="auto"/>
                      <w:kern w:val="0"/>
                      <w:szCs w:val="21"/>
                    </w:rPr>
                  </w:pPr>
                  <w:r>
                    <w:rPr>
                      <w:b/>
                      <w:bCs/>
                      <w:color w:val="auto"/>
                      <w:kern w:val="0"/>
                      <w:szCs w:val="21"/>
                      <w:lang w:val="zh-CN"/>
                    </w:rPr>
                    <w:t>排放浓度</w:t>
                  </w:r>
                  <w:r>
                    <w:rPr>
                      <w:b/>
                      <w:bCs/>
                      <w:color w:val="auto"/>
                      <w:kern w:val="0"/>
                      <w:szCs w:val="21"/>
                    </w:rPr>
                    <w:t>mg/m³</w:t>
                  </w:r>
                </w:p>
              </w:tc>
              <w:tc>
                <w:tcPr>
                  <w:tcW w:w="334" w:type="pct"/>
                  <w:tcBorders>
                    <w:tl2br w:val="nil"/>
                    <w:tr2bl w:val="nil"/>
                  </w:tcBorders>
                  <w:vAlign w:val="center"/>
                </w:tcPr>
                <w:p w14:paraId="4654888C">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b/>
                      <w:bCs/>
                      <w:color w:val="auto"/>
                      <w:kern w:val="0"/>
                      <w:szCs w:val="21"/>
                    </w:rPr>
                  </w:pPr>
                  <w:r>
                    <w:rPr>
                      <w:b/>
                      <w:bCs/>
                      <w:color w:val="auto"/>
                      <w:kern w:val="0"/>
                      <w:szCs w:val="21"/>
                      <w:lang w:val="zh-CN"/>
                    </w:rPr>
                    <w:t>排放速率</w:t>
                  </w:r>
                  <w:r>
                    <w:rPr>
                      <w:b/>
                      <w:bCs/>
                      <w:color w:val="auto"/>
                      <w:kern w:val="0"/>
                      <w:szCs w:val="21"/>
                    </w:rPr>
                    <w:t>kg/h</w:t>
                  </w:r>
                </w:p>
              </w:tc>
              <w:tc>
                <w:tcPr>
                  <w:tcW w:w="313" w:type="pct"/>
                  <w:tcBorders>
                    <w:tl2br w:val="nil"/>
                    <w:tr2bl w:val="nil"/>
                  </w:tcBorders>
                  <w:vAlign w:val="center"/>
                </w:tcPr>
                <w:p w14:paraId="4944BB13">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b/>
                      <w:bCs/>
                      <w:color w:val="auto"/>
                      <w:kern w:val="0"/>
                      <w:szCs w:val="21"/>
                    </w:rPr>
                  </w:pPr>
                  <w:r>
                    <w:rPr>
                      <w:b/>
                      <w:bCs/>
                      <w:color w:val="auto"/>
                      <w:kern w:val="0"/>
                      <w:szCs w:val="21"/>
                      <w:lang w:val="zh-CN"/>
                    </w:rPr>
                    <w:t>排放量</w:t>
                  </w:r>
                </w:p>
                <w:p w14:paraId="292E3AA6">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b/>
                      <w:bCs/>
                      <w:color w:val="auto"/>
                      <w:kern w:val="0"/>
                      <w:szCs w:val="21"/>
                    </w:rPr>
                  </w:pPr>
                  <w:r>
                    <w:rPr>
                      <w:b/>
                      <w:bCs/>
                      <w:color w:val="auto"/>
                      <w:kern w:val="0"/>
                      <w:szCs w:val="21"/>
                    </w:rPr>
                    <w:t>t/a</w:t>
                  </w:r>
                </w:p>
              </w:tc>
              <w:tc>
                <w:tcPr>
                  <w:tcW w:w="230" w:type="pct"/>
                  <w:vMerge w:val="continue"/>
                  <w:tcBorders>
                    <w:tl2br w:val="nil"/>
                    <w:tr2bl w:val="nil"/>
                  </w:tcBorders>
                  <w:vAlign w:val="center"/>
                </w:tcPr>
                <w:p w14:paraId="27C5F8A3">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b/>
                      <w:bCs/>
                      <w:color w:val="auto"/>
                      <w:kern w:val="0"/>
                      <w:szCs w:val="21"/>
                    </w:rPr>
                  </w:pPr>
                </w:p>
              </w:tc>
              <w:tc>
                <w:tcPr>
                  <w:tcW w:w="215" w:type="pct"/>
                  <w:tcBorders>
                    <w:tl2br w:val="nil"/>
                    <w:tr2bl w:val="nil"/>
                  </w:tcBorders>
                  <w:vAlign w:val="center"/>
                </w:tcPr>
                <w:p w14:paraId="28C391A5">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b/>
                      <w:bCs/>
                      <w:color w:val="auto"/>
                      <w:kern w:val="0"/>
                      <w:szCs w:val="21"/>
                    </w:rPr>
                  </w:pPr>
                  <w:r>
                    <w:rPr>
                      <w:b/>
                      <w:bCs/>
                      <w:color w:val="auto"/>
                      <w:kern w:val="0"/>
                      <w:szCs w:val="21"/>
                      <w:lang w:val="zh-CN"/>
                    </w:rPr>
                    <w:t>排放</w:t>
                  </w:r>
                </w:p>
                <w:p w14:paraId="58830808">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b/>
                      <w:bCs/>
                      <w:color w:val="auto"/>
                      <w:kern w:val="0"/>
                      <w:szCs w:val="21"/>
                    </w:rPr>
                  </w:pPr>
                  <w:r>
                    <w:rPr>
                      <w:b/>
                      <w:bCs/>
                      <w:color w:val="auto"/>
                      <w:kern w:val="0"/>
                      <w:szCs w:val="21"/>
                      <w:lang w:val="zh-CN"/>
                    </w:rPr>
                    <w:t>速率</w:t>
                  </w:r>
                </w:p>
                <w:p w14:paraId="661E4A66">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b/>
                      <w:bCs/>
                      <w:color w:val="auto"/>
                      <w:kern w:val="0"/>
                      <w:szCs w:val="21"/>
                    </w:rPr>
                  </w:pPr>
                  <w:r>
                    <w:rPr>
                      <w:b/>
                      <w:bCs/>
                      <w:color w:val="auto"/>
                      <w:kern w:val="0"/>
                      <w:szCs w:val="21"/>
                    </w:rPr>
                    <w:t>kg/h</w:t>
                  </w:r>
                </w:p>
              </w:tc>
              <w:tc>
                <w:tcPr>
                  <w:tcW w:w="247" w:type="pct"/>
                  <w:tcBorders>
                    <w:tl2br w:val="nil"/>
                    <w:tr2bl w:val="nil"/>
                  </w:tcBorders>
                  <w:vAlign w:val="center"/>
                </w:tcPr>
                <w:p w14:paraId="4C80EEEB">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b/>
                      <w:bCs/>
                      <w:color w:val="auto"/>
                      <w:kern w:val="0"/>
                      <w:szCs w:val="21"/>
                    </w:rPr>
                  </w:pPr>
                  <w:r>
                    <w:rPr>
                      <w:b/>
                      <w:bCs/>
                      <w:color w:val="auto"/>
                      <w:kern w:val="0"/>
                      <w:szCs w:val="21"/>
                      <w:lang w:val="zh-CN"/>
                    </w:rPr>
                    <w:t>排放</w:t>
                  </w:r>
                </w:p>
                <w:p w14:paraId="577D5920">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b/>
                      <w:bCs/>
                      <w:color w:val="auto"/>
                      <w:kern w:val="0"/>
                      <w:szCs w:val="21"/>
                    </w:rPr>
                  </w:pPr>
                  <w:r>
                    <w:rPr>
                      <w:b/>
                      <w:bCs/>
                      <w:color w:val="auto"/>
                      <w:kern w:val="0"/>
                      <w:szCs w:val="21"/>
                      <w:lang w:val="zh-CN"/>
                    </w:rPr>
                    <w:t>浓度</w:t>
                  </w:r>
                </w:p>
                <w:p w14:paraId="2838E4CD">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b/>
                      <w:bCs/>
                      <w:color w:val="auto"/>
                      <w:kern w:val="0"/>
                      <w:szCs w:val="21"/>
                    </w:rPr>
                  </w:pPr>
                  <w:r>
                    <w:rPr>
                      <w:b/>
                      <w:bCs/>
                      <w:color w:val="auto"/>
                      <w:kern w:val="0"/>
                      <w:szCs w:val="21"/>
                    </w:rPr>
                    <w:t>mg/m³</w:t>
                  </w:r>
                </w:p>
              </w:tc>
            </w:tr>
            <w:tr w14:paraId="45AEDA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tcBorders>
                    <w:tl2br w:val="nil"/>
                    <w:tr2bl w:val="nil"/>
                  </w:tcBorders>
                  <w:vAlign w:val="center"/>
                </w:tcPr>
                <w:p w14:paraId="142B35BF">
                  <w:pPr>
                    <w:keepNext w:val="0"/>
                    <w:keepLines w:val="0"/>
                    <w:pageBreakBefore w:val="0"/>
                    <w:kinsoku/>
                    <w:wordWrap/>
                    <w:overflowPunct/>
                    <w:topLinePunct w:val="0"/>
                    <w:autoSpaceDE/>
                    <w:autoSpaceDN/>
                    <w:bidi w:val="0"/>
                    <w:adjustRightInd w:val="0"/>
                    <w:snapToGrid w:val="0"/>
                    <w:ind w:left="-105" w:leftChars="-50" w:right="-105" w:rightChars="-50" w:firstLine="0"/>
                    <w:jc w:val="center"/>
                    <w:rPr>
                      <w:color w:val="auto"/>
                      <w:kern w:val="0"/>
                      <w:szCs w:val="21"/>
                    </w:rPr>
                  </w:pPr>
                  <w:r>
                    <w:rPr>
                      <w:rFonts w:hint="eastAsia"/>
                      <w:color w:val="auto"/>
                      <w:kern w:val="0"/>
                      <w:szCs w:val="21"/>
                    </w:rPr>
                    <w:t>配件下料</w:t>
                  </w:r>
                </w:p>
              </w:tc>
              <w:tc>
                <w:tcPr>
                  <w:tcW w:w="333" w:type="pct"/>
                  <w:tcBorders>
                    <w:tl2br w:val="nil"/>
                    <w:tr2bl w:val="nil"/>
                  </w:tcBorders>
                  <w:vAlign w:val="center"/>
                </w:tcPr>
                <w:p w14:paraId="6EC6FAC3">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颗粒物</w:t>
                  </w:r>
                </w:p>
              </w:tc>
              <w:tc>
                <w:tcPr>
                  <w:tcW w:w="243" w:type="pct"/>
                  <w:tcBorders>
                    <w:tl2br w:val="nil"/>
                    <w:tr2bl w:val="nil"/>
                  </w:tcBorders>
                  <w:shd w:val="clear" w:color="auto" w:fill="auto"/>
                  <w:vAlign w:val="center"/>
                </w:tcPr>
                <w:p w14:paraId="2CEE127E">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color w:val="auto"/>
                      <w:kern w:val="0"/>
                      <w:szCs w:val="21"/>
                      <w:lang w:val="zh-CN"/>
                    </w:rPr>
                  </w:pPr>
                  <w:r>
                    <w:rPr>
                      <w:rFonts w:hint="eastAsia"/>
                      <w:color w:val="auto"/>
                      <w:kern w:val="0"/>
                      <w:szCs w:val="21"/>
                      <w:lang w:val="zh-CN"/>
                    </w:rPr>
                    <w:t>有组织</w:t>
                  </w:r>
                </w:p>
              </w:tc>
              <w:tc>
                <w:tcPr>
                  <w:tcW w:w="280" w:type="pct"/>
                  <w:tcBorders>
                    <w:tl2br w:val="nil"/>
                    <w:tr2bl w:val="nil"/>
                  </w:tcBorders>
                  <w:vAlign w:val="center"/>
                </w:tcPr>
                <w:p w14:paraId="2E3CF7B2">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79.5</w:t>
                  </w:r>
                </w:p>
              </w:tc>
              <w:tc>
                <w:tcPr>
                  <w:tcW w:w="288" w:type="pct"/>
                  <w:tcBorders>
                    <w:tl2br w:val="nil"/>
                    <w:tr2bl w:val="nil"/>
                  </w:tcBorders>
                  <w:vAlign w:val="center"/>
                </w:tcPr>
                <w:p w14:paraId="2D12AFE3">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0.3975</w:t>
                  </w:r>
                </w:p>
              </w:tc>
              <w:tc>
                <w:tcPr>
                  <w:tcW w:w="318" w:type="pct"/>
                  <w:tcBorders>
                    <w:tl2br w:val="nil"/>
                    <w:tr2bl w:val="nil"/>
                  </w:tcBorders>
                  <w:vAlign w:val="center"/>
                </w:tcPr>
                <w:p w14:paraId="1FC573DD">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0.954</w:t>
                  </w:r>
                </w:p>
              </w:tc>
              <w:tc>
                <w:tcPr>
                  <w:tcW w:w="287" w:type="pct"/>
                  <w:tcBorders>
                    <w:tl2br w:val="nil"/>
                    <w:tr2bl w:val="nil"/>
                  </w:tcBorders>
                  <w:vAlign w:val="center"/>
                </w:tcPr>
                <w:p w14:paraId="6391FD70">
                  <w:pPr>
                    <w:keepNext w:val="0"/>
                    <w:keepLines w:val="0"/>
                    <w:pageBreakBefore w:val="0"/>
                    <w:kinsoku/>
                    <w:wordWrap/>
                    <w:overflowPunct/>
                    <w:topLinePunct w:val="0"/>
                    <w:autoSpaceDE/>
                    <w:autoSpaceDN/>
                    <w:bidi w:val="0"/>
                    <w:adjustRightInd w:val="0"/>
                    <w:snapToGrid w:val="0"/>
                    <w:ind w:left="-42" w:leftChars="-20" w:right="-42" w:rightChars="-20" w:firstLine="0"/>
                    <w:jc w:val="center"/>
                    <w:rPr>
                      <w:color w:val="auto"/>
                      <w:szCs w:val="21"/>
                    </w:rPr>
                  </w:pPr>
                  <w:r>
                    <w:rPr>
                      <w:rFonts w:hint="eastAsia"/>
                      <w:color w:val="auto"/>
                      <w:szCs w:val="21"/>
                    </w:rPr>
                    <w:t>TA001</w:t>
                  </w:r>
                </w:p>
              </w:tc>
              <w:tc>
                <w:tcPr>
                  <w:tcW w:w="394" w:type="pct"/>
                  <w:tcBorders>
                    <w:tl2br w:val="nil"/>
                    <w:tr2bl w:val="nil"/>
                  </w:tcBorders>
                  <w:vAlign w:val="center"/>
                </w:tcPr>
                <w:p w14:paraId="1906C2FB">
                  <w:pPr>
                    <w:keepNext w:val="0"/>
                    <w:keepLines w:val="0"/>
                    <w:pageBreakBefore w:val="0"/>
                    <w:kinsoku/>
                    <w:wordWrap/>
                    <w:overflowPunct/>
                    <w:topLinePunct w:val="0"/>
                    <w:autoSpaceDE/>
                    <w:autoSpaceDN/>
                    <w:bidi w:val="0"/>
                    <w:adjustRightInd w:val="0"/>
                    <w:snapToGrid w:val="0"/>
                    <w:ind w:left="-42" w:leftChars="-20" w:right="-42" w:rightChars="-20" w:firstLine="0"/>
                    <w:jc w:val="center"/>
                    <w:rPr>
                      <w:color w:val="auto"/>
                      <w:szCs w:val="21"/>
                    </w:rPr>
                  </w:pPr>
                  <w:r>
                    <w:rPr>
                      <w:rFonts w:hint="eastAsia"/>
                      <w:color w:val="auto"/>
                      <w:szCs w:val="21"/>
                    </w:rPr>
                    <w:t>布袋除尘器</w:t>
                  </w:r>
                </w:p>
              </w:tc>
              <w:tc>
                <w:tcPr>
                  <w:tcW w:w="271" w:type="pct"/>
                  <w:tcBorders>
                    <w:tl2br w:val="nil"/>
                    <w:tr2bl w:val="nil"/>
                  </w:tcBorders>
                  <w:vAlign w:val="center"/>
                </w:tcPr>
                <w:p w14:paraId="258EA558">
                  <w:pPr>
                    <w:keepNext w:val="0"/>
                    <w:keepLines w:val="0"/>
                    <w:pageBreakBefore w:val="0"/>
                    <w:kinsoku/>
                    <w:wordWrap/>
                    <w:overflowPunct/>
                    <w:topLinePunct w:val="0"/>
                    <w:autoSpaceDE/>
                    <w:autoSpaceDN/>
                    <w:bidi w:val="0"/>
                    <w:adjustRightInd w:val="0"/>
                    <w:snapToGrid w:val="0"/>
                    <w:ind w:left="-42" w:leftChars="-20" w:right="-42" w:rightChars="-20" w:firstLine="0"/>
                    <w:jc w:val="center"/>
                    <w:rPr>
                      <w:color w:val="auto"/>
                      <w:szCs w:val="21"/>
                    </w:rPr>
                  </w:pPr>
                  <w:r>
                    <w:rPr>
                      <w:rFonts w:hint="eastAsia"/>
                      <w:color w:val="auto"/>
                      <w:szCs w:val="21"/>
                    </w:rPr>
                    <w:t>5000</w:t>
                  </w:r>
                </w:p>
              </w:tc>
              <w:tc>
                <w:tcPr>
                  <w:tcW w:w="178" w:type="pct"/>
                  <w:tcBorders>
                    <w:tl2br w:val="nil"/>
                    <w:tr2bl w:val="nil"/>
                  </w:tcBorders>
                  <w:vAlign w:val="center"/>
                </w:tcPr>
                <w:p w14:paraId="0D006E41">
                  <w:pPr>
                    <w:keepNext w:val="0"/>
                    <w:keepLines w:val="0"/>
                    <w:pageBreakBefore w:val="0"/>
                    <w:kinsoku/>
                    <w:wordWrap/>
                    <w:overflowPunct/>
                    <w:topLinePunct w:val="0"/>
                    <w:autoSpaceDE/>
                    <w:autoSpaceDN/>
                    <w:bidi w:val="0"/>
                    <w:adjustRightInd w:val="0"/>
                    <w:snapToGrid w:val="0"/>
                    <w:ind w:left="-42" w:leftChars="-20" w:right="-42" w:rightChars="-20" w:firstLine="0"/>
                    <w:contextualSpacing/>
                    <w:jc w:val="center"/>
                    <w:rPr>
                      <w:color w:val="auto"/>
                      <w:kern w:val="0"/>
                      <w:szCs w:val="21"/>
                    </w:rPr>
                  </w:pPr>
                  <w:r>
                    <w:rPr>
                      <w:rFonts w:hint="eastAsia"/>
                      <w:color w:val="auto"/>
                      <w:kern w:val="0"/>
                      <w:szCs w:val="21"/>
                    </w:rPr>
                    <w:t>90</w:t>
                  </w:r>
                </w:p>
              </w:tc>
              <w:tc>
                <w:tcPr>
                  <w:tcW w:w="236" w:type="pct"/>
                  <w:tcBorders>
                    <w:tl2br w:val="nil"/>
                    <w:tr2bl w:val="nil"/>
                  </w:tcBorders>
                  <w:vAlign w:val="center"/>
                </w:tcPr>
                <w:p w14:paraId="140B9041">
                  <w:pPr>
                    <w:keepNext w:val="0"/>
                    <w:keepLines w:val="0"/>
                    <w:pageBreakBefore w:val="0"/>
                    <w:kinsoku/>
                    <w:wordWrap/>
                    <w:overflowPunct/>
                    <w:topLinePunct w:val="0"/>
                    <w:autoSpaceDE/>
                    <w:autoSpaceDN/>
                    <w:bidi w:val="0"/>
                    <w:adjustRightInd w:val="0"/>
                    <w:snapToGrid w:val="0"/>
                    <w:ind w:left="-42" w:leftChars="-20" w:right="-42" w:rightChars="-20" w:firstLine="0"/>
                    <w:contextualSpacing/>
                    <w:jc w:val="center"/>
                    <w:rPr>
                      <w:color w:val="auto"/>
                      <w:kern w:val="0"/>
                      <w:szCs w:val="21"/>
                    </w:rPr>
                  </w:pPr>
                  <w:r>
                    <w:rPr>
                      <w:rFonts w:hint="eastAsia"/>
                      <w:color w:val="auto"/>
                      <w:kern w:val="0"/>
                      <w:szCs w:val="21"/>
                    </w:rPr>
                    <w:t>98</w:t>
                  </w:r>
                </w:p>
              </w:tc>
              <w:tc>
                <w:tcPr>
                  <w:tcW w:w="311" w:type="pct"/>
                  <w:tcBorders>
                    <w:tl2br w:val="nil"/>
                    <w:tr2bl w:val="nil"/>
                  </w:tcBorders>
                  <w:vAlign w:val="center"/>
                </w:tcPr>
                <w:p w14:paraId="3BEF128B">
                  <w:pPr>
                    <w:keepNext w:val="0"/>
                    <w:keepLines w:val="0"/>
                    <w:pageBreakBefore w:val="0"/>
                    <w:kinsoku/>
                    <w:wordWrap/>
                    <w:overflowPunct/>
                    <w:topLinePunct w:val="0"/>
                    <w:autoSpaceDE/>
                    <w:autoSpaceDN/>
                    <w:bidi w:val="0"/>
                    <w:adjustRightInd w:val="0"/>
                    <w:snapToGrid w:val="0"/>
                    <w:ind w:left="-42" w:leftChars="-20" w:right="-42" w:rightChars="-20" w:firstLine="0"/>
                    <w:jc w:val="center"/>
                    <w:rPr>
                      <w:color w:val="auto"/>
                      <w:szCs w:val="21"/>
                    </w:rPr>
                  </w:pPr>
                  <w:r>
                    <w:rPr>
                      <w:rFonts w:hint="eastAsia"/>
                      <w:color w:val="auto"/>
                      <w:szCs w:val="21"/>
                    </w:rPr>
                    <w:t>是</w:t>
                  </w:r>
                </w:p>
              </w:tc>
              <w:tc>
                <w:tcPr>
                  <w:tcW w:w="282" w:type="pct"/>
                  <w:tcBorders>
                    <w:tl2br w:val="nil"/>
                    <w:tr2bl w:val="nil"/>
                  </w:tcBorders>
                  <w:shd w:val="clear" w:color="auto" w:fill="auto"/>
                  <w:vAlign w:val="center"/>
                </w:tcPr>
                <w:p w14:paraId="637B8E03">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1.6</w:t>
                  </w:r>
                </w:p>
              </w:tc>
              <w:tc>
                <w:tcPr>
                  <w:tcW w:w="334" w:type="pct"/>
                  <w:tcBorders>
                    <w:tl2br w:val="nil"/>
                    <w:tr2bl w:val="nil"/>
                  </w:tcBorders>
                  <w:shd w:val="clear" w:color="auto" w:fill="auto"/>
                  <w:vAlign w:val="center"/>
                </w:tcPr>
                <w:p w14:paraId="2F25F8EF">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0.008</w:t>
                  </w:r>
                </w:p>
              </w:tc>
              <w:tc>
                <w:tcPr>
                  <w:tcW w:w="313" w:type="pct"/>
                  <w:tcBorders>
                    <w:tl2br w:val="nil"/>
                    <w:tr2bl w:val="nil"/>
                  </w:tcBorders>
                  <w:shd w:val="clear" w:color="auto" w:fill="auto"/>
                  <w:vAlign w:val="center"/>
                </w:tcPr>
                <w:p w14:paraId="593CFAF9">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szCs w:val="21"/>
                    </w:rPr>
                  </w:pPr>
                  <w:r>
                    <w:rPr>
                      <w:rFonts w:hint="eastAsia"/>
                      <w:color w:val="auto"/>
                      <w:szCs w:val="21"/>
                    </w:rPr>
                    <w:t>0.0191</w:t>
                  </w:r>
                </w:p>
              </w:tc>
              <w:tc>
                <w:tcPr>
                  <w:tcW w:w="230" w:type="pct"/>
                  <w:tcBorders>
                    <w:tl2br w:val="nil"/>
                    <w:tr2bl w:val="nil"/>
                  </w:tcBorders>
                  <w:shd w:val="clear" w:color="auto" w:fill="auto"/>
                  <w:vAlign w:val="center"/>
                </w:tcPr>
                <w:p w14:paraId="2EDBC60A">
                  <w:pPr>
                    <w:keepNext w:val="0"/>
                    <w:keepLines w:val="0"/>
                    <w:pageBreakBefore w:val="0"/>
                    <w:kinsoku/>
                    <w:wordWrap/>
                    <w:overflowPunct/>
                    <w:topLinePunct w:val="0"/>
                    <w:autoSpaceDE/>
                    <w:autoSpaceDN/>
                    <w:bidi w:val="0"/>
                    <w:adjustRightInd w:val="0"/>
                    <w:snapToGrid w:val="0"/>
                    <w:ind w:left="-42" w:leftChars="-20" w:right="-42" w:rightChars="-20" w:firstLine="0"/>
                    <w:contextualSpacing/>
                    <w:jc w:val="center"/>
                    <w:rPr>
                      <w:color w:val="auto"/>
                      <w:kern w:val="0"/>
                      <w:szCs w:val="21"/>
                    </w:rPr>
                  </w:pPr>
                  <w:r>
                    <w:rPr>
                      <w:color w:val="auto"/>
                      <w:kern w:val="0"/>
                      <w:szCs w:val="21"/>
                    </w:rPr>
                    <w:t>DA00</w:t>
                  </w:r>
                  <w:r>
                    <w:rPr>
                      <w:rFonts w:hint="eastAsia"/>
                      <w:color w:val="auto"/>
                      <w:kern w:val="0"/>
                      <w:szCs w:val="21"/>
                    </w:rPr>
                    <w:t>1</w:t>
                  </w:r>
                </w:p>
              </w:tc>
              <w:tc>
                <w:tcPr>
                  <w:tcW w:w="215" w:type="pct"/>
                  <w:tcBorders>
                    <w:tl2br w:val="nil"/>
                    <w:tr2bl w:val="nil"/>
                  </w:tcBorders>
                  <w:shd w:val="clear" w:color="auto" w:fill="auto"/>
                  <w:vAlign w:val="center"/>
                </w:tcPr>
                <w:p w14:paraId="6B268718">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kern w:val="0"/>
                      <w:szCs w:val="21"/>
                    </w:rPr>
                    <w:t>1</w:t>
                  </w:r>
                </w:p>
              </w:tc>
              <w:tc>
                <w:tcPr>
                  <w:tcW w:w="247" w:type="pct"/>
                  <w:tcBorders>
                    <w:tl2br w:val="nil"/>
                    <w:tr2bl w:val="nil"/>
                  </w:tcBorders>
                  <w:shd w:val="clear" w:color="auto" w:fill="auto"/>
                  <w:vAlign w:val="center"/>
                </w:tcPr>
                <w:p w14:paraId="71F4FA18">
                  <w:pPr>
                    <w:keepNext w:val="0"/>
                    <w:keepLines w:val="0"/>
                    <w:pageBreakBefore w:val="0"/>
                    <w:widowControl/>
                    <w:kinsoku/>
                    <w:wordWrap/>
                    <w:overflowPunct/>
                    <w:topLinePunct w:val="0"/>
                    <w:autoSpaceDE/>
                    <w:autoSpaceDN/>
                    <w:bidi w:val="0"/>
                    <w:adjustRightInd w:val="0"/>
                    <w:snapToGrid w:val="0"/>
                    <w:ind w:firstLine="0"/>
                    <w:jc w:val="center"/>
                    <w:textAlignment w:val="bottom"/>
                    <w:rPr>
                      <w:color w:val="auto"/>
                      <w:kern w:val="0"/>
                      <w:szCs w:val="21"/>
                    </w:rPr>
                  </w:pPr>
                  <w:r>
                    <w:rPr>
                      <w:rFonts w:hint="eastAsia"/>
                      <w:color w:val="auto"/>
                      <w:kern w:val="0"/>
                      <w:szCs w:val="21"/>
                    </w:rPr>
                    <w:t>20</w:t>
                  </w:r>
                </w:p>
              </w:tc>
            </w:tr>
            <w:tr w14:paraId="5601D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tcBorders>
                    <w:tl2br w:val="nil"/>
                    <w:tr2bl w:val="nil"/>
                  </w:tcBorders>
                  <w:vAlign w:val="center"/>
                </w:tcPr>
                <w:p w14:paraId="39D54835">
                  <w:pPr>
                    <w:keepNext w:val="0"/>
                    <w:keepLines w:val="0"/>
                    <w:pageBreakBefore w:val="0"/>
                    <w:kinsoku/>
                    <w:wordWrap/>
                    <w:overflowPunct/>
                    <w:topLinePunct w:val="0"/>
                    <w:autoSpaceDE/>
                    <w:autoSpaceDN/>
                    <w:bidi w:val="0"/>
                    <w:adjustRightInd w:val="0"/>
                    <w:snapToGrid w:val="0"/>
                    <w:ind w:left="-105" w:leftChars="-50" w:right="-105" w:rightChars="-50" w:firstLine="0"/>
                    <w:jc w:val="center"/>
                    <w:rPr>
                      <w:rFonts w:hint="eastAsia" w:eastAsia="宋体"/>
                      <w:color w:val="auto"/>
                      <w:kern w:val="0"/>
                      <w:szCs w:val="21"/>
                      <w:lang w:eastAsia="zh-CN"/>
                    </w:rPr>
                  </w:pPr>
                  <w:r>
                    <w:rPr>
                      <w:rFonts w:hint="eastAsia"/>
                      <w:color w:val="auto"/>
                      <w:kern w:val="0"/>
                      <w:szCs w:val="21"/>
                      <w:lang w:eastAsia="zh-CN"/>
                    </w:rPr>
                    <w:t>喷漆</w:t>
                  </w:r>
                </w:p>
              </w:tc>
              <w:tc>
                <w:tcPr>
                  <w:tcW w:w="333" w:type="pct"/>
                  <w:tcBorders>
                    <w:tl2br w:val="nil"/>
                    <w:tr2bl w:val="nil"/>
                  </w:tcBorders>
                  <w:shd w:val="clear" w:color="auto" w:fill="auto"/>
                  <w:vAlign w:val="center"/>
                </w:tcPr>
                <w:p w14:paraId="0D2D9554">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NMHC</w:t>
                  </w:r>
                </w:p>
              </w:tc>
              <w:tc>
                <w:tcPr>
                  <w:tcW w:w="243" w:type="pct"/>
                  <w:vMerge w:val="restart"/>
                  <w:tcBorders>
                    <w:tl2br w:val="nil"/>
                    <w:tr2bl w:val="nil"/>
                  </w:tcBorders>
                  <w:shd w:val="clear" w:color="auto" w:fill="auto"/>
                  <w:vAlign w:val="center"/>
                </w:tcPr>
                <w:p w14:paraId="4D786EC1">
                  <w:pPr>
                    <w:keepNext w:val="0"/>
                    <w:keepLines w:val="0"/>
                    <w:pageBreakBefore w:val="0"/>
                    <w:kinsoku/>
                    <w:wordWrap/>
                    <w:overflowPunct/>
                    <w:topLinePunct w:val="0"/>
                    <w:autoSpaceDE/>
                    <w:autoSpaceDN/>
                    <w:bidi w:val="0"/>
                    <w:adjustRightInd w:val="0"/>
                    <w:snapToGrid w:val="0"/>
                    <w:ind w:left="-105" w:leftChars="-50" w:right="-105" w:rightChars="-50" w:firstLine="0" w:firstLineChars="0"/>
                    <w:contextualSpacing/>
                    <w:jc w:val="center"/>
                    <w:rPr>
                      <w:color w:val="auto"/>
                      <w:kern w:val="0"/>
                      <w:szCs w:val="21"/>
                      <w:lang w:val="zh-CN"/>
                    </w:rPr>
                  </w:pPr>
                  <w:r>
                    <w:rPr>
                      <w:color w:val="auto"/>
                      <w:kern w:val="0"/>
                      <w:szCs w:val="21"/>
                      <w:lang w:val="zh-CN"/>
                    </w:rPr>
                    <w:t>有组织</w:t>
                  </w:r>
                </w:p>
              </w:tc>
              <w:tc>
                <w:tcPr>
                  <w:tcW w:w="280" w:type="pct"/>
                  <w:tcBorders>
                    <w:tl2br w:val="nil"/>
                    <w:tr2bl w:val="nil"/>
                  </w:tcBorders>
                  <w:shd w:val="clear" w:color="auto" w:fill="auto"/>
                  <w:vAlign w:val="center"/>
                </w:tcPr>
                <w:p w14:paraId="44FBCE91">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2"/>
                      <w:sz w:val="21"/>
                      <w:szCs w:val="21"/>
                      <w:lang w:val="en-US" w:eastAsia="zh-CN" w:bidi="ar-SA"/>
                    </w:rPr>
                  </w:pPr>
                  <w:r>
                    <w:rPr>
                      <w:rFonts w:hint="eastAsia"/>
                      <w:color w:val="auto"/>
                      <w:szCs w:val="21"/>
                    </w:rPr>
                    <w:t>7.</w:t>
                  </w:r>
                  <w:r>
                    <w:rPr>
                      <w:rFonts w:hint="eastAsia"/>
                      <w:color w:val="auto"/>
                      <w:szCs w:val="21"/>
                      <w:lang w:val="en-US" w:eastAsia="zh-CN"/>
                    </w:rPr>
                    <w:t>6</w:t>
                  </w:r>
                </w:p>
              </w:tc>
              <w:tc>
                <w:tcPr>
                  <w:tcW w:w="288" w:type="pct"/>
                  <w:tcBorders>
                    <w:tl2br w:val="nil"/>
                    <w:tr2bl w:val="nil"/>
                  </w:tcBorders>
                  <w:shd w:val="clear" w:color="auto" w:fill="auto"/>
                  <w:vAlign w:val="center"/>
                </w:tcPr>
                <w:p w14:paraId="07ED2116">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0.03</w:t>
                  </w:r>
                  <w:r>
                    <w:rPr>
                      <w:rFonts w:hint="eastAsia"/>
                      <w:color w:val="auto"/>
                      <w:kern w:val="0"/>
                      <w:szCs w:val="21"/>
                      <w:lang w:val="en-US" w:eastAsia="zh-CN"/>
                    </w:rPr>
                    <w:t>8</w:t>
                  </w:r>
                </w:p>
              </w:tc>
              <w:tc>
                <w:tcPr>
                  <w:tcW w:w="318" w:type="pct"/>
                  <w:tcBorders>
                    <w:tl2br w:val="nil"/>
                    <w:tr2bl w:val="nil"/>
                  </w:tcBorders>
                  <w:shd w:val="clear" w:color="auto" w:fill="auto"/>
                  <w:vAlign w:val="center"/>
                </w:tcPr>
                <w:p w14:paraId="5CCBE240">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0.0894</w:t>
                  </w:r>
                </w:p>
              </w:tc>
              <w:tc>
                <w:tcPr>
                  <w:tcW w:w="287" w:type="pct"/>
                  <w:vMerge w:val="restart"/>
                  <w:tcBorders>
                    <w:tl2br w:val="nil"/>
                    <w:tr2bl w:val="nil"/>
                  </w:tcBorders>
                  <w:vAlign w:val="center"/>
                </w:tcPr>
                <w:p w14:paraId="1A4EB377">
                  <w:pPr>
                    <w:keepNext w:val="0"/>
                    <w:keepLines w:val="0"/>
                    <w:pageBreakBefore w:val="0"/>
                    <w:kinsoku/>
                    <w:wordWrap/>
                    <w:overflowPunct/>
                    <w:topLinePunct w:val="0"/>
                    <w:autoSpaceDE/>
                    <w:autoSpaceDN/>
                    <w:bidi w:val="0"/>
                    <w:adjustRightInd w:val="0"/>
                    <w:snapToGrid w:val="0"/>
                    <w:ind w:left="-42" w:leftChars="-20" w:right="-42" w:rightChars="-20" w:firstLine="0"/>
                    <w:jc w:val="center"/>
                    <w:rPr>
                      <w:color w:val="auto"/>
                      <w:szCs w:val="21"/>
                    </w:rPr>
                  </w:pPr>
                  <w:r>
                    <w:rPr>
                      <w:color w:val="auto"/>
                      <w:szCs w:val="21"/>
                    </w:rPr>
                    <w:t>TA00</w:t>
                  </w:r>
                  <w:r>
                    <w:rPr>
                      <w:rFonts w:hint="eastAsia"/>
                      <w:color w:val="auto"/>
                      <w:szCs w:val="21"/>
                    </w:rPr>
                    <w:t>2</w:t>
                  </w:r>
                </w:p>
              </w:tc>
              <w:tc>
                <w:tcPr>
                  <w:tcW w:w="394" w:type="pct"/>
                  <w:vMerge w:val="restart"/>
                  <w:tcBorders>
                    <w:tl2br w:val="nil"/>
                    <w:tr2bl w:val="nil"/>
                  </w:tcBorders>
                  <w:vAlign w:val="center"/>
                </w:tcPr>
                <w:p w14:paraId="6BD169A0">
                  <w:pPr>
                    <w:keepNext w:val="0"/>
                    <w:keepLines w:val="0"/>
                    <w:pageBreakBefore w:val="0"/>
                    <w:kinsoku/>
                    <w:wordWrap/>
                    <w:overflowPunct/>
                    <w:topLinePunct w:val="0"/>
                    <w:autoSpaceDE/>
                    <w:autoSpaceDN/>
                    <w:bidi w:val="0"/>
                    <w:adjustRightInd w:val="0"/>
                    <w:snapToGrid w:val="0"/>
                    <w:ind w:left="-42" w:leftChars="-20" w:right="-42" w:rightChars="-20" w:firstLine="0"/>
                    <w:jc w:val="center"/>
                    <w:rPr>
                      <w:rFonts w:hint="eastAsia"/>
                      <w:color w:val="auto"/>
                      <w:szCs w:val="21"/>
                    </w:rPr>
                  </w:pPr>
                  <w:r>
                    <w:rPr>
                      <w:rFonts w:hint="eastAsia"/>
                      <w:color w:val="auto"/>
                      <w:szCs w:val="21"/>
                    </w:rPr>
                    <w:t>干式过滤棉+二级活性炭装置</w:t>
                  </w:r>
                </w:p>
              </w:tc>
              <w:tc>
                <w:tcPr>
                  <w:tcW w:w="271" w:type="pct"/>
                  <w:vMerge w:val="restart"/>
                  <w:tcBorders>
                    <w:tl2br w:val="nil"/>
                    <w:tr2bl w:val="nil"/>
                  </w:tcBorders>
                  <w:vAlign w:val="center"/>
                </w:tcPr>
                <w:p w14:paraId="19AB23D1">
                  <w:pPr>
                    <w:keepNext w:val="0"/>
                    <w:keepLines w:val="0"/>
                    <w:pageBreakBefore w:val="0"/>
                    <w:kinsoku/>
                    <w:wordWrap/>
                    <w:overflowPunct/>
                    <w:topLinePunct w:val="0"/>
                    <w:autoSpaceDE/>
                    <w:autoSpaceDN/>
                    <w:bidi w:val="0"/>
                    <w:adjustRightInd w:val="0"/>
                    <w:snapToGrid w:val="0"/>
                    <w:ind w:left="-42" w:leftChars="-20" w:right="-42" w:rightChars="-20" w:firstLine="0"/>
                    <w:jc w:val="center"/>
                    <w:rPr>
                      <w:rFonts w:hint="default" w:eastAsia="宋体"/>
                      <w:color w:val="auto"/>
                      <w:szCs w:val="21"/>
                      <w:lang w:val="en-US" w:eastAsia="zh-CN"/>
                    </w:rPr>
                  </w:pPr>
                  <w:r>
                    <w:rPr>
                      <w:rFonts w:hint="eastAsia"/>
                      <w:color w:val="auto"/>
                      <w:szCs w:val="21"/>
                      <w:lang w:val="en-US" w:eastAsia="zh-CN"/>
                    </w:rPr>
                    <w:t>12000</w:t>
                  </w:r>
                </w:p>
              </w:tc>
              <w:tc>
                <w:tcPr>
                  <w:tcW w:w="178" w:type="pct"/>
                  <w:vMerge w:val="restart"/>
                  <w:tcBorders>
                    <w:tl2br w:val="nil"/>
                    <w:tr2bl w:val="nil"/>
                  </w:tcBorders>
                  <w:vAlign w:val="center"/>
                </w:tcPr>
                <w:p w14:paraId="1CF2681A">
                  <w:pPr>
                    <w:keepNext w:val="0"/>
                    <w:keepLines w:val="0"/>
                    <w:pageBreakBefore w:val="0"/>
                    <w:kinsoku/>
                    <w:wordWrap/>
                    <w:overflowPunct/>
                    <w:topLinePunct w:val="0"/>
                    <w:autoSpaceDE/>
                    <w:autoSpaceDN/>
                    <w:bidi w:val="0"/>
                    <w:adjustRightInd w:val="0"/>
                    <w:snapToGrid w:val="0"/>
                    <w:ind w:left="-42" w:leftChars="-20" w:right="-42" w:rightChars="-20" w:firstLine="0"/>
                    <w:contextualSpacing/>
                    <w:jc w:val="center"/>
                    <w:rPr>
                      <w:rFonts w:hint="default" w:eastAsia="宋体"/>
                      <w:color w:val="auto"/>
                      <w:kern w:val="0"/>
                      <w:szCs w:val="21"/>
                      <w:lang w:val="en-US" w:eastAsia="zh-CN"/>
                    </w:rPr>
                  </w:pPr>
                  <w:r>
                    <w:rPr>
                      <w:rFonts w:hint="eastAsia"/>
                      <w:color w:val="auto"/>
                      <w:kern w:val="0"/>
                      <w:szCs w:val="21"/>
                      <w:lang w:val="en-US" w:eastAsia="zh-CN"/>
                    </w:rPr>
                    <w:t>95</w:t>
                  </w:r>
                </w:p>
              </w:tc>
              <w:tc>
                <w:tcPr>
                  <w:tcW w:w="236" w:type="pct"/>
                  <w:tcBorders>
                    <w:tl2br w:val="nil"/>
                    <w:tr2bl w:val="nil"/>
                  </w:tcBorders>
                  <w:vAlign w:val="center"/>
                </w:tcPr>
                <w:p w14:paraId="029CC247">
                  <w:pPr>
                    <w:keepNext w:val="0"/>
                    <w:keepLines w:val="0"/>
                    <w:pageBreakBefore w:val="0"/>
                    <w:kinsoku/>
                    <w:wordWrap/>
                    <w:overflowPunct/>
                    <w:topLinePunct w:val="0"/>
                    <w:autoSpaceDE/>
                    <w:autoSpaceDN/>
                    <w:bidi w:val="0"/>
                    <w:adjustRightInd w:val="0"/>
                    <w:snapToGrid w:val="0"/>
                    <w:ind w:left="-42" w:leftChars="-20" w:right="-42" w:rightChars="-20" w:firstLine="0"/>
                    <w:contextualSpacing/>
                    <w:jc w:val="center"/>
                    <w:rPr>
                      <w:rFonts w:hint="default" w:eastAsia="宋体"/>
                      <w:color w:val="auto"/>
                      <w:kern w:val="0"/>
                      <w:szCs w:val="21"/>
                      <w:lang w:val="en-US" w:eastAsia="zh-CN"/>
                    </w:rPr>
                  </w:pPr>
                  <w:r>
                    <w:rPr>
                      <w:rFonts w:hint="eastAsia"/>
                      <w:color w:val="auto"/>
                      <w:kern w:val="0"/>
                      <w:szCs w:val="21"/>
                      <w:lang w:val="en-US" w:eastAsia="zh-CN"/>
                    </w:rPr>
                    <w:t>90</w:t>
                  </w:r>
                </w:p>
              </w:tc>
              <w:tc>
                <w:tcPr>
                  <w:tcW w:w="311" w:type="pct"/>
                  <w:tcBorders>
                    <w:tl2br w:val="nil"/>
                    <w:tr2bl w:val="nil"/>
                  </w:tcBorders>
                  <w:vAlign w:val="center"/>
                </w:tcPr>
                <w:p w14:paraId="3EEC081E">
                  <w:pPr>
                    <w:keepNext w:val="0"/>
                    <w:keepLines w:val="0"/>
                    <w:pageBreakBefore w:val="0"/>
                    <w:kinsoku/>
                    <w:wordWrap/>
                    <w:overflowPunct/>
                    <w:topLinePunct w:val="0"/>
                    <w:autoSpaceDE/>
                    <w:autoSpaceDN/>
                    <w:bidi w:val="0"/>
                    <w:adjustRightInd w:val="0"/>
                    <w:snapToGrid w:val="0"/>
                    <w:ind w:left="-42" w:leftChars="-20" w:right="-42" w:rightChars="-20" w:firstLine="0"/>
                    <w:jc w:val="center"/>
                    <w:rPr>
                      <w:rFonts w:hint="eastAsia" w:eastAsia="宋体"/>
                      <w:color w:val="auto"/>
                      <w:szCs w:val="21"/>
                      <w:lang w:eastAsia="zh-CN"/>
                    </w:rPr>
                  </w:pPr>
                  <w:r>
                    <w:rPr>
                      <w:rFonts w:hint="eastAsia"/>
                      <w:color w:val="auto"/>
                      <w:szCs w:val="21"/>
                      <w:lang w:eastAsia="zh-CN"/>
                    </w:rPr>
                    <w:t>是</w:t>
                  </w:r>
                </w:p>
              </w:tc>
              <w:tc>
                <w:tcPr>
                  <w:tcW w:w="282" w:type="pct"/>
                  <w:tcBorders>
                    <w:tl2br w:val="nil"/>
                    <w:tr2bl w:val="nil"/>
                  </w:tcBorders>
                  <w:shd w:val="clear" w:color="auto" w:fill="auto"/>
                  <w:vAlign w:val="center"/>
                </w:tcPr>
                <w:p w14:paraId="4D8B3D74">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0.53-11.2</w:t>
                  </w:r>
                </w:p>
              </w:tc>
              <w:tc>
                <w:tcPr>
                  <w:tcW w:w="334" w:type="pct"/>
                  <w:tcBorders>
                    <w:tl2br w:val="nil"/>
                    <w:tr2bl w:val="nil"/>
                  </w:tcBorders>
                  <w:shd w:val="clear" w:color="auto" w:fill="auto"/>
                  <w:vAlign w:val="center"/>
                </w:tcPr>
                <w:p w14:paraId="4E0223CE">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0.0063-0.134</w:t>
                  </w:r>
                </w:p>
              </w:tc>
              <w:tc>
                <w:tcPr>
                  <w:tcW w:w="313" w:type="pct"/>
                  <w:tcBorders>
                    <w:tl2br w:val="nil"/>
                    <w:tr2bl w:val="nil"/>
                  </w:tcBorders>
                  <w:shd w:val="clear" w:color="auto" w:fill="auto"/>
                  <w:vAlign w:val="center"/>
                </w:tcPr>
                <w:p w14:paraId="4C33C6AB">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0.0214</w:t>
                  </w:r>
                </w:p>
              </w:tc>
              <w:tc>
                <w:tcPr>
                  <w:tcW w:w="230" w:type="pct"/>
                  <w:vMerge w:val="restart"/>
                  <w:tcBorders>
                    <w:tl2br w:val="nil"/>
                    <w:tr2bl w:val="nil"/>
                  </w:tcBorders>
                  <w:shd w:val="clear" w:color="auto" w:fill="auto"/>
                  <w:vAlign w:val="center"/>
                </w:tcPr>
                <w:p w14:paraId="7F50DF9F">
                  <w:pPr>
                    <w:keepNext w:val="0"/>
                    <w:keepLines w:val="0"/>
                    <w:pageBreakBefore w:val="0"/>
                    <w:kinsoku/>
                    <w:wordWrap/>
                    <w:overflowPunct/>
                    <w:topLinePunct w:val="0"/>
                    <w:autoSpaceDE/>
                    <w:autoSpaceDN/>
                    <w:bidi w:val="0"/>
                    <w:adjustRightInd w:val="0"/>
                    <w:snapToGrid w:val="0"/>
                    <w:ind w:left="-42" w:leftChars="-20" w:right="-42" w:rightChars="-20" w:firstLine="0"/>
                    <w:contextualSpacing/>
                    <w:jc w:val="center"/>
                    <w:rPr>
                      <w:color w:val="auto"/>
                      <w:kern w:val="0"/>
                      <w:szCs w:val="21"/>
                    </w:rPr>
                  </w:pPr>
                  <w:r>
                    <w:rPr>
                      <w:color w:val="auto"/>
                      <w:kern w:val="0"/>
                      <w:szCs w:val="21"/>
                    </w:rPr>
                    <w:t>DA00</w:t>
                  </w:r>
                  <w:r>
                    <w:rPr>
                      <w:rFonts w:hint="eastAsia"/>
                      <w:color w:val="auto"/>
                      <w:kern w:val="0"/>
                      <w:szCs w:val="21"/>
                    </w:rPr>
                    <w:t>2</w:t>
                  </w:r>
                </w:p>
              </w:tc>
              <w:tc>
                <w:tcPr>
                  <w:tcW w:w="215" w:type="pct"/>
                  <w:tcBorders>
                    <w:tl2br w:val="nil"/>
                    <w:tr2bl w:val="nil"/>
                  </w:tcBorders>
                  <w:shd w:val="clear" w:color="auto" w:fill="auto"/>
                  <w:vAlign w:val="center"/>
                </w:tcPr>
                <w:p w14:paraId="5F490566">
                  <w:pPr>
                    <w:keepNext w:val="0"/>
                    <w:keepLines w:val="0"/>
                    <w:pageBreakBefore w:val="0"/>
                    <w:kinsoku/>
                    <w:wordWrap/>
                    <w:overflowPunct/>
                    <w:topLinePunct w:val="0"/>
                    <w:autoSpaceDE/>
                    <w:autoSpaceDN/>
                    <w:bidi w:val="0"/>
                    <w:adjustRightInd w:val="0"/>
                    <w:snapToGrid w:val="0"/>
                    <w:ind w:left="-42" w:leftChars="-20" w:right="-42" w:rightChars="-2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2.0</w:t>
                  </w:r>
                </w:p>
              </w:tc>
              <w:tc>
                <w:tcPr>
                  <w:tcW w:w="247" w:type="pct"/>
                  <w:tcBorders>
                    <w:tl2br w:val="nil"/>
                    <w:tr2bl w:val="nil"/>
                  </w:tcBorders>
                  <w:shd w:val="clear" w:color="auto" w:fill="auto"/>
                  <w:vAlign w:val="center"/>
                </w:tcPr>
                <w:p w14:paraId="720174E1">
                  <w:pPr>
                    <w:keepNext w:val="0"/>
                    <w:keepLines w:val="0"/>
                    <w:pageBreakBefore w:val="0"/>
                    <w:kinsoku/>
                    <w:wordWrap/>
                    <w:overflowPunct/>
                    <w:topLinePunct w:val="0"/>
                    <w:autoSpaceDE/>
                    <w:autoSpaceDN/>
                    <w:bidi w:val="0"/>
                    <w:adjustRightInd w:val="0"/>
                    <w:snapToGrid w:val="0"/>
                    <w:ind w:left="-42" w:leftChars="-20" w:right="-42" w:rightChars="-2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50</w:t>
                  </w:r>
                </w:p>
              </w:tc>
            </w:tr>
            <w:tr w14:paraId="339B61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tcBorders>
                    <w:tl2br w:val="nil"/>
                    <w:tr2bl w:val="nil"/>
                  </w:tcBorders>
                  <w:vAlign w:val="center"/>
                </w:tcPr>
                <w:p w14:paraId="6FE12BAD">
                  <w:pPr>
                    <w:keepNext w:val="0"/>
                    <w:keepLines w:val="0"/>
                    <w:pageBreakBefore w:val="0"/>
                    <w:kinsoku/>
                    <w:wordWrap/>
                    <w:overflowPunct/>
                    <w:topLinePunct w:val="0"/>
                    <w:autoSpaceDE/>
                    <w:autoSpaceDN/>
                    <w:bidi w:val="0"/>
                    <w:adjustRightInd w:val="0"/>
                    <w:snapToGrid w:val="0"/>
                    <w:ind w:left="-105" w:leftChars="-50" w:right="-105" w:rightChars="-50" w:firstLine="0"/>
                    <w:jc w:val="center"/>
                    <w:rPr>
                      <w:rFonts w:hint="eastAsia"/>
                      <w:color w:val="auto"/>
                      <w:kern w:val="0"/>
                      <w:szCs w:val="21"/>
                      <w:lang w:eastAsia="zh-CN"/>
                    </w:rPr>
                  </w:pPr>
                </w:p>
              </w:tc>
              <w:tc>
                <w:tcPr>
                  <w:tcW w:w="333" w:type="pct"/>
                  <w:tcBorders>
                    <w:tl2br w:val="nil"/>
                    <w:tr2bl w:val="nil"/>
                  </w:tcBorders>
                  <w:shd w:val="clear" w:color="auto" w:fill="auto"/>
                  <w:vAlign w:val="center"/>
                </w:tcPr>
                <w:p w14:paraId="1F6C9B95">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color w:val="auto"/>
                      <w:kern w:val="2"/>
                      <w:sz w:val="21"/>
                      <w:szCs w:val="21"/>
                      <w:lang w:val="en-US" w:eastAsia="zh-CN" w:bidi="ar-SA"/>
                    </w:rPr>
                  </w:pPr>
                  <w:r>
                    <w:rPr>
                      <w:color w:val="auto"/>
                      <w:szCs w:val="21"/>
                    </w:rPr>
                    <w:t>颗粒物</w:t>
                  </w:r>
                </w:p>
              </w:tc>
              <w:tc>
                <w:tcPr>
                  <w:tcW w:w="243" w:type="pct"/>
                  <w:vMerge w:val="continue"/>
                  <w:tcBorders>
                    <w:tl2br w:val="nil"/>
                    <w:tr2bl w:val="nil"/>
                  </w:tcBorders>
                  <w:shd w:val="clear" w:color="auto" w:fill="auto"/>
                  <w:vAlign w:val="center"/>
                </w:tcPr>
                <w:p w14:paraId="6BC674FD">
                  <w:pPr>
                    <w:keepNext w:val="0"/>
                    <w:keepLines w:val="0"/>
                    <w:pageBreakBefore w:val="0"/>
                    <w:kinsoku/>
                    <w:wordWrap/>
                    <w:overflowPunct/>
                    <w:topLinePunct w:val="0"/>
                    <w:autoSpaceDE/>
                    <w:autoSpaceDN/>
                    <w:bidi w:val="0"/>
                    <w:adjustRightInd w:val="0"/>
                    <w:snapToGrid w:val="0"/>
                    <w:ind w:left="-105" w:leftChars="-50" w:right="-105" w:rightChars="-50" w:firstLine="0" w:firstLineChars="0"/>
                    <w:contextualSpacing/>
                    <w:jc w:val="center"/>
                    <w:rPr>
                      <w:color w:val="auto"/>
                      <w:kern w:val="0"/>
                      <w:szCs w:val="21"/>
                      <w:lang w:val="zh-CN"/>
                    </w:rPr>
                  </w:pPr>
                </w:p>
              </w:tc>
              <w:tc>
                <w:tcPr>
                  <w:tcW w:w="280" w:type="pct"/>
                  <w:tcBorders>
                    <w:tl2br w:val="nil"/>
                    <w:tr2bl w:val="nil"/>
                  </w:tcBorders>
                  <w:shd w:val="clear" w:color="auto" w:fill="auto"/>
                  <w:vAlign w:val="center"/>
                </w:tcPr>
                <w:p w14:paraId="7925D411">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34</w:t>
                  </w:r>
                </w:p>
              </w:tc>
              <w:tc>
                <w:tcPr>
                  <w:tcW w:w="288" w:type="pct"/>
                  <w:tcBorders>
                    <w:tl2br w:val="nil"/>
                    <w:tr2bl w:val="nil"/>
                  </w:tcBorders>
                  <w:shd w:val="clear" w:color="auto" w:fill="auto"/>
                  <w:vAlign w:val="center"/>
                </w:tcPr>
                <w:p w14:paraId="2972A8B9">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0.1698</w:t>
                  </w:r>
                </w:p>
              </w:tc>
              <w:tc>
                <w:tcPr>
                  <w:tcW w:w="318" w:type="pct"/>
                  <w:tcBorders>
                    <w:tl2br w:val="nil"/>
                    <w:tr2bl w:val="nil"/>
                  </w:tcBorders>
                  <w:shd w:val="clear" w:color="auto" w:fill="auto"/>
                  <w:vAlign w:val="center"/>
                </w:tcPr>
                <w:p w14:paraId="0BAD29AA">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0.399</w:t>
                  </w:r>
                </w:p>
              </w:tc>
              <w:tc>
                <w:tcPr>
                  <w:tcW w:w="287" w:type="pct"/>
                  <w:vMerge w:val="continue"/>
                  <w:tcBorders>
                    <w:tl2br w:val="nil"/>
                    <w:tr2bl w:val="nil"/>
                  </w:tcBorders>
                  <w:vAlign w:val="center"/>
                </w:tcPr>
                <w:p w14:paraId="1519BB17">
                  <w:pPr>
                    <w:keepNext w:val="0"/>
                    <w:keepLines w:val="0"/>
                    <w:pageBreakBefore w:val="0"/>
                    <w:kinsoku/>
                    <w:wordWrap/>
                    <w:overflowPunct/>
                    <w:topLinePunct w:val="0"/>
                    <w:autoSpaceDE/>
                    <w:autoSpaceDN/>
                    <w:bidi w:val="0"/>
                    <w:adjustRightInd w:val="0"/>
                    <w:snapToGrid w:val="0"/>
                    <w:ind w:left="-42" w:leftChars="-20" w:right="-42" w:rightChars="-20" w:firstLine="0"/>
                    <w:jc w:val="center"/>
                    <w:rPr>
                      <w:color w:val="auto"/>
                      <w:szCs w:val="21"/>
                    </w:rPr>
                  </w:pPr>
                </w:p>
              </w:tc>
              <w:tc>
                <w:tcPr>
                  <w:tcW w:w="394" w:type="pct"/>
                  <w:vMerge w:val="continue"/>
                  <w:tcBorders>
                    <w:tl2br w:val="nil"/>
                    <w:tr2bl w:val="nil"/>
                  </w:tcBorders>
                  <w:vAlign w:val="center"/>
                </w:tcPr>
                <w:p w14:paraId="7CC04995">
                  <w:pPr>
                    <w:keepNext w:val="0"/>
                    <w:keepLines w:val="0"/>
                    <w:pageBreakBefore w:val="0"/>
                    <w:kinsoku/>
                    <w:wordWrap/>
                    <w:overflowPunct/>
                    <w:topLinePunct w:val="0"/>
                    <w:autoSpaceDE/>
                    <w:autoSpaceDN/>
                    <w:bidi w:val="0"/>
                    <w:adjustRightInd w:val="0"/>
                    <w:snapToGrid w:val="0"/>
                    <w:ind w:left="-42" w:leftChars="-20" w:right="-42" w:rightChars="-20" w:firstLine="0"/>
                    <w:jc w:val="center"/>
                    <w:rPr>
                      <w:rFonts w:hint="eastAsia"/>
                      <w:color w:val="auto"/>
                      <w:szCs w:val="21"/>
                    </w:rPr>
                  </w:pPr>
                </w:p>
              </w:tc>
              <w:tc>
                <w:tcPr>
                  <w:tcW w:w="271" w:type="pct"/>
                  <w:vMerge w:val="continue"/>
                  <w:tcBorders>
                    <w:tl2br w:val="nil"/>
                    <w:tr2bl w:val="nil"/>
                  </w:tcBorders>
                  <w:vAlign w:val="center"/>
                </w:tcPr>
                <w:p w14:paraId="1C648A25">
                  <w:pPr>
                    <w:keepNext w:val="0"/>
                    <w:keepLines w:val="0"/>
                    <w:pageBreakBefore w:val="0"/>
                    <w:kinsoku/>
                    <w:wordWrap/>
                    <w:overflowPunct/>
                    <w:topLinePunct w:val="0"/>
                    <w:autoSpaceDE/>
                    <w:autoSpaceDN/>
                    <w:bidi w:val="0"/>
                    <w:adjustRightInd w:val="0"/>
                    <w:snapToGrid w:val="0"/>
                    <w:ind w:left="-42" w:leftChars="-20" w:right="-42" w:rightChars="-20" w:firstLine="0"/>
                    <w:jc w:val="center"/>
                    <w:rPr>
                      <w:rFonts w:hint="eastAsia"/>
                      <w:color w:val="auto"/>
                      <w:szCs w:val="21"/>
                    </w:rPr>
                  </w:pPr>
                </w:p>
              </w:tc>
              <w:tc>
                <w:tcPr>
                  <w:tcW w:w="178" w:type="pct"/>
                  <w:vMerge w:val="continue"/>
                  <w:tcBorders>
                    <w:tl2br w:val="nil"/>
                    <w:tr2bl w:val="nil"/>
                  </w:tcBorders>
                  <w:vAlign w:val="center"/>
                </w:tcPr>
                <w:p w14:paraId="64C89777">
                  <w:pPr>
                    <w:keepNext w:val="0"/>
                    <w:keepLines w:val="0"/>
                    <w:pageBreakBefore w:val="0"/>
                    <w:kinsoku/>
                    <w:wordWrap/>
                    <w:overflowPunct/>
                    <w:topLinePunct w:val="0"/>
                    <w:autoSpaceDE/>
                    <w:autoSpaceDN/>
                    <w:bidi w:val="0"/>
                    <w:adjustRightInd w:val="0"/>
                    <w:snapToGrid w:val="0"/>
                    <w:ind w:left="-42" w:leftChars="-20" w:right="-42" w:rightChars="-20" w:firstLine="0"/>
                    <w:contextualSpacing/>
                    <w:jc w:val="center"/>
                    <w:rPr>
                      <w:rFonts w:hint="default" w:eastAsia="宋体"/>
                      <w:color w:val="auto"/>
                      <w:kern w:val="0"/>
                      <w:szCs w:val="21"/>
                      <w:lang w:val="en-US" w:eastAsia="zh-CN"/>
                    </w:rPr>
                  </w:pPr>
                </w:p>
              </w:tc>
              <w:tc>
                <w:tcPr>
                  <w:tcW w:w="236" w:type="pct"/>
                  <w:tcBorders>
                    <w:tl2br w:val="nil"/>
                    <w:tr2bl w:val="nil"/>
                  </w:tcBorders>
                  <w:vAlign w:val="center"/>
                </w:tcPr>
                <w:p w14:paraId="560E84AD">
                  <w:pPr>
                    <w:keepNext w:val="0"/>
                    <w:keepLines w:val="0"/>
                    <w:pageBreakBefore w:val="0"/>
                    <w:kinsoku/>
                    <w:wordWrap/>
                    <w:overflowPunct/>
                    <w:topLinePunct w:val="0"/>
                    <w:autoSpaceDE/>
                    <w:autoSpaceDN/>
                    <w:bidi w:val="0"/>
                    <w:adjustRightInd w:val="0"/>
                    <w:snapToGrid w:val="0"/>
                    <w:ind w:left="-42" w:leftChars="-20" w:right="-42" w:rightChars="-20" w:firstLine="0"/>
                    <w:contextualSpacing/>
                    <w:jc w:val="center"/>
                    <w:rPr>
                      <w:rFonts w:hint="default" w:eastAsia="宋体"/>
                      <w:color w:val="auto"/>
                      <w:kern w:val="0"/>
                      <w:szCs w:val="21"/>
                      <w:lang w:val="en-US" w:eastAsia="zh-CN"/>
                    </w:rPr>
                  </w:pPr>
                  <w:r>
                    <w:rPr>
                      <w:rFonts w:hint="eastAsia"/>
                      <w:color w:val="auto"/>
                      <w:kern w:val="0"/>
                      <w:szCs w:val="21"/>
                      <w:lang w:val="en-US" w:eastAsia="zh-CN"/>
                    </w:rPr>
                    <w:t>90</w:t>
                  </w:r>
                </w:p>
              </w:tc>
              <w:tc>
                <w:tcPr>
                  <w:tcW w:w="311" w:type="pct"/>
                  <w:tcBorders>
                    <w:tl2br w:val="nil"/>
                    <w:tr2bl w:val="nil"/>
                  </w:tcBorders>
                  <w:vAlign w:val="center"/>
                </w:tcPr>
                <w:p w14:paraId="3B671A48">
                  <w:pPr>
                    <w:keepNext w:val="0"/>
                    <w:keepLines w:val="0"/>
                    <w:pageBreakBefore w:val="0"/>
                    <w:kinsoku/>
                    <w:wordWrap/>
                    <w:overflowPunct/>
                    <w:topLinePunct w:val="0"/>
                    <w:autoSpaceDE/>
                    <w:autoSpaceDN/>
                    <w:bidi w:val="0"/>
                    <w:adjustRightInd w:val="0"/>
                    <w:snapToGrid w:val="0"/>
                    <w:ind w:left="-42" w:leftChars="-20" w:right="-42" w:rightChars="-20" w:firstLine="0"/>
                    <w:jc w:val="center"/>
                    <w:rPr>
                      <w:rFonts w:hint="eastAsia" w:eastAsia="宋体"/>
                      <w:color w:val="auto"/>
                      <w:szCs w:val="21"/>
                      <w:lang w:eastAsia="zh-CN"/>
                    </w:rPr>
                  </w:pPr>
                  <w:r>
                    <w:rPr>
                      <w:rFonts w:hint="eastAsia"/>
                      <w:color w:val="auto"/>
                      <w:szCs w:val="21"/>
                      <w:lang w:eastAsia="zh-CN"/>
                    </w:rPr>
                    <w:t>是</w:t>
                  </w:r>
                </w:p>
              </w:tc>
              <w:tc>
                <w:tcPr>
                  <w:tcW w:w="282" w:type="pct"/>
                  <w:tcBorders>
                    <w:tl2br w:val="nil"/>
                    <w:tr2bl w:val="nil"/>
                  </w:tcBorders>
                  <w:shd w:val="clear" w:color="auto" w:fill="auto"/>
                  <w:vAlign w:val="center"/>
                </w:tcPr>
                <w:p w14:paraId="2E9F7028">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1.42</w:t>
                  </w:r>
                </w:p>
              </w:tc>
              <w:tc>
                <w:tcPr>
                  <w:tcW w:w="334" w:type="pct"/>
                  <w:tcBorders>
                    <w:tl2br w:val="nil"/>
                    <w:tr2bl w:val="nil"/>
                  </w:tcBorders>
                  <w:shd w:val="clear" w:color="auto" w:fill="auto"/>
                  <w:vAlign w:val="center"/>
                </w:tcPr>
                <w:p w14:paraId="611EEB14">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0.017</w:t>
                  </w:r>
                </w:p>
              </w:tc>
              <w:tc>
                <w:tcPr>
                  <w:tcW w:w="313" w:type="pct"/>
                  <w:tcBorders>
                    <w:tl2br w:val="nil"/>
                    <w:tr2bl w:val="nil"/>
                  </w:tcBorders>
                  <w:shd w:val="clear" w:color="auto" w:fill="auto"/>
                  <w:vAlign w:val="center"/>
                </w:tcPr>
                <w:p w14:paraId="51A84F5A">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0.0399</w:t>
                  </w:r>
                </w:p>
              </w:tc>
              <w:tc>
                <w:tcPr>
                  <w:tcW w:w="230" w:type="pct"/>
                  <w:vMerge w:val="continue"/>
                  <w:tcBorders>
                    <w:tl2br w:val="nil"/>
                    <w:tr2bl w:val="nil"/>
                  </w:tcBorders>
                  <w:shd w:val="clear" w:color="auto" w:fill="auto"/>
                  <w:vAlign w:val="center"/>
                </w:tcPr>
                <w:p w14:paraId="7CA91557">
                  <w:pPr>
                    <w:keepNext w:val="0"/>
                    <w:keepLines w:val="0"/>
                    <w:pageBreakBefore w:val="0"/>
                    <w:kinsoku/>
                    <w:wordWrap/>
                    <w:overflowPunct/>
                    <w:topLinePunct w:val="0"/>
                    <w:autoSpaceDE/>
                    <w:autoSpaceDN/>
                    <w:bidi w:val="0"/>
                    <w:adjustRightInd w:val="0"/>
                    <w:snapToGrid w:val="0"/>
                    <w:ind w:left="-42" w:leftChars="-20" w:right="-42" w:rightChars="-20" w:firstLine="0"/>
                    <w:contextualSpacing/>
                    <w:jc w:val="center"/>
                    <w:rPr>
                      <w:color w:val="auto"/>
                      <w:kern w:val="0"/>
                      <w:szCs w:val="21"/>
                    </w:rPr>
                  </w:pPr>
                </w:p>
              </w:tc>
              <w:tc>
                <w:tcPr>
                  <w:tcW w:w="215" w:type="pct"/>
                  <w:tcBorders>
                    <w:tl2br w:val="nil"/>
                    <w:tr2bl w:val="nil"/>
                  </w:tcBorders>
                  <w:shd w:val="clear" w:color="auto" w:fill="auto"/>
                  <w:vAlign w:val="center"/>
                </w:tcPr>
                <w:p w14:paraId="7A9989C6">
                  <w:pPr>
                    <w:keepNext w:val="0"/>
                    <w:keepLines w:val="0"/>
                    <w:pageBreakBefore w:val="0"/>
                    <w:kinsoku/>
                    <w:wordWrap/>
                    <w:overflowPunct/>
                    <w:topLinePunct w:val="0"/>
                    <w:autoSpaceDE/>
                    <w:autoSpaceDN/>
                    <w:bidi w:val="0"/>
                    <w:adjustRightInd w:val="0"/>
                    <w:snapToGrid w:val="0"/>
                    <w:ind w:left="-42" w:leftChars="-20" w:right="-42" w:rightChars="-2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0.4</w:t>
                  </w:r>
                </w:p>
              </w:tc>
              <w:tc>
                <w:tcPr>
                  <w:tcW w:w="247" w:type="pct"/>
                  <w:tcBorders>
                    <w:tl2br w:val="nil"/>
                    <w:tr2bl w:val="nil"/>
                  </w:tcBorders>
                  <w:shd w:val="clear" w:color="auto" w:fill="auto"/>
                  <w:vAlign w:val="center"/>
                </w:tcPr>
                <w:p w14:paraId="00D95673">
                  <w:pPr>
                    <w:keepNext w:val="0"/>
                    <w:keepLines w:val="0"/>
                    <w:pageBreakBefore w:val="0"/>
                    <w:kinsoku/>
                    <w:wordWrap/>
                    <w:overflowPunct/>
                    <w:topLinePunct w:val="0"/>
                    <w:autoSpaceDE/>
                    <w:autoSpaceDN/>
                    <w:bidi w:val="0"/>
                    <w:adjustRightInd w:val="0"/>
                    <w:snapToGrid w:val="0"/>
                    <w:ind w:left="-42" w:leftChars="-20" w:right="-42" w:rightChars="-2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10</w:t>
                  </w:r>
                </w:p>
              </w:tc>
            </w:tr>
            <w:tr w14:paraId="493A60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tcBorders>
                    <w:tl2br w:val="nil"/>
                    <w:tr2bl w:val="nil"/>
                  </w:tcBorders>
                  <w:shd w:val="clear" w:color="auto" w:fill="auto"/>
                  <w:vAlign w:val="center"/>
                </w:tcPr>
                <w:p w14:paraId="25FCE083">
                  <w:pPr>
                    <w:keepNext w:val="0"/>
                    <w:keepLines w:val="0"/>
                    <w:pageBreakBefore w:val="0"/>
                    <w:kinsoku/>
                    <w:wordWrap/>
                    <w:overflowPunct/>
                    <w:topLinePunct w:val="0"/>
                    <w:autoSpaceDE/>
                    <w:autoSpaceDN/>
                    <w:bidi w:val="0"/>
                    <w:adjustRightInd w:val="0"/>
                    <w:snapToGrid w:val="0"/>
                    <w:ind w:left="-105" w:leftChars="-50" w:right="-105" w:rightChars="-5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浸漆</w:t>
                  </w:r>
                </w:p>
              </w:tc>
              <w:tc>
                <w:tcPr>
                  <w:tcW w:w="333" w:type="pct"/>
                  <w:tcBorders>
                    <w:tl2br w:val="nil"/>
                    <w:tr2bl w:val="nil"/>
                  </w:tcBorders>
                  <w:shd w:val="clear" w:color="auto" w:fill="auto"/>
                  <w:vAlign w:val="center"/>
                </w:tcPr>
                <w:p w14:paraId="65A190D5">
                  <w:pPr>
                    <w:keepNext w:val="0"/>
                    <w:keepLines w:val="0"/>
                    <w:pageBreakBefore w:val="0"/>
                    <w:kinsoku/>
                    <w:wordWrap/>
                    <w:overflowPunct/>
                    <w:topLinePunct w:val="0"/>
                    <w:autoSpaceDE/>
                    <w:autoSpaceDN/>
                    <w:bidi w:val="0"/>
                    <w:adjustRightInd w:val="0"/>
                    <w:snapToGrid w:val="0"/>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Cs w:val="21"/>
                    </w:rPr>
                    <w:t>NMHC</w:t>
                  </w:r>
                </w:p>
              </w:tc>
              <w:tc>
                <w:tcPr>
                  <w:tcW w:w="243" w:type="pct"/>
                  <w:tcBorders>
                    <w:tl2br w:val="nil"/>
                    <w:tr2bl w:val="nil"/>
                  </w:tcBorders>
                  <w:shd w:val="clear" w:color="auto" w:fill="auto"/>
                  <w:vAlign w:val="center"/>
                </w:tcPr>
                <w:p w14:paraId="4C8590BA">
                  <w:pPr>
                    <w:keepNext w:val="0"/>
                    <w:keepLines w:val="0"/>
                    <w:pageBreakBefore w:val="0"/>
                    <w:kinsoku/>
                    <w:wordWrap/>
                    <w:overflowPunct/>
                    <w:topLinePunct w:val="0"/>
                    <w:autoSpaceDE/>
                    <w:autoSpaceDN/>
                    <w:bidi w:val="0"/>
                    <w:adjustRightInd w:val="0"/>
                    <w:snapToGrid w:val="0"/>
                    <w:ind w:left="-105" w:leftChars="-50" w:right="-105" w:rightChars="-50" w:firstLine="0" w:firstLineChars="0"/>
                    <w:contextualSpacing/>
                    <w:jc w:val="center"/>
                    <w:rPr>
                      <w:rFonts w:ascii="Times New Roman" w:hAnsi="Times New Roman" w:eastAsia="宋体" w:cs="Times New Roman"/>
                      <w:color w:val="auto"/>
                      <w:kern w:val="0"/>
                      <w:sz w:val="21"/>
                      <w:szCs w:val="21"/>
                      <w:lang w:val="zh-CN" w:eastAsia="zh-CN" w:bidi="ar-SA"/>
                    </w:rPr>
                  </w:pPr>
                  <w:r>
                    <w:rPr>
                      <w:color w:val="auto"/>
                      <w:kern w:val="0"/>
                      <w:szCs w:val="21"/>
                      <w:lang w:val="zh-CN"/>
                    </w:rPr>
                    <w:t>有组织</w:t>
                  </w:r>
                </w:p>
              </w:tc>
              <w:tc>
                <w:tcPr>
                  <w:tcW w:w="280" w:type="pct"/>
                  <w:tcBorders>
                    <w:tl2br w:val="nil"/>
                    <w:tr2bl w:val="nil"/>
                  </w:tcBorders>
                  <w:shd w:val="clear" w:color="auto" w:fill="auto"/>
                  <w:vAlign w:val="center"/>
                </w:tcPr>
                <w:p w14:paraId="5D7DC5AE">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2"/>
                      <w:sz w:val="21"/>
                      <w:szCs w:val="21"/>
                      <w:lang w:val="en-US" w:eastAsia="zh-CN" w:bidi="ar-SA"/>
                    </w:rPr>
                  </w:pPr>
                  <w:r>
                    <w:rPr>
                      <w:rFonts w:hint="eastAsia"/>
                      <w:color w:val="auto"/>
                      <w:szCs w:val="21"/>
                    </w:rPr>
                    <w:t>2.</w:t>
                  </w:r>
                  <w:r>
                    <w:rPr>
                      <w:rFonts w:hint="eastAsia"/>
                      <w:color w:val="auto"/>
                      <w:szCs w:val="21"/>
                      <w:lang w:val="en-US" w:eastAsia="zh-CN"/>
                    </w:rPr>
                    <w:t>9</w:t>
                  </w:r>
                </w:p>
              </w:tc>
              <w:tc>
                <w:tcPr>
                  <w:tcW w:w="288" w:type="pct"/>
                  <w:tcBorders>
                    <w:tl2br w:val="nil"/>
                    <w:tr2bl w:val="nil"/>
                  </w:tcBorders>
                  <w:shd w:val="clear" w:color="auto" w:fill="auto"/>
                  <w:vAlign w:val="center"/>
                </w:tcPr>
                <w:p w14:paraId="4BE0B8C0">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2"/>
                      <w:sz w:val="21"/>
                      <w:szCs w:val="21"/>
                      <w:lang w:val="en-US" w:eastAsia="zh-CN" w:bidi="ar-SA"/>
                    </w:rPr>
                  </w:pPr>
                  <w:r>
                    <w:rPr>
                      <w:rFonts w:hint="eastAsia"/>
                      <w:color w:val="auto"/>
                      <w:szCs w:val="21"/>
                    </w:rPr>
                    <w:t>0.005</w:t>
                  </w:r>
                  <w:r>
                    <w:rPr>
                      <w:rFonts w:hint="eastAsia"/>
                      <w:color w:val="auto"/>
                      <w:szCs w:val="21"/>
                      <w:lang w:val="en-US" w:eastAsia="zh-CN"/>
                    </w:rPr>
                    <w:t>8</w:t>
                  </w:r>
                </w:p>
              </w:tc>
              <w:tc>
                <w:tcPr>
                  <w:tcW w:w="318" w:type="pct"/>
                  <w:tcBorders>
                    <w:tl2br w:val="nil"/>
                    <w:tr2bl w:val="nil"/>
                  </w:tcBorders>
                  <w:shd w:val="clear" w:color="auto" w:fill="auto"/>
                  <w:vAlign w:val="center"/>
                </w:tcPr>
                <w:p w14:paraId="57A5C88C">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2"/>
                      <w:sz w:val="21"/>
                      <w:szCs w:val="21"/>
                      <w:lang w:val="en-US" w:eastAsia="zh-CN" w:bidi="ar-SA"/>
                    </w:rPr>
                  </w:pPr>
                  <w:r>
                    <w:rPr>
                      <w:rFonts w:hint="eastAsia"/>
                      <w:color w:val="auto"/>
                      <w:szCs w:val="21"/>
                    </w:rPr>
                    <w:t>0.0137</w:t>
                  </w:r>
                </w:p>
              </w:tc>
              <w:tc>
                <w:tcPr>
                  <w:tcW w:w="287" w:type="pct"/>
                  <w:vMerge w:val="continue"/>
                  <w:tcBorders>
                    <w:tl2br w:val="nil"/>
                    <w:tr2bl w:val="nil"/>
                  </w:tcBorders>
                  <w:shd w:val="clear" w:color="auto" w:fill="auto"/>
                  <w:vAlign w:val="center"/>
                </w:tcPr>
                <w:p w14:paraId="0CDC85FC">
                  <w:pPr>
                    <w:keepNext w:val="0"/>
                    <w:keepLines w:val="0"/>
                    <w:pageBreakBefore w:val="0"/>
                    <w:kinsoku/>
                    <w:wordWrap/>
                    <w:overflowPunct/>
                    <w:topLinePunct w:val="0"/>
                    <w:autoSpaceDE/>
                    <w:autoSpaceDN/>
                    <w:bidi w:val="0"/>
                    <w:adjustRightInd w:val="0"/>
                    <w:snapToGrid w:val="0"/>
                    <w:ind w:left="-42" w:leftChars="-20" w:right="-42" w:rightChars="-20" w:firstLine="0" w:firstLineChars="0"/>
                    <w:jc w:val="center"/>
                    <w:rPr>
                      <w:rFonts w:ascii="Times New Roman" w:hAnsi="Times New Roman" w:eastAsia="宋体" w:cs="Times New Roman"/>
                      <w:color w:val="auto"/>
                      <w:kern w:val="2"/>
                      <w:sz w:val="21"/>
                      <w:szCs w:val="21"/>
                      <w:lang w:val="en-US" w:eastAsia="zh-CN" w:bidi="ar-SA"/>
                    </w:rPr>
                  </w:pPr>
                </w:p>
              </w:tc>
              <w:tc>
                <w:tcPr>
                  <w:tcW w:w="394" w:type="pct"/>
                  <w:vMerge w:val="continue"/>
                  <w:tcBorders>
                    <w:tl2br w:val="nil"/>
                    <w:tr2bl w:val="nil"/>
                  </w:tcBorders>
                  <w:shd w:val="clear" w:color="auto" w:fill="auto"/>
                  <w:vAlign w:val="center"/>
                </w:tcPr>
                <w:p w14:paraId="1564FF51">
                  <w:pPr>
                    <w:keepNext w:val="0"/>
                    <w:keepLines w:val="0"/>
                    <w:pageBreakBefore w:val="0"/>
                    <w:kinsoku/>
                    <w:wordWrap/>
                    <w:overflowPunct/>
                    <w:topLinePunct w:val="0"/>
                    <w:autoSpaceDE/>
                    <w:autoSpaceDN/>
                    <w:bidi w:val="0"/>
                    <w:adjustRightInd w:val="0"/>
                    <w:snapToGrid w:val="0"/>
                    <w:ind w:left="-42" w:leftChars="-20" w:right="-42" w:rightChars="-20" w:firstLine="0" w:firstLineChars="0"/>
                    <w:jc w:val="center"/>
                    <w:rPr>
                      <w:rFonts w:hint="eastAsia" w:ascii="Times New Roman" w:hAnsi="Times New Roman" w:eastAsia="宋体" w:cs="Times New Roman"/>
                      <w:color w:val="auto"/>
                      <w:kern w:val="2"/>
                      <w:sz w:val="21"/>
                      <w:szCs w:val="21"/>
                      <w:lang w:val="en-US" w:eastAsia="zh-CN" w:bidi="ar-SA"/>
                    </w:rPr>
                  </w:pPr>
                </w:p>
              </w:tc>
              <w:tc>
                <w:tcPr>
                  <w:tcW w:w="271" w:type="pct"/>
                  <w:vMerge w:val="continue"/>
                  <w:tcBorders>
                    <w:tl2br w:val="nil"/>
                    <w:tr2bl w:val="nil"/>
                  </w:tcBorders>
                  <w:shd w:val="clear" w:color="auto" w:fill="auto"/>
                  <w:vAlign w:val="center"/>
                </w:tcPr>
                <w:p w14:paraId="7C5F4D96">
                  <w:pPr>
                    <w:keepNext w:val="0"/>
                    <w:keepLines w:val="0"/>
                    <w:pageBreakBefore w:val="0"/>
                    <w:kinsoku/>
                    <w:wordWrap/>
                    <w:overflowPunct/>
                    <w:topLinePunct w:val="0"/>
                    <w:autoSpaceDE/>
                    <w:autoSpaceDN/>
                    <w:bidi w:val="0"/>
                    <w:adjustRightInd w:val="0"/>
                    <w:snapToGrid w:val="0"/>
                    <w:ind w:left="-42" w:leftChars="-20" w:right="-42" w:rightChars="-20" w:firstLine="0" w:firstLineChars="0"/>
                    <w:jc w:val="center"/>
                    <w:rPr>
                      <w:rFonts w:hint="eastAsia" w:ascii="Times New Roman" w:hAnsi="Times New Roman" w:eastAsia="宋体" w:cs="Times New Roman"/>
                      <w:color w:val="auto"/>
                      <w:kern w:val="2"/>
                      <w:sz w:val="21"/>
                      <w:szCs w:val="21"/>
                      <w:lang w:val="en-US" w:eastAsia="zh-CN" w:bidi="ar-SA"/>
                    </w:rPr>
                  </w:pPr>
                </w:p>
              </w:tc>
              <w:tc>
                <w:tcPr>
                  <w:tcW w:w="178" w:type="pct"/>
                  <w:tcBorders>
                    <w:tl2br w:val="nil"/>
                    <w:tr2bl w:val="nil"/>
                  </w:tcBorders>
                  <w:shd w:val="clear" w:color="auto" w:fill="auto"/>
                  <w:vAlign w:val="center"/>
                </w:tcPr>
                <w:p w14:paraId="442C5452">
                  <w:pPr>
                    <w:keepNext w:val="0"/>
                    <w:keepLines w:val="0"/>
                    <w:pageBreakBefore w:val="0"/>
                    <w:kinsoku/>
                    <w:wordWrap/>
                    <w:overflowPunct/>
                    <w:topLinePunct w:val="0"/>
                    <w:autoSpaceDE/>
                    <w:autoSpaceDN/>
                    <w:bidi w:val="0"/>
                    <w:adjustRightInd w:val="0"/>
                    <w:snapToGrid w:val="0"/>
                    <w:ind w:left="-42" w:leftChars="-20" w:right="-42" w:rightChars="-20"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rPr>
                    <w:t>95</w:t>
                  </w:r>
                </w:p>
              </w:tc>
              <w:tc>
                <w:tcPr>
                  <w:tcW w:w="1479" w:type="pct"/>
                  <w:gridSpan w:val="5"/>
                  <w:vMerge w:val="restart"/>
                  <w:tcBorders>
                    <w:tl2br w:val="single" w:color="auto" w:sz="4" w:space="0"/>
                  </w:tcBorders>
                  <w:shd w:val="clear" w:color="auto" w:fill="auto"/>
                  <w:vAlign w:val="center"/>
                </w:tcPr>
                <w:p w14:paraId="04704124">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2"/>
                      <w:sz w:val="21"/>
                      <w:szCs w:val="21"/>
                      <w:lang w:val="en-US" w:eastAsia="zh-CN" w:bidi="ar-SA"/>
                    </w:rPr>
                  </w:pPr>
                </w:p>
              </w:tc>
              <w:tc>
                <w:tcPr>
                  <w:tcW w:w="230" w:type="pct"/>
                  <w:vMerge w:val="continue"/>
                  <w:tcBorders>
                    <w:tl2br w:val="nil"/>
                    <w:tr2bl w:val="nil"/>
                  </w:tcBorders>
                  <w:shd w:val="clear" w:color="auto" w:fill="auto"/>
                  <w:vAlign w:val="center"/>
                </w:tcPr>
                <w:p w14:paraId="06621202">
                  <w:pPr>
                    <w:keepNext w:val="0"/>
                    <w:keepLines w:val="0"/>
                    <w:pageBreakBefore w:val="0"/>
                    <w:kinsoku/>
                    <w:wordWrap/>
                    <w:overflowPunct/>
                    <w:topLinePunct w:val="0"/>
                    <w:autoSpaceDE/>
                    <w:autoSpaceDN/>
                    <w:bidi w:val="0"/>
                    <w:adjustRightInd w:val="0"/>
                    <w:snapToGrid w:val="0"/>
                    <w:ind w:left="-42" w:leftChars="-20" w:right="-42" w:rightChars="-20" w:firstLine="0" w:firstLineChars="0"/>
                    <w:contextualSpacing/>
                    <w:jc w:val="center"/>
                    <w:rPr>
                      <w:rFonts w:ascii="Times New Roman" w:hAnsi="Times New Roman" w:eastAsia="宋体" w:cs="Times New Roman"/>
                      <w:color w:val="auto"/>
                      <w:kern w:val="0"/>
                      <w:sz w:val="21"/>
                      <w:szCs w:val="21"/>
                      <w:lang w:val="en-US" w:eastAsia="zh-CN" w:bidi="ar-SA"/>
                    </w:rPr>
                  </w:pPr>
                </w:p>
              </w:tc>
              <w:tc>
                <w:tcPr>
                  <w:tcW w:w="215" w:type="pct"/>
                  <w:tcBorders>
                    <w:tl2br w:val="nil"/>
                    <w:tr2bl w:val="nil"/>
                  </w:tcBorders>
                  <w:shd w:val="clear" w:color="auto" w:fill="auto"/>
                  <w:vAlign w:val="center"/>
                </w:tcPr>
                <w:p w14:paraId="5FD6A01C">
                  <w:pPr>
                    <w:keepNext w:val="0"/>
                    <w:keepLines w:val="0"/>
                    <w:pageBreakBefore w:val="0"/>
                    <w:kinsoku/>
                    <w:wordWrap/>
                    <w:overflowPunct/>
                    <w:topLinePunct w:val="0"/>
                    <w:autoSpaceDE/>
                    <w:autoSpaceDN/>
                    <w:bidi w:val="0"/>
                    <w:adjustRightInd w:val="0"/>
                    <w:snapToGrid w:val="0"/>
                    <w:ind w:left="-42" w:leftChars="-20" w:right="-42" w:rightChars="-2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2.0</w:t>
                  </w:r>
                </w:p>
              </w:tc>
              <w:tc>
                <w:tcPr>
                  <w:tcW w:w="247" w:type="pct"/>
                  <w:tcBorders>
                    <w:tl2br w:val="nil"/>
                    <w:tr2bl w:val="nil"/>
                  </w:tcBorders>
                  <w:shd w:val="clear" w:color="auto" w:fill="auto"/>
                  <w:vAlign w:val="center"/>
                </w:tcPr>
                <w:p w14:paraId="70054C1D">
                  <w:pPr>
                    <w:keepNext w:val="0"/>
                    <w:keepLines w:val="0"/>
                    <w:pageBreakBefore w:val="0"/>
                    <w:kinsoku/>
                    <w:wordWrap/>
                    <w:overflowPunct/>
                    <w:topLinePunct w:val="0"/>
                    <w:autoSpaceDE/>
                    <w:autoSpaceDN/>
                    <w:bidi w:val="0"/>
                    <w:adjustRightInd w:val="0"/>
                    <w:snapToGrid w:val="0"/>
                    <w:ind w:left="-42" w:leftChars="-20" w:right="-42" w:rightChars="-2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50</w:t>
                  </w:r>
                </w:p>
              </w:tc>
            </w:tr>
            <w:tr w14:paraId="07A37C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tcBorders>
                    <w:tl2br w:val="nil"/>
                    <w:tr2bl w:val="nil"/>
                  </w:tcBorders>
                  <w:shd w:val="clear" w:color="auto" w:fill="auto"/>
                  <w:vAlign w:val="center"/>
                </w:tcPr>
                <w:p w14:paraId="381C2ED8">
                  <w:pPr>
                    <w:keepNext w:val="0"/>
                    <w:keepLines w:val="0"/>
                    <w:pageBreakBefore w:val="0"/>
                    <w:kinsoku/>
                    <w:wordWrap/>
                    <w:overflowPunct/>
                    <w:topLinePunct w:val="0"/>
                    <w:autoSpaceDE/>
                    <w:autoSpaceDN/>
                    <w:bidi w:val="0"/>
                    <w:adjustRightInd w:val="0"/>
                    <w:snapToGrid w:val="0"/>
                    <w:ind w:left="-105" w:leftChars="-50" w:right="-105" w:rightChars="-5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eastAsia="zh-CN"/>
                    </w:rPr>
                    <w:t>喷漆后</w:t>
                  </w:r>
                  <w:r>
                    <w:rPr>
                      <w:rFonts w:hint="eastAsia"/>
                      <w:color w:val="auto"/>
                      <w:kern w:val="0"/>
                      <w:szCs w:val="21"/>
                    </w:rPr>
                    <w:t>烘干</w:t>
                  </w:r>
                </w:p>
              </w:tc>
              <w:tc>
                <w:tcPr>
                  <w:tcW w:w="333" w:type="pct"/>
                  <w:tcBorders>
                    <w:tl2br w:val="nil"/>
                    <w:tr2bl w:val="nil"/>
                  </w:tcBorders>
                  <w:shd w:val="clear" w:color="auto" w:fill="auto"/>
                  <w:vAlign w:val="center"/>
                </w:tcPr>
                <w:p w14:paraId="5336E76A">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NMHC</w:t>
                  </w:r>
                </w:p>
              </w:tc>
              <w:tc>
                <w:tcPr>
                  <w:tcW w:w="243" w:type="pct"/>
                  <w:tcBorders>
                    <w:tl2br w:val="nil"/>
                    <w:tr2bl w:val="nil"/>
                  </w:tcBorders>
                  <w:shd w:val="clear" w:color="auto" w:fill="auto"/>
                  <w:vAlign w:val="center"/>
                </w:tcPr>
                <w:p w14:paraId="05713DE8">
                  <w:pPr>
                    <w:keepNext w:val="0"/>
                    <w:keepLines w:val="0"/>
                    <w:pageBreakBefore w:val="0"/>
                    <w:kinsoku/>
                    <w:wordWrap/>
                    <w:overflowPunct/>
                    <w:topLinePunct w:val="0"/>
                    <w:autoSpaceDE/>
                    <w:autoSpaceDN/>
                    <w:bidi w:val="0"/>
                    <w:adjustRightInd w:val="0"/>
                    <w:snapToGrid w:val="0"/>
                    <w:ind w:left="-105" w:leftChars="-50" w:right="-105" w:rightChars="-50" w:firstLine="0" w:firstLineChars="0"/>
                    <w:contextualSpacing/>
                    <w:jc w:val="center"/>
                    <w:rPr>
                      <w:rFonts w:ascii="Times New Roman" w:hAnsi="Times New Roman" w:eastAsia="宋体" w:cs="Times New Roman"/>
                      <w:color w:val="auto"/>
                      <w:kern w:val="0"/>
                      <w:sz w:val="21"/>
                      <w:szCs w:val="21"/>
                      <w:lang w:val="zh-CN" w:eastAsia="zh-CN" w:bidi="ar-SA"/>
                    </w:rPr>
                  </w:pPr>
                  <w:r>
                    <w:rPr>
                      <w:color w:val="auto"/>
                      <w:kern w:val="0"/>
                      <w:szCs w:val="21"/>
                      <w:lang w:val="zh-CN"/>
                    </w:rPr>
                    <w:t>有组织</w:t>
                  </w:r>
                </w:p>
              </w:tc>
              <w:tc>
                <w:tcPr>
                  <w:tcW w:w="280" w:type="pct"/>
                  <w:tcBorders>
                    <w:tl2br w:val="nil"/>
                    <w:tr2bl w:val="nil"/>
                  </w:tcBorders>
                  <w:shd w:val="clear" w:color="auto" w:fill="auto"/>
                  <w:vAlign w:val="center"/>
                </w:tcPr>
                <w:p w14:paraId="4148F755">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2"/>
                      <w:sz w:val="21"/>
                      <w:szCs w:val="21"/>
                      <w:lang w:val="en-US" w:eastAsia="zh-CN" w:bidi="ar-SA"/>
                    </w:rPr>
                  </w:pPr>
                  <w:r>
                    <w:rPr>
                      <w:rFonts w:hint="eastAsia"/>
                      <w:color w:val="auto"/>
                      <w:szCs w:val="21"/>
                    </w:rPr>
                    <w:t>5.</w:t>
                  </w:r>
                  <w:r>
                    <w:rPr>
                      <w:rFonts w:hint="eastAsia"/>
                      <w:color w:val="auto"/>
                      <w:szCs w:val="21"/>
                      <w:lang w:val="en-US" w:eastAsia="zh-CN"/>
                    </w:rPr>
                    <w:t>4</w:t>
                  </w:r>
                  <w:r>
                    <w:rPr>
                      <w:rFonts w:hint="eastAsia"/>
                      <w:color w:val="auto"/>
                      <w:szCs w:val="21"/>
                    </w:rPr>
                    <w:t>3</w:t>
                  </w:r>
                </w:p>
              </w:tc>
              <w:tc>
                <w:tcPr>
                  <w:tcW w:w="288" w:type="pct"/>
                  <w:tcBorders>
                    <w:tl2br w:val="nil"/>
                    <w:tr2bl w:val="nil"/>
                  </w:tcBorders>
                  <w:shd w:val="clear" w:color="auto" w:fill="auto"/>
                  <w:vAlign w:val="center"/>
                </w:tcPr>
                <w:p w14:paraId="3160A013">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0.016</w:t>
                  </w:r>
                  <w:r>
                    <w:rPr>
                      <w:rFonts w:hint="eastAsia"/>
                      <w:color w:val="auto"/>
                      <w:kern w:val="0"/>
                      <w:szCs w:val="21"/>
                      <w:lang w:val="en-US" w:eastAsia="zh-CN"/>
                    </w:rPr>
                    <w:t>3</w:t>
                  </w:r>
                </w:p>
              </w:tc>
              <w:tc>
                <w:tcPr>
                  <w:tcW w:w="318" w:type="pct"/>
                  <w:tcBorders>
                    <w:tl2br w:val="nil"/>
                    <w:tr2bl w:val="nil"/>
                  </w:tcBorders>
                  <w:shd w:val="clear" w:color="auto" w:fill="auto"/>
                  <w:vAlign w:val="center"/>
                </w:tcPr>
                <w:p w14:paraId="40ACA2C9">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0.0383</w:t>
                  </w:r>
                </w:p>
              </w:tc>
              <w:tc>
                <w:tcPr>
                  <w:tcW w:w="287" w:type="pct"/>
                  <w:vMerge w:val="continue"/>
                  <w:tcBorders>
                    <w:tl2br w:val="nil"/>
                    <w:tr2bl w:val="nil"/>
                  </w:tcBorders>
                  <w:shd w:val="clear" w:color="auto" w:fill="auto"/>
                  <w:vAlign w:val="center"/>
                </w:tcPr>
                <w:p w14:paraId="18D3AA9C">
                  <w:pPr>
                    <w:keepNext w:val="0"/>
                    <w:keepLines w:val="0"/>
                    <w:pageBreakBefore w:val="0"/>
                    <w:kinsoku/>
                    <w:wordWrap/>
                    <w:overflowPunct/>
                    <w:topLinePunct w:val="0"/>
                    <w:autoSpaceDE/>
                    <w:autoSpaceDN/>
                    <w:bidi w:val="0"/>
                    <w:adjustRightInd w:val="0"/>
                    <w:snapToGrid w:val="0"/>
                    <w:ind w:left="-42" w:leftChars="-20" w:right="-42" w:rightChars="-20" w:firstLine="0" w:firstLineChars="0"/>
                    <w:jc w:val="center"/>
                    <w:rPr>
                      <w:rFonts w:ascii="Times New Roman" w:hAnsi="Times New Roman" w:eastAsia="宋体" w:cs="Times New Roman"/>
                      <w:color w:val="auto"/>
                      <w:kern w:val="2"/>
                      <w:sz w:val="21"/>
                      <w:szCs w:val="21"/>
                      <w:lang w:val="en-US" w:eastAsia="zh-CN" w:bidi="ar-SA"/>
                    </w:rPr>
                  </w:pPr>
                </w:p>
              </w:tc>
              <w:tc>
                <w:tcPr>
                  <w:tcW w:w="394" w:type="pct"/>
                  <w:vMerge w:val="continue"/>
                  <w:tcBorders>
                    <w:tl2br w:val="nil"/>
                    <w:tr2bl w:val="nil"/>
                  </w:tcBorders>
                  <w:shd w:val="clear" w:color="auto" w:fill="auto"/>
                  <w:vAlign w:val="center"/>
                </w:tcPr>
                <w:p w14:paraId="3C3389C7">
                  <w:pPr>
                    <w:keepNext w:val="0"/>
                    <w:keepLines w:val="0"/>
                    <w:pageBreakBefore w:val="0"/>
                    <w:kinsoku/>
                    <w:wordWrap/>
                    <w:overflowPunct/>
                    <w:topLinePunct w:val="0"/>
                    <w:autoSpaceDE/>
                    <w:autoSpaceDN/>
                    <w:bidi w:val="0"/>
                    <w:adjustRightInd w:val="0"/>
                    <w:snapToGrid w:val="0"/>
                    <w:ind w:left="-42" w:leftChars="-20" w:right="-42" w:rightChars="-20" w:firstLine="0" w:firstLineChars="0"/>
                    <w:jc w:val="center"/>
                    <w:rPr>
                      <w:rFonts w:hint="eastAsia" w:ascii="Times New Roman" w:hAnsi="Times New Roman" w:eastAsia="宋体" w:cs="Times New Roman"/>
                      <w:color w:val="auto"/>
                      <w:kern w:val="2"/>
                      <w:sz w:val="21"/>
                      <w:szCs w:val="21"/>
                      <w:lang w:val="en-US" w:eastAsia="zh-CN" w:bidi="ar-SA"/>
                    </w:rPr>
                  </w:pPr>
                </w:p>
              </w:tc>
              <w:tc>
                <w:tcPr>
                  <w:tcW w:w="271" w:type="pct"/>
                  <w:vMerge w:val="continue"/>
                  <w:tcBorders>
                    <w:tl2br w:val="nil"/>
                    <w:tr2bl w:val="nil"/>
                  </w:tcBorders>
                  <w:shd w:val="clear" w:color="auto" w:fill="auto"/>
                  <w:vAlign w:val="center"/>
                </w:tcPr>
                <w:p w14:paraId="70462C06">
                  <w:pPr>
                    <w:keepNext w:val="0"/>
                    <w:keepLines w:val="0"/>
                    <w:pageBreakBefore w:val="0"/>
                    <w:kinsoku/>
                    <w:wordWrap/>
                    <w:overflowPunct/>
                    <w:topLinePunct w:val="0"/>
                    <w:autoSpaceDE/>
                    <w:autoSpaceDN/>
                    <w:bidi w:val="0"/>
                    <w:adjustRightInd w:val="0"/>
                    <w:snapToGrid w:val="0"/>
                    <w:ind w:left="-42" w:leftChars="-20" w:right="-42" w:rightChars="-20" w:firstLine="0" w:firstLineChars="0"/>
                    <w:jc w:val="center"/>
                    <w:rPr>
                      <w:rFonts w:hint="eastAsia" w:ascii="Times New Roman" w:hAnsi="Times New Roman" w:eastAsia="宋体" w:cs="Times New Roman"/>
                      <w:color w:val="auto"/>
                      <w:kern w:val="2"/>
                      <w:sz w:val="21"/>
                      <w:szCs w:val="21"/>
                      <w:lang w:val="en-US" w:eastAsia="zh-CN" w:bidi="ar-SA"/>
                    </w:rPr>
                  </w:pPr>
                </w:p>
              </w:tc>
              <w:tc>
                <w:tcPr>
                  <w:tcW w:w="178" w:type="pct"/>
                  <w:tcBorders>
                    <w:tl2br w:val="nil"/>
                    <w:tr2bl w:val="nil"/>
                  </w:tcBorders>
                  <w:shd w:val="clear" w:color="auto" w:fill="auto"/>
                  <w:vAlign w:val="center"/>
                </w:tcPr>
                <w:p w14:paraId="1DFC146B">
                  <w:pPr>
                    <w:keepNext w:val="0"/>
                    <w:keepLines w:val="0"/>
                    <w:pageBreakBefore w:val="0"/>
                    <w:kinsoku/>
                    <w:wordWrap/>
                    <w:overflowPunct/>
                    <w:topLinePunct w:val="0"/>
                    <w:autoSpaceDE/>
                    <w:autoSpaceDN/>
                    <w:bidi w:val="0"/>
                    <w:adjustRightInd w:val="0"/>
                    <w:snapToGrid w:val="0"/>
                    <w:ind w:left="-42" w:leftChars="-20" w:right="-42" w:rightChars="-20"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95</w:t>
                  </w:r>
                </w:p>
              </w:tc>
              <w:tc>
                <w:tcPr>
                  <w:tcW w:w="1479" w:type="pct"/>
                  <w:gridSpan w:val="5"/>
                  <w:vMerge w:val="continue"/>
                  <w:tcBorders>
                    <w:tl2br w:val="nil"/>
                    <w:tr2bl w:val="nil"/>
                  </w:tcBorders>
                  <w:shd w:val="clear" w:color="auto" w:fill="auto"/>
                  <w:vAlign w:val="center"/>
                </w:tcPr>
                <w:p w14:paraId="107D3410">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2"/>
                      <w:sz w:val="21"/>
                      <w:szCs w:val="21"/>
                      <w:lang w:val="en-US" w:eastAsia="zh-CN" w:bidi="ar-SA"/>
                    </w:rPr>
                  </w:pPr>
                </w:p>
              </w:tc>
              <w:tc>
                <w:tcPr>
                  <w:tcW w:w="230" w:type="pct"/>
                  <w:vMerge w:val="continue"/>
                  <w:tcBorders>
                    <w:tl2br w:val="nil"/>
                    <w:tr2bl w:val="nil"/>
                  </w:tcBorders>
                  <w:shd w:val="clear" w:color="auto" w:fill="auto"/>
                  <w:vAlign w:val="center"/>
                </w:tcPr>
                <w:p w14:paraId="72C05693">
                  <w:pPr>
                    <w:keepNext w:val="0"/>
                    <w:keepLines w:val="0"/>
                    <w:pageBreakBefore w:val="0"/>
                    <w:kinsoku/>
                    <w:wordWrap/>
                    <w:overflowPunct/>
                    <w:topLinePunct w:val="0"/>
                    <w:autoSpaceDE/>
                    <w:autoSpaceDN/>
                    <w:bidi w:val="0"/>
                    <w:adjustRightInd w:val="0"/>
                    <w:snapToGrid w:val="0"/>
                    <w:ind w:left="-42" w:leftChars="-20" w:right="-42" w:rightChars="-20" w:firstLine="0" w:firstLineChars="0"/>
                    <w:contextualSpacing/>
                    <w:jc w:val="center"/>
                    <w:rPr>
                      <w:rFonts w:ascii="Times New Roman" w:hAnsi="Times New Roman" w:eastAsia="宋体" w:cs="Times New Roman"/>
                      <w:color w:val="auto"/>
                      <w:kern w:val="0"/>
                      <w:sz w:val="21"/>
                      <w:szCs w:val="21"/>
                      <w:lang w:val="en-US" w:eastAsia="zh-CN" w:bidi="ar-SA"/>
                    </w:rPr>
                  </w:pPr>
                </w:p>
              </w:tc>
              <w:tc>
                <w:tcPr>
                  <w:tcW w:w="215" w:type="pct"/>
                  <w:tcBorders>
                    <w:tl2br w:val="nil"/>
                    <w:tr2bl w:val="nil"/>
                  </w:tcBorders>
                  <w:shd w:val="clear" w:color="auto" w:fill="auto"/>
                  <w:vAlign w:val="center"/>
                </w:tcPr>
                <w:p w14:paraId="62937329">
                  <w:pPr>
                    <w:keepNext w:val="0"/>
                    <w:keepLines w:val="0"/>
                    <w:pageBreakBefore w:val="0"/>
                    <w:kinsoku/>
                    <w:wordWrap/>
                    <w:overflowPunct/>
                    <w:topLinePunct w:val="0"/>
                    <w:autoSpaceDE/>
                    <w:autoSpaceDN/>
                    <w:bidi w:val="0"/>
                    <w:adjustRightInd w:val="0"/>
                    <w:snapToGrid w:val="0"/>
                    <w:ind w:left="-42" w:leftChars="-20" w:right="-42" w:rightChars="-2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2.0</w:t>
                  </w:r>
                </w:p>
              </w:tc>
              <w:tc>
                <w:tcPr>
                  <w:tcW w:w="247" w:type="pct"/>
                  <w:tcBorders>
                    <w:tl2br w:val="nil"/>
                    <w:tr2bl w:val="nil"/>
                  </w:tcBorders>
                  <w:shd w:val="clear" w:color="auto" w:fill="auto"/>
                  <w:vAlign w:val="center"/>
                </w:tcPr>
                <w:p w14:paraId="1AA0EE06">
                  <w:pPr>
                    <w:keepNext w:val="0"/>
                    <w:keepLines w:val="0"/>
                    <w:pageBreakBefore w:val="0"/>
                    <w:kinsoku/>
                    <w:wordWrap/>
                    <w:overflowPunct/>
                    <w:topLinePunct w:val="0"/>
                    <w:autoSpaceDE/>
                    <w:autoSpaceDN/>
                    <w:bidi w:val="0"/>
                    <w:adjustRightInd w:val="0"/>
                    <w:snapToGrid w:val="0"/>
                    <w:ind w:left="-42" w:leftChars="-20" w:right="-42" w:rightChars="-2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50</w:t>
                  </w:r>
                </w:p>
              </w:tc>
            </w:tr>
            <w:tr w14:paraId="5A0506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tcBorders>
                    <w:tl2br w:val="nil"/>
                    <w:tr2bl w:val="nil"/>
                  </w:tcBorders>
                  <w:vAlign w:val="center"/>
                </w:tcPr>
                <w:p w14:paraId="5C9018EF">
                  <w:pPr>
                    <w:keepNext w:val="0"/>
                    <w:keepLines w:val="0"/>
                    <w:pageBreakBefore w:val="0"/>
                    <w:kinsoku/>
                    <w:wordWrap/>
                    <w:overflowPunct/>
                    <w:topLinePunct w:val="0"/>
                    <w:autoSpaceDE/>
                    <w:autoSpaceDN/>
                    <w:bidi w:val="0"/>
                    <w:adjustRightInd w:val="0"/>
                    <w:snapToGrid w:val="0"/>
                    <w:ind w:left="-105" w:leftChars="-50" w:right="-105" w:rightChars="-50" w:firstLine="0"/>
                    <w:jc w:val="center"/>
                    <w:rPr>
                      <w:rFonts w:hint="eastAsia"/>
                      <w:color w:val="auto"/>
                      <w:kern w:val="0"/>
                      <w:szCs w:val="21"/>
                      <w:lang w:eastAsia="zh-CN"/>
                    </w:rPr>
                  </w:pPr>
                  <w:r>
                    <w:rPr>
                      <w:rFonts w:hint="eastAsia"/>
                      <w:color w:val="auto"/>
                      <w:kern w:val="0"/>
                      <w:szCs w:val="21"/>
                      <w:lang w:eastAsia="zh-CN"/>
                    </w:rPr>
                    <w:t>浸漆后烘干</w:t>
                  </w:r>
                </w:p>
              </w:tc>
              <w:tc>
                <w:tcPr>
                  <w:tcW w:w="333" w:type="pct"/>
                  <w:tcBorders>
                    <w:tl2br w:val="nil"/>
                    <w:tr2bl w:val="nil"/>
                  </w:tcBorders>
                  <w:shd w:val="clear" w:color="auto" w:fill="auto"/>
                  <w:vAlign w:val="center"/>
                </w:tcPr>
                <w:p w14:paraId="3B16C92D">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NMHC</w:t>
                  </w:r>
                </w:p>
              </w:tc>
              <w:tc>
                <w:tcPr>
                  <w:tcW w:w="243" w:type="pct"/>
                  <w:tcBorders>
                    <w:tl2br w:val="nil"/>
                    <w:tr2bl w:val="nil"/>
                  </w:tcBorders>
                  <w:shd w:val="clear" w:color="auto" w:fill="auto"/>
                  <w:vAlign w:val="center"/>
                </w:tcPr>
                <w:p w14:paraId="3E59D15D">
                  <w:pPr>
                    <w:keepNext w:val="0"/>
                    <w:keepLines w:val="0"/>
                    <w:pageBreakBefore w:val="0"/>
                    <w:kinsoku/>
                    <w:wordWrap/>
                    <w:overflowPunct/>
                    <w:topLinePunct w:val="0"/>
                    <w:autoSpaceDE/>
                    <w:autoSpaceDN/>
                    <w:bidi w:val="0"/>
                    <w:adjustRightInd w:val="0"/>
                    <w:snapToGrid w:val="0"/>
                    <w:ind w:left="-105" w:leftChars="-50" w:right="-105" w:rightChars="-50" w:firstLine="0" w:firstLineChars="0"/>
                    <w:contextualSpacing/>
                    <w:jc w:val="center"/>
                    <w:rPr>
                      <w:color w:val="auto"/>
                      <w:kern w:val="0"/>
                      <w:szCs w:val="21"/>
                      <w:lang w:val="zh-CN"/>
                    </w:rPr>
                  </w:pPr>
                  <w:r>
                    <w:rPr>
                      <w:color w:val="auto"/>
                      <w:kern w:val="0"/>
                      <w:szCs w:val="21"/>
                      <w:lang w:val="zh-CN"/>
                    </w:rPr>
                    <w:t>有组织</w:t>
                  </w:r>
                </w:p>
              </w:tc>
              <w:tc>
                <w:tcPr>
                  <w:tcW w:w="280" w:type="pct"/>
                  <w:tcBorders>
                    <w:tl2br w:val="nil"/>
                    <w:tr2bl w:val="nil"/>
                  </w:tcBorders>
                  <w:shd w:val="clear" w:color="auto" w:fill="auto"/>
                  <w:vAlign w:val="center"/>
                </w:tcPr>
                <w:p w14:paraId="44E4116D">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2"/>
                      <w:sz w:val="21"/>
                      <w:szCs w:val="21"/>
                      <w:lang w:val="en-US" w:eastAsia="zh-CN" w:bidi="ar-SA"/>
                    </w:rPr>
                  </w:pPr>
                  <w:r>
                    <w:rPr>
                      <w:rFonts w:hint="eastAsia"/>
                      <w:color w:val="auto"/>
                      <w:szCs w:val="21"/>
                    </w:rPr>
                    <w:t>1.25</w:t>
                  </w:r>
                </w:p>
              </w:tc>
              <w:tc>
                <w:tcPr>
                  <w:tcW w:w="288" w:type="pct"/>
                  <w:tcBorders>
                    <w:tl2br w:val="nil"/>
                    <w:tr2bl w:val="nil"/>
                  </w:tcBorders>
                  <w:shd w:val="clear" w:color="auto" w:fill="auto"/>
                  <w:vAlign w:val="center"/>
                </w:tcPr>
                <w:p w14:paraId="49ECF8F5">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2"/>
                      <w:sz w:val="21"/>
                      <w:szCs w:val="21"/>
                      <w:lang w:val="en-US" w:eastAsia="zh-CN" w:bidi="ar-SA"/>
                    </w:rPr>
                  </w:pPr>
                  <w:r>
                    <w:rPr>
                      <w:rFonts w:hint="eastAsia"/>
                      <w:color w:val="auto"/>
                      <w:szCs w:val="21"/>
                    </w:rPr>
                    <w:t>0.0025</w:t>
                  </w:r>
                </w:p>
              </w:tc>
              <w:tc>
                <w:tcPr>
                  <w:tcW w:w="318" w:type="pct"/>
                  <w:tcBorders>
                    <w:tl2br w:val="nil"/>
                    <w:tr2bl w:val="nil"/>
                  </w:tcBorders>
                  <w:shd w:val="clear" w:color="auto" w:fill="auto"/>
                  <w:vAlign w:val="center"/>
                </w:tcPr>
                <w:p w14:paraId="1C0EC414">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2"/>
                      <w:sz w:val="21"/>
                      <w:szCs w:val="21"/>
                      <w:lang w:val="en-US" w:eastAsia="zh-CN" w:bidi="ar-SA"/>
                    </w:rPr>
                  </w:pPr>
                  <w:r>
                    <w:rPr>
                      <w:rFonts w:hint="eastAsia"/>
                      <w:color w:val="auto"/>
                      <w:szCs w:val="21"/>
                    </w:rPr>
                    <w:t>0.0059</w:t>
                  </w:r>
                </w:p>
              </w:tc>
              <w:tc>
                <w:tcPr>
                  <w:tcW w:w="287" w:type="pct"/>
                  <w:vMerge w:val="continue"/>
                  <w:tcBorders>
                    <w:tl2br w:val="nil"/>
                    <w:tr2bl w:val="nil"/>
                  </w:tcBorders>
                  <w:vAlign w:val="center"/>
                </w:tcPr>
                <w:p w14:paraId="62D4526D">
                  <w:pPr>
                    <w:keepNext w:val="0"/>
                    <w:keepLines w:val="0"/>
                    <w:pageBreakBefore w:val="0"/>
                    <w:kinsoku/>
                    <w:wordWrap/>
                    <w:overflowPunct/>
                    <w:topLinePunct w:val="0"/>
                    <w:autoSpaceDE/>
                    <w:autoSpaceDN/>
                    <w:bidi w:val="0"/>
                    <w:adjustRightInd w:val="0"/>
                    <w:snapToGrid w:val="0"/>
                    <w:ind w:left="-42" w:leftChars="-20" w:right="-42" w:rightChars="-20" w:firstLine="0"/>
                    <w:jc w:val="center"/>
                    <w:rPr>
                      <w:color w:val="auto"/>
                      <w:szCs w:val="21"/>
                    </w:rPr>
                  </w:pPr>
                </w:p>
              </w:tc>
              <w:tc>
                <w:tcPr>
                  <w:tcW w:w="394" w:type="pct"/>
                  <w:vMerge w:val="continue"/>
                  <w:tcBorders>
                    <w:tl2br w:val="nil"/>
                    <w:tr2bl w:val="nil"/>
                  </w:tcBorders>
                  <w:vAlign w:val="center"/>
                </w:tcPr>
                <w:p w14:paraId="35F2CB6B">
                  <w:pPr>
                    <w:keepNext w:val="0"/>
                    <w:keepLines w:val="0"/>
                    <w:pageBreakBefore w:val="0"/>
                    <w:kinsoku/>
                    <w:wordWrap/>
                    <w:overflowPunct/>
                    <w:topLinePunct w:val="0"/>
                    <w:autoSpaceDE/>
                    <w:autoSpaceDN/>
                    <w:bidi w:val="0"/>
                    <w:adjustRightInd w:val="0"/>
                    <w:snapToGrid w:val="0"/>
                    <w:ind w:left="-42" w:leftChars="-20" w:right="-42" w:rightChars="-20" w:firstLine="0"/>
                    <w:jc w:val="center"/>
                    <w:rPr>
                      <w:rFonts w:hint="eastAsia"/>
                      <w:color w:val="auto"/>
                      <w:szCs w:val="21"/>
                    </w:rPr>
                  </w:pPr>
                </w:p>
              </w:tc>
              <w:tc>
                <w:tcPr>
                  <w:tcW w:w="271" w:type="pct"/>
                  <w:vMerge w:val="continue"/>
                  <w:tcBorders>
                    <w:tl2br w:val="nil"/>
                    <w:tr2bl w:val="nil"/>
                  </w:tcBorders>
                  <w:vAlign w:val="center"/>
                </w:tcPr>
                <w:p w14:paraId="16AA6B8E">
                  <w:pPr>
                    <w:keepNext w:val="0"/>
                    <w:keepLines w:val="0"/>
                    <w:pageBreakBefore w:val="0"/>
                    <w:kinsoku/>
                    <w:wordWrap/>
                    <w:overflowPunct/>
                    <w:topLinePunct w:val="0"/>
                    <w:autoSpaceDE/>
                    <w:autoSpaceDN/>
                    <w:bidi w:val="0"/>
                    <w:adjustRightInd w:val="0"/>
                    <w:snapToGrid w:val="0"/>
                    <w:ind w:left="-42" w:leftChars="-20" w:right="-42" w:rightChars="-20" w:firstLine="0"/>
                    <w:jc w:val="center"/>
                    <w:rPr>
                      <w:rFonts w:hint="default" w:eastAsia="宋体"/>
                      <w:color w:val="auto"/>
                      <w:szCs w:val="21"/>
                      <w:lang w:val="en-US" w:eastAsia="zh-CN"/>
                    </w:rPr>
                  </w:pPr>
                </w:p>
              </w:tc>
              <w:tc>
                <w:tcPr>
                  <w:tcW w:w="178" w:type="pct"/>
                  <w:tcBorders>
                    <w:tl2br w:val="nil"/>
                    <w:tr2bl w:val="nil"/>
                  </w:tcBorders>
                  <w:vAlign w:val="center"/>
                </w:tcPr>
                <w:p w14:paraId="3F33F32A">
                  <w:pPr>
                    <w:keepNext w:val="0"/>
                    <w:keepLines w:val="0"/>
                    <w:pageBreakBefore w:val="0"/>
                    <w:kinsoku/>
                    <w:wordWrap/>
                    <w:overflowPunct/>
                    <w:topLinePunct w:val="0"/>
                    <w:autoSpaceDE/>
                    <w:autoSpaceDN/>
                    <w:bidi w:val="0"/>
                    <w:adjustRightInd w:val="0"/>
                    <w:snapToGrid w:val="0"/>
                    <w:ind w:left="-42" w:leftChars="-20" w:right="-42" w:rightChars="-20" w:firstLine="0"/>
                    <w:contextualSpacing/>
                    <w:jc w:val="center"/>
                    <w:rPr>
                      <w:rFonts w:hint="default" w:eastAsia="宋体"/>
                      <w:color w:val="auto"/>
                      <w:kern w:val="0"/>
                      <w:szCs w:val="21"/>
                      <w:lang w:val="en-US" w:eastAsia="zh-CN"/>
                    </w:rPr>
                  </w:pPr>
                  <w:r>
                    <w:rPr>
                      <w:rFonts w:hint="eastAsia"/>
                      <w:color w:val="auto"/>
                      <w:kern w:val="0"/>
                      <w:szCs w:val="21"/>
                      <w:lang w:val="en-US" w:eastAsia="zh-CN"/>
                    </w:rPr>
                    <w:t>95</w:t>
                  </w:r>
                </w:p>
              </w:tc>
              <w:tc>
                <w:tcPr>
                  <w:tcW w:w="1479" w:type="pct"/>
                  <w:gridSpan w:val="5"/>
                  <w:vMerge w:val="continue"/>
                  <w:tcBorders>
                    <w:tl2br w:val="nil"/>
                    <w:tr2bl w:val="nil"/>
                  </w:tcBorders>
                  <w:vAlign w:val="center"/>
                </w:tcPr>
                <w:p w14:paraId="25326B6F">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0"/>
                      <w:sz w:val="21"/>
                      <w:szCs w:val="21"/>
                      <w:lang w:val="en-US" w:eastAsia="zh-CN" w:bidi="ar-SA"/>
                    </w:rPr>
                  </w:pPr>
                </w:p>
              </w:tc>
              <w:tc>
                <w:tcPr>
                  <w:tcW w:w="230" w:type="pct"/>
                  <w:vMerge w:val="continue"/>
                  <w:tcBorders>
                    <w:tl2br w:val="nil"/>
                    <w:tr2bl w:val="nil"/>
                  </w:tcBorders>
                  <w:shd w:val="clear" w:color="auto" w:fill="auto"/>
                  <w:vAlign w:val="center"/>
                </w:tcPr>
                <w:p w14:paraId="4328070A">
                  <w:pPr>
                    <w:keepNext w:val="0"/>
                    <w:keepLines w:val="0"/>
                    <w:pageBreakBefore w:val="0"/>
                    <w:kinsoku/>
                    <w:wordWrap/>
                    <w:overflowPunct/>
                    <w:topLinePunct w:val="0"/>
                    <w:autoSpaceDE/>
                    <w:autoSpaceDN/>
                    <w:bidi w:val="0"/>
                    <w:adjustRightInd w:val="0"/>
                    <w:snapToGrid w:val="0"/>
                    <w:ind w:left="-42" w:leftChars="-20" w:right="-42" w:rightChars="-20" w:firstLine="0"/>
                    <w:contextualSpacing/>
                    <w:jc w:val="center"/>
                    <w:rPr>
                      <w:color w:val="auto"/>
                      <w:kern w:val="0"/>
                      <w:szCs w:val="21"/>
                    </w:rPr>
                  </w:pPr>
                </w:p>
              </w:tc>
              <w:tc>
                <w:tcPr>
                  <w:tcW w:w="215" w:type="pct"/>
                  <w:tcBorders>
                    <w:tl2br w:val="nil"/>
                    <w:tr2bl w:val="nil"/>
                  </w:tcBorders>
                  <w:shd w:val="clear" w:color="auto" w:fill="auto"/>
                  <w:vAlign w:val="center"/>
                </w:tcPr>
                <w:p w14:paraId="3B72EC46">
                  <w:pPr>
                    <w:keepNext w:val="0"/>
                    <w:keepLines w:val="0"/>
                    <w:pageBreakBefore w:val="0"/>
                    <w:kinsoku/>
                    <w:wordWrap/>
                    <w:overflowPunct/>
                    <w:topLinePunct w:val="0"/>
                    <w:autoSpaceDE/>
                    <w:autoSpaceDN/>
                    <w:bidi w:val="0"/>
                    <w:adjustRightInd w:val="0"/>
                    <w:snapToGrid w:val="0"/>
                    <w:ind w:left="-42" w:leftChars="-20" w:right="-42" w:rightChars="-2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2.0</w:t>
                  </w:r>
                </w:p>
              </w:tc>
              <w:tc>
                <w:tcPr>
                  <w:tcW w:w="247" w:type="pct"/>
                  <w:tcBorders>
                    <w:tl2br w:val="nil"/>
                    <w:tr2bl w:val="nil"/>
                  </w:tcBorders>
                  <w:shd w:val="clear" w:color="auto" w:fill="auto"/>
                  <w:vAlign w:val="center"/>
                </w:tcPr>
                <w:p w14:paraId="023D7C2B">
                  <w:pPr>
                    <w:keepNext w:val="0"/>
                    <w:keepLines w:val="0"/>
                    <w:pageBreakBefore w:val="0"/>
                    <w:kinsoku/>
                    <w:wordWrap/>
                    <w:overflowPunct/>
                    <w:topLinePunct w:val="0"/>
                    <w:autoSpaceDE/>
                    <w:autoSpaceDN/>
                    <w:bidi w:val="0"/>
                    <w:adjustRightInd w:val="0"/>
                    <w:snapToGrid w:val="0"/>
                    <w:ind w:left="-42" w:leftChars="-20" w:right="-42" w:rightChars="-2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50</w:t>
                  </w:r>
                </w:p>
              </w:tc>
            </w:tr>
            <w:tr w14:paraId="363A3A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tcBorders>
                    <w:tl2br w:val="nil"/>
                    <w:tr2bl w:val="nil"/>
                  </w:tcBorders>
                  <w:vAlign w:val="center"/>
                </w:tcPr>
                <w:p w14:paraId="0004664C">
                  <w:pPr>
                    <w:keepNext w:val="0"/>
                    <w:keepLines w:val="0"/>
                    <w:pageBreakBefore w:val="0"/>
                    <w:kinsoku/>
                    <w:wordWrap/>
                    <w:overflowPunct/>
                    <w:topLinePunct w:val="0"/>
                    <w:autoSpaceDE/>
                    <w:autoSpaceDN/>
                    <w:bidi w:val="0"/>
                    <w:adjustRightInd w:val="0"/>
                    <w:snapToGrid w:val="0"/>
                    <w:ind w:left="-105" w:leftChars="-50" w:right="-105" w:rightChars="-50" w:firstLine="0"/>
                    <w:jc w:val="center"/>
                    <w:rPr>
                      <w:rFonts w:hint="eastAsia"/>
                      <w:color w:val="auto"/>
                      <w:kern w:val="0"/>
                      <w:szCs w:val="21"/>
                      <w:lang w:eastAsia="zh-CN"/>
                    </w:rPr>
                  </w:pPr>
                  <w:r>
                    <w:rPr>
                      <w:rFonts w:hint="eastAsia"/>
                      <w:color w:val="auto"/>
                      <w:kern w:val="0"/>
                      <w:szCs w:val="21"/>
                      <w:lang w:eastAsia="zh-CN"/>
                    </w:rPr>
                    <w:t>擦拭</w:t>
                  </w:r>
                </w:p>
              </w:tc>
              <w:tc>
                <w:tcPr>
                  <w:tcW w:w="333" w:type="pct"/>
                  <w:tcBorders>
                    <w:tl2br w:val="nil"/>
                    <w:tr2bl w:val="nil"/>
                  </w:tcBorders>
                  <w:shd w:val="clear" w:color="auto" w:fill="auto"/>
                  <w:vAlign w:val="center"/>
                </w:tcPr>
                <w:p w14:paraId="3EDC2AFC">
                  <w:pPr>
                    <w:keepNext w:val="0"/>
                    <w:keepLines w:val="0"/>
                    <w:pageBreakBefore w:val="0"/>
                    <w:kinsoku/>
                    <w:wordWrap/>
                    <w:overflowPunct/>
                    <w:topLinePunct w:val="0"/>
                    <w:autoSpaceDE/>
                    <w:autoSpaceDN/>
                    <w:bidi w:val="0"/>
                    <w:adjustRightInd w:val="0"/>
                    <w:snapToGrid w:val="0"/>
                    <w:ind w:firstLine="0" w:firstLineChars="0"/>
                    <w:jc w:val="center"/>
                    <w:rPr>
                      <w:rFonts w:hint="default" w:eastAsia="宋体"/>
                      <w:color w:val="auto"/>
                      <w:szCs w:val="21"/>
                      <w:lang w:val="en-US" w:eastAsia="zh-CN"/>
                    </w:rPr>
                  </w:pPr>
                  <w:r>
                    <w:rPr>
                      <w:rFonts w:hint="eastAsia"/>
                      <w:color w:val="auto"/>
                      <w:szCs w:val="21"/>
                      <w:lang w:val="en-US" w:eastAsia="zh-CN"/>
                    </w:rPr>
                    <w:t>NMHC</w:t>
                  </w:r>
                </w:p>
              </w:tc>
              <w:tc>
                <w:tcPr>
                  <w:tcW w:w="243" w:type="pct"/>
                  <w:tcBorders>
                    <w:tl2br w:val="nil"/>
                    <w:tr2bl w:val="nil"/>
                  </w:tcBorders>
                  <w:shd w:val="clear" w:color="auto" w:fill="auto"/>
                  <w:vAlign w:val="center"/>
                </w:tcPr>
                <w:p w14:paraId="78865CE6">
                  <w:pPr>
                    <w:keepNext w:val="0"/>
                    <w:keepLines w:val="0"/>
                    <w:pageBreakBefore w:val="0"/>
                    <w:kinsoku/>
                    <w:wordWrap/>
                    <w:overflowPunct/>
                    <w:topLinePunct w:val="0"/>
                    <w:autoSpaceDE/>
                    <w:autoSpaceDN/>
                    <w:bidi w:val="0"/>
                    <w:adjustRightInd w:val="0"/>
                    <w:snapToGrid w:val="0"/>
                    <w:ind w:left="-105" w:leftChars="-50" w:right="-105" w:rightChars="-50" w:firstLine="0" w:firstLineChars="0"/>
                    <w:contextualSpacing/>
                    <w:jc w:val="center"/>
                    <w:rPr>
                      <w:color w:val="auto"/>
                      <w:kern w:val="0"/>
                      <w:szCs w:val="21"/>
                      <w:lang w:val="zh-CN"/>
                    </w:rPr>
                  </w:pPr>
                  <w:r>
                    <w:rPr>
                      <w:rFonts w:hint="eastAsia"/>
                      <w:color w:val="auto"/>
                      <w:kern w:val="0"/>
                      <w:szCs w:val="21"/>
                      <w:lang w:val="zh-CN"/>
                    </w:rPr>
                    <w:t>有组织</w:t>
                  </w:r>
                </w:p>
              </w:tc>
              <w:tc>
                <w:tcPr>
                  <w:tcW w:w="280" w:type="pct"/>
                  <w:tcBorders>
                    <w:tl2br w:val="nil"/>
                    <w:tr2bl w:val="nil"/>
                  </w:tcBorders>
                  <w:shd w:val="clear" w:color="auto" w:fill="auto"/>
                  <w:vAlign w:val="center"/>
                </w:tcPr>
                <w:p w14:paraId="540AA059">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110.8</w:t>
                  </w:r>
                </w:p>
              </w:tc>
              <w:tc>
                <w:tcPr>
                  <w:tcW w:w="288" w:type="pct"/>
                  <w:tcBorders>
                    <w:tl2br w:val="nil"/>
                    <w:tr2bl w:val="nil"/>
                  </w:tcBorders>
                  <w:shd w:val="clear" w:color="auto" w:fill="auto"/>
                  <w:vAlign w:val="center"/>
                </w:tcPr>
                <w:p w14:paraId="54D33F5F">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1.33</w:t>
                  </w:r>
                </w:p>
              </w:tc>
              <w:tc>
                <w:tcPr>
                  <w:tcW w:w="318" w:type="pct"/>
                  <w:tcBorders>
                    <w:tl2br w:val="nil"/>
                    <w:tr2bl w:val="nil"/>
                  </w:tcBorders>
                  <w:shd w:val="clear" w:color="auto" w:fill="auto"/>
                  <w:vAlign w:val="center"/>
                </w:tcPr>
                <w:p w14:paraId="42ACD055">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0.0665</w:t>
                  </w:r>
                </w:p>
              </w:tc>
              <w:tc>
                <w:tcPr>
                  <w:tcW w:w="287" w:type="pct"/>
                  <w:vMerge w:val="continue"/>
                  <w:tcBorders>
                    <w:tl2br w:val="nil"/>
                    <w:tr2bl w:val="nil"/>
                  </w:tcBorders>
                  <w:vAlign w:val="center"/>
                </w:tcPr>
                <w:p w14:paraId="24225697">
                  <w:pPr>
                    <w:keepNext w:val="0"/>
                    <w:keepLines w:val="0"/>
                    <w:pageBreakBefore w:val="0"/>
                    <w:kinsoku/>
                    <w:wordWrap/>
                    <w:overflowPunct/>
                    <w:topLinePunct w:val="0"/>
                    <w:autoSpaceDE/>
                    <w:autoSpaceDN/>
                    <w:bidi w:val="0"/>
                    <w:adjustRightInd w:val="0"/>
                    <w:snapToGrid w:val="0"/>
                    <w:ind w:left="-42" w:leftChars="-20" w:right="-42" w:rightChars="-20" w:firstLine="0"/>
                    <w:jc w:val="center"/>
                    <w:rPr>
                      <w:color w:val="auto"/>
                      <w:szCs w:val="21"/>
                    </w:rPr>
                  </w:pPr>
                </w:p>
              </w:tc>
              <w:tc>
                <w:tcPr>
                  <w:tcW w:w="394" w:type="pct"/>
                  <w:vMerge w:val="continue"/>
                  <w:tcBorders>
                    <w:tl2br w:val="nil"/>
                    <w:tr2bl w:val="nil"/>
                  </w:tcBorders>
                  <w:vAlign w:val="center"/>
                </w:tcPr>
                <w:p w14:paraId="7341C371">
                  <w:pPr>
                    <w:keepNext w:val="0"/>
                    <w:keepLines w:val="0"/>
                    <w:pageBreakBefore w:val="0"/>
                    <w:kinsoku/>
                    <w:wordWrap/>
                    <w:overflowPunct/>
                    <w:topLinePunct w:val="0"/>
                    <w:autoSpaceDE/>
                    <w:autoSpaceDN/>
                    <w:bidi w:val="0"/>
                    <w:adjustRightInd w:val="0"/>
                    <w:snapToGrid w:val="0"/>
                    <w:ind w:left="-42" w:leftChars="-20" w:right="-42" w:rightChars="-20" w:firstLine="0"/>
                    <w:jc w:val="center"/>
                    <w:rPr>
                      <w:rFonts w:hint="eastAsia"/>
                      <w:color w:val="auto"/>
                      <w:szCs w:val="21"/>
                    </w:rPr>
                  </w:pPr>
                </w:p>
              </w:tc>
              <w:tc>
                <w:tcPr>
                  <w:tcW w:w="271" w:type="pct"/>
                  <w:vMerge w:val="continue"/>
                  <w:tcBorders>
                    <w:tl2br w:val="nil"/>
                    <w:tr2bl w:val="nil"/>
                  </w:tcBorders>
                  <w:vAlign w:val="center"/>
                </w:tcPr>
                <w:p w14:paraId="2E939A85">
                  <w:pPr>
                    <w:keepNext w:val="0"/>
                    <w:keepLines w:val="0"/>
                    <w:pageBreakBefore w:val="0"/>
                    <w:kinsoku/>
                    <w:wordWrap/>
                    <w:overflowPunct/>
                    <w:topLinePunct w:val="0"/>
                    <w:autoSpaceDE/>
                    <w:autoSpaceDN/>
                    <w:bidi w:val="0"/>
                    <w:adjustRightInd w:val="0"/>
                    <w:snapToGrid w:val="0"/>
                    <w:ind w:left="-42" w:leftChars="-20" w:right="-42" w:rightChars="-20" w:firstLine="0"/>
                    <w:jc w:val="center"/>
                    <w:rPr>
                      <w:rFonts w:hint="default" w:eastAsia="宋体"/>
                      <w:color w:val="auto"/>
                      <w:szCs w:val="21"/>
                      <w:lang w:val="en-US" w:eastAsia="zh-CN"/>
                    </w:rPr>
                  </w:pPr>
                </w:p>
              </w:tc>
              <w:tc>
                <w:tcPr>
                  <w:tcW w:w="178" w:type="pct"/>
                  <w:tcBorders>
                    <w:tl2br w:val="nil"/>
                    <w:tr2bl w:val="nil"/>
                  </w:tcBorders>
                  <w:vAlign w:val="center"/>
                </w:tcPr>
                <w:p w14:paraId="73FD6E9F">
                  <w:pPr>
                    <w:keepNext w:val="0"/>
                    <w:keepLines w:val="0"/>
                    <w:pageBreakBefore w:val="0"/>
                    <w:kinsoku/>
                    <w:wordWrap/>
                    <w:overflowPunct/>
                    <w:topLinePunct w:val="0"/>
                    <w:autoSpaceDE/>
                    <w:autoSpaceDN/>
                    <w:bidi w:val="0"/>
                    <w:adjustRightInd w:val="0"/>
                    <w:snapToGrid w:val="0"/>
                    <w:ind w:left="-42" w:leftChars="-20" w:right="-42" w:rightChars="-20" w:firstLine="0"/>
                    <w:contextualSpacing/>
                    <w:jc w:val="center"/>
                    <w:rPr>
                      <w:rFonts w:hint="default"/>
                      <w:color w:val="auto"/>
                      <w:kern w:val="0"/>
                      <w:szCs w:val="21"/>
                      <w:lang w:val="en-US" w:eastAsia="zh-CN"/>
                    </w:rPr>
                  </w:pPr>
                  <w:r>
                    <w:rPr>
                      <w:rFonts w:hint="eastAsia"/>
                      <w:color w:val="auto"/>
                      <w:kern w:val="0"/>
                      <w:szCs w:val="21"/>
                      <w:lang w:val="en-US" w:eastAsia="zh-CN"/>
                    </w:rPr>
                    <w:t>95</w:t>
                  </w:r>
                </w:p>
              </w:tc>
              <w:tc>
                <w:tcPr>
                  <w:tcW w:w="1479" w:type="pct"/>
                  <w:gridSpan w:val="5"/>
                  <w:vMerge w:val="continue"/>
                  <w:tcBorders>
                    <w:tl2br w:val="nil"/>
                    <w:tr2bl w:val="nil"/>
                  </w:tcBorders>
                  <w:vAlign w:val="center"/>
                </w:tcPr>
                <w:p w14:paraId="004D1C82">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0"/>
                      <w:sz w:val="21"/>
                      <w:szCs w:val="21"/>
                      <w:lang w:val="en-US" w:eastAsia="zh-CN" w:bidi="ar-SA"/>
                    </w:rPr>
                  </w:pPr>
                </w:p>
              </w:tc>
              <w:tc>
                <w:tcPr>
                  <w:tcW w:w="230" w:type="pct"/>
                  <w:vMerge w:val="continue"/>
                  <w:tcBorders>
                    <w:tl2br w:val="nil"/>
                    <w:tr2bl w:val="nil"/>
                  </w:tcBorders>
                  <w:shd w:val="clear" w:color="auto" w:fill="auto"/>
                  <w:vAlign w:val="center"/>
                </w:tcPr>
                <w:p w14:paraId="0E107CD9">
                  <w:pPr>
                    <w:keepNext w:val="0"/>
                    <w:keepLines w:val="0"/>
                    <w:pageBreakBefore w:val="0"/>
                    <w:kinsoku/>
                    <w:wordWrap/>
                    <w:overflowPunct/>
                    <w:topLinePunct w:val="0"/>
                    <w:autoSpaceDE/>
                    <w:autoSpaceDN/>
                    <w:bidi w:val="0"/>
                    <w:adjustRightInd w:val="0"/>
                    <w:snapToGrid w:val="0"/>
                    <w:ind w:left="-42" w:leftChars="-20" w:right="-42" w:rightChars="-20" w:firstLine="0"/>
                    <w:contextualSpacing/>
                    <w:jc w:val="center"/>
                    <w:rPr>
                      <w:color w:val="auto"/>
                      <w:kern w:val="0"/>
                      <w:szCs w:val="21"/>
                    </w:rPr>
                  </w:pPr>
                </w:p>
              </w:tc>
              <w:tc>
                <w:tcPr>
                  <w:tcW w:w="215" w:type="pct"/>
                  <w:tcBorders>
                    <w:tl2br w:val="nil"/>
                    <w:tr2bl w:val="nil"/>
                  </w:tcBorders>
                  <w:shd w:val="clear" w:color="auto" w:fill="auto"/>
                  <w:vAlign w:val="center"/>
                </w:tcPr>
                <w:p w14:paraId="394BE429">
                  <w:pPr>
                    <w:keepNext w:val="0"/>
                    <w:keepLines w:val="0"/>
                    <w:pageBreakBefore w:val="0"/>
                    <w:kinsoku/>
                    <w:wordWrap/>
                    <w:overflowPunct/>
                    <w:topLinePunct w:val="0"/>
                    <w:autoSpaceDE/>
                    <w:autoSpaceDN/>
                    <w:bidi w:val="0"/>
                    <w:adjustRightInd w:val="0"/>
                    <w:snapToGrid w:val="0"/>
                    <w:ind w:left="-42" w:leftChars="-20" w:right="-42" w:rightChars="-2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2.0</w:t>
                  </w:r>
                </w:p>
              </w:tc>
              <w:tc>
                <w:tcPr>
                  <w:tcW w:w="247" w:type="pct"/>
                  <w:tcBorders>
                    <w:tl2br w:val="nil"/>
                    <w:tr2bl w:val="nil"/>
                  </w:tcBorders>
                  <w:shd w:val="clear" w:color="auto" w:fill="auto"/>
                  <w:vAlign w:val="center"/>
                </w:tcPr>
                <w:p w14:paraId="55B6ED50">
                  <w:pPr>
                    <w:keepNext w:val="0"/>
                    <w:keepLines w:val="0"/>
                    <w:pageBreakBefore w:val="0"/>
                    <w:kinsoku/>
                    <w:wordWrap/>
                    <w:overflowPunct/>
                    <w:topLinePunct w:val="0"/>
                    <w:autoSpaceDE/>
                    <w:autoSpaceDN/>
                    <w:bidi w:val="0"/>
                    <w:adjustRightInd w:val="0"/>
                    <w:snapToGrid w:val="0"/>
                    <w:ind w:left="-42" w:leftChars="-20" w:right="-42" w:rightChars="-2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50</w:t>
                  </w:r>
                </w:p>
              </w:tc>
            </w:tr>
            <w:tr w14:paraId="6DD032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tcBorders>
                    <w:tl2br w:val="nil"/>
                    <w:tr2bl w:val="nil"/>
                  </w:tcBorders>
                  <w:vAlign w:val="center"/>
                </w:tcPr>
                <w:p w14:paraId="2E1CBFBF">
                  <w:pPr>
                    <w:keepNext w:val="0"/>
                    <w:keepLines w:val="0"/>
                    <w:pageBreakBefore w:val="0"/>
                    <w:kinsoku/>
                    <w:wordWrap/>
                    <w:overflowPunct/>
                    <w:topLinePunct w:val="0"/>
                    <w:autoSpaceDE/>
                    <w:autoSpaceDN/>
                    <w:bidi w:val="0"/>
                    <w:adjustRightInd w:val="0"/>
                    <w:snapToGrid w:val="0"/>
                    <w:ind w:left="-105" w:leftChars="-50" w:right="-105" w:rightChars="-50" w:firstLine="0"/>
                    <w:jc w:val="center"/>
                    <w:rPr>
                      <w:rFonts w:hint="eastAsia" w:eastAsia="宋体"/>
                      <w:color w:val="auto"/>
                      <w:kern w:val="0"/>
                      <w:szCs w:val="21"/>
                      <w:lang w:eastAsia="zh-CN"/>
                    </w:rPr>
                  </w:pPr>
                  <w:r>
                    <w:rPr>
                      <w:rFonts w:hint="eastAsia"/>
                      <w:color w:val="auto"/>
                      <w:kern w:val="0"/>
                      <w:szCs w:val="21"/>
                      <w:lang w:eastAsia="zh-CN"/>
                    </w:rPr>
                    <w:t>食堂</w:t>
                  </w:r>
                </w:p>
              </w:tc>
              <w:tc>
                <w:tcPr>
                  <w:tcW w:w="333" w:type="pct"/>
                  <w:tcBorders>
                    <w:tl2br w:val="nil"/>
                    <w:tr2bl w:val="nil"/>
                  </w:tcBorders>
                  <w:vAlign w:val="center"/>
                </w:tcPr>
                <w:p w14:paraId="7A4F042F">
                  <w:pPr>
                    <w:keepNext w:val="0"/>
                    <w:keepLines w:val="0"/>
                    <w:pageBreakBefore w:val="0"/>
                    <w:kinsoku/>
                    <w:wordWrap/>
                    <w:overflowPunct/>
                    <w:topLinePunct w:val="0"/>
                    <w:autoSpaceDE/>
                    <w:autoSpaceDN/>
                    <w:bidi w:val="0"/>
                    <w:adjustRightInd w:val="0"/>
                    <w:snapToGrid w:val="0"/>
                    <w:ind w:firstLine="0"/>
                    <w:jc w:val="center"/>
                    <w:rPr>
                      <w:rFonts w:hint="eastAsia" w:eastAsia="宋体"/>
                      <w:color w:val="auto"/>
                      <w:szCs w:val="21"/>
                      <w:lang w:eastAsia="zh-CN"/>
                    </w:rPr>
                  </w:pPr>
                  <w:r>
                    <w:rPr>
                      <w:rFonts w:hint="eastAsia"/>
                      <w:color w:val="auto"/>
                      <w:szCs w:val="21"/>
                      <w:lang w:eastAsia="zh-CN"/>
                    </w:rPr>
                    <w:t>油烟</w:t>
                  </w:r>
                </w:p>
              </w:tc>
              <w:tc>
                <w:tcPr>
                  <w:tcW w:w="243" w:type="pct"/>
                  <w:tcBorders>
                    <w:tl2br w:val="nil"/>
                    <w:tr2bl w:val="nil"/>
                  </w:tcBorders>
                  <w:shd w:val="clear" w:color="auto" w:fill="auto"/>
                  <w:vAlign w:val="center"/>
                </w:tcPr>
                <w:p w14:paraId="2EA4B110">
                  <w:pPr>
                    <w:keepNext w:val="0"/>
                    <w:keepLines w:val="0"/>
                    <w:pageBreakBefore w:val="0"/>
                    <w:kinsoku/>
                    <w:wordWrap/>
                    <w:overflowPunct/>
                    <w:topLinePunct w:val="0"/>
                    <w:autoSpaceDE/>
                    <w:autoSpaceDN/>
                    <w:bidi w:val="0"/>
                    <w:adjustRightInd w:val="0"/>
                    <w:snapToGrid w:val="0"/>
                    <w:ind w:left="-105" w:leftChars="-50" w:right="-105" w:rightChars="-50" w:firstLine="0"/>
                    <w:contextualSpacing/>
                    <w:jc w:val="center"/>
                    <w:rPr>
                      <w:color w:val="auto"/>
                      <w:kern w:val="0"/>
                      <w:szCs w:val="21"/>
                      <w:lang w:val="zh-CN"/>
                    </w:rPr>
                  </w:pPr>
                  <w:r>
                    <w:rPr>
                      <w:rFonts w:hint="eastAsia"/>
                      <w:color w:val="auto"/>
                      <w:kern w:val="0"/>
                      <w:szCs w:val="21"/>
                      <w:lang w:val="zh-CN"/>
                    </w:rPr>
                    <w:t>有组织</w:t>
                  </w:r>
                </w:p>
              </w:tc>
              <w:tc>
                <w:tcPr>
                  <w:tcW w:w="280" w:type="pct"/>
                  <w:tcBorders>
                    <w:tl2br w:val="nil"/>
                    <w:tr2bl w:val="nil"/>
                  </w:tcBorders>
                  <w:shd w:val="clear" w:color="auto" w:fill="auto"/>
                  <w:vAlign w:val="center"/>
                </w:tcPr>
                <w:p w14:paraId="0EC5C0E3">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3.75</w:t>
                  </w:r>
                </w:p>
              </w:tc>
              <w:tc>
                <w:tcPr>
                  <w:tcW w:w="288" w:type="pct"/>
                  <w:tcBorders>
                    <w:tl2br w:val="nil"/>
                    <w:tr2bl w:val="nil"/>
                  </w:tcBorders>
                  <w:shd w:val="clear" w:color="auto" w:fill="auto"/>
                  <w:vAlign w:val="center"/>
                </w:tcPr>
                <w:p w14:paraId="16028AFC">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0.0225</w:t>
                  </w:r>
                </w:p>
              </w:tc>
              <w:tc>
                <w:tcPr>
                  <w:tcW w:w="318" w:type="pct"/>
                  <w:tcBorders>
                    <w:tl2br w:val="nil"/>
                    <w:tr2bl w:val="nil"/>
                  </w:tcBorders>
                  <w:shd w:val="clear" w:color="auto" w:fill="auto"/>
                  <w:vAlign w:val="center"/>
                </w:tcPr>
                <w:p w14:paraId="12E5BE7A">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0.0135</w:t>
                  </w:r>
                </w:p>
              </w:tc>
              <w:tc>
                <w:tcPr>
                  <w:tcW w:w="287" w:type="pct"/>
                  <w:tcBorders>
                    <w:tl2br w:val="nil"/>
                    <w:tr2bl w:val="nil"/>
                  </w:tcBorders>
                  <w:vAlign w:val="center"/>
                </w:tcPr>
                <w:p w14:paraId="04EA0C00">
                  <w:pPr>
                    <w:keepNext w:val="0"/>
                    <w:keepLines w:val="0"/>
                    <w:pageBreakBefore w:val="0"/>
                    <w:kinsoku/>
                    <w:wordWrap/>
                    <w:overflowPunct/>
                    <w:topLinePunct w:val="0"/>
                    <w:autoSpaceDE/>
                    <w:autoSpaceDN/>
                    <w:bidi w:val="0"/>
                    <w:adjustRightInd w:val="0"/>
                    <w:snapToGrid w:val="0"/>
                    <w:ind w:left="-42" w:leftChars="-20" w:right="-42" w:rightChars="-20" w:firstLine="0"/>
                    <w:jc w:val="center"/>
                    <w:rPr>
                      <w:rFonts w:hint="default" w:eastAsia="宋体"/>
                      <w:color w:val="auto"/>
                      <w:szCs w:val="21"/>
                      <w:lang w:val="en-US" w:eastAsia="zh-CN"/>
                    </w:rPr>
                  </w:pPr>
                  <w:r>
                    <w:rPr>
                      <w:rFonts w:hint="eastAsia"/>
                      <w:color w:val="auto"/>
                      <w:szCs w:val="21"/>
                      <w:lang w:val="en-US" w:eastAsia="zh-CN"/>
                    </w:rPr>
                    <w:t>TA003</w:t>
                  </w:r>
                </w:p>
              </w:tc>
              <w:tc>
                <w:tcPr>
                  <w:tcW w:w="394" w:type="pct"/>
                  <w:tcBorders>
                    <w:tl2br w:val="nil"/>
                    <w:tr2bl w:val="nil"/>
                  </w:tcBorders>
                  <w:vAlign w:val="center"/>
                </w:tcPr>
                <w:p w14:paraId="516EB058">
                  <w:pPr>
                    <w:keepNext w:val="0"/>
                    <w:keepLines w:val="0"/>
                    <w:pageBreakBefore w:val="0"/>
                    <w:kinsoku/>
                    <w:wordWrap/>
                    <w:overflowPunct/>
                    <w:topLinePunct w:val="0"/>
                    <w:autoSpaceDE/>
                    <w:autoSpaceDN/>
                    <w:bidi w:val="0"/>
                    <w:adjustRightInd w:val="0"/>
                    <w:snapToGrid w:val="0"/>
                    <w:ind w:left="-42" w:leftChars="-20" w:right="-42" w:rightChars="-20" w:firstLine="0"/>
                    <w:jc w:val="center"/>
                    <w:rPr>
                      <w:rFonts w:hint="eastAsia" w:eastAsia="宋体"/>
                      <w:color w:val="auto"/>
                      <w:szCs w:val="21"/>
                      <w:lang w:eastAsia="zh-CN"/>
                    </w:rPr>
                  </w:pPr>
                  <w:r>
                    <w:rPr>
                      <w:rFonts w:hint="eastAsia"/>
                      <w:color w:val="auto"/>
                      <w:szCs w:val="21"/>
                      <w:lang w:eastAsia="zh-CN"/>
                    </w:rPr>
                    <w:t>油烟净化器</w:t>
                  </w:r>
                </w:p>
              </w:tc>
              <w:tc>
                <w:tcPr>
                  <w:tcW w:w="271" w:type="pct"/>
                  <w:tcBorders>
                    <w:tl2br w:val="nil"/>
                    <w:tr2bl w:val="nil"/>
                  </w:tcBorders>
                  <w:vAlign w:val="center"/>
                </w:tcPr>
                <w:p w14:paraId="60D10EDE">
                  <w:pPr>
                    <w:keepNext w:val="0"/>
                    <w:keepLines w:val="0"/>
                    <w:pageBreakBefore w:val="0"/>
                    <w:kinsoku/>
                    <w:wordWrap/>
                    <w:overflowPunct/>
                    <w:topLinePunct w:val="0"/>
                    <w:autoSpaceDE/>
                    <w:autoSpaceDN/>
                    <w:bidi w:val="0"/>
                    <w:adjustRightInd w:val="0"/>
                    <w:snapToGrid w:val="0"/>
                    <w:ind w:left="-42" w:leftChars="-20" w:right="-42" w:rightChars="-20" w:firstLine="0"/>
                    <w:jc w:val="center"/>
                    <w:rPr>
                      <w:rFonts w:hint="default" w:eastAsia="宋体"/>
                      <w:color w:val="auto"/>
                      <w:szCs w:val="21"/>
                      <w:lang w:val="en-US" w:eastAsia="zh-CN"/>
                    </w:rPr>
                  </w:pPr>
                  <w:r>
                    <w:rPr>
                      <w:rFonts w:hint="eastAsia"/>
                      <w:color w:val="auto"/>
                      <w:szCs w:val="21"/>
                      <w:lang w:val="en-US" w:eastAsia="zh-CN"/>
                    </w:rPr>
                    <w:t>6000</w:t>
                  </w:r>
                </w:p>
              </w:tc>
              <w:tc>
                <w:tcPr>
                  <w:tcW w:w="178" w:type="pct"/>
                  <w:tcBorders>
                    <w:tl2br w:val="nil"/>
                    <w:tr2bl w:val="nil"/>
                  </w:tcBorders>
                  <w:vAlign w:val="center"/>
                </w:tcPr>
                <w:p w14:paraId="00CAFACD">
                  <w:pPr>
                    <w:keepNext w:val="0"/>
                    <w:keepLines w:val="0"/>
                    <w:pageBreakBefore w:val="0"/>
                    <w:kinsoku/>
                    <w:wordWrap/>
                    <w:overflowPunct/>
                    <w:topLinePunct w:val="0"/>
                    <w:autoSpaceDE/>
                    <w:autoSpaceDN/>
                    <w:bidi w:val="0"/>
                    <w:adjustRightInd w:val="0"/>
                    <w:snapToGrid w:val="0"/>
                    <w:ind w:left="-42" w:leftChars="-20" w:right="-42" w:rightChars="-20" w:firstLine="0"/>
                    <w:contextualSpacing/>
                    <w:jc w:val="center"/>
                    <w:rPr>
                      <w:rFonts w:hint="eastAsia" w:eastAsia="宋体"/>
                      <w:color w:val="auto"/>
                      <w:kern w:val="0"/>
                      <w:szCs w:val="21"/>
                      <w:lang w:val="en-US" w:eastAsia="zh-CN"/>
                    </w:rPr>
                  </w:pPr>
                  <w:r>
                    <w:rPr>
                      <w:rFonts w:hint="eastAsia"/>
                      <w:color w:val="auto"/>
                      <w:kern w:val="0"/>
                      <w:szCs w:val="21"/>
                      <w:lang w:val="en-US" w:eastAsia="zh-CN"/>
                    </w:rPr>
                    <w:t>/</w:t>
                  </w:r>
                </w:p>
              </w:tc>
              <w:tc>
                <w:tcPr>
                  <w:tcW w:w="236" w:type="pct"/>
                  <w:tcBorders>
                    <w:tl2br w:val="nil"/>
                    <w:tr2bl w:val="nil"/>
                  </w:tcBorders>
                  <w:vAlign w:val="center"/>
                </w:tcPr>
                <w:p w14:paraId="0E95FE9F">
                  <w:pPr>
                    <w:keepNext w:val="0"/>
                    <w:keepLines w:val="0"/>
                    <w:pageBreakBefore w:val="0"/>
                    <w:kinsoku/>
                    <w:wordWrap/>
                    <w:overflowPunct/>
                    <w:topLinePunct w:val="0"/>
                    <w:autoSpaceDE/>
                    <w:autoSpaceDN/>
                    <w:bidi w:val="0"/>
                    <w:adjustRightInd w:val="0"/>
                    <w:snapToGrid w:val="0"/>
                    <w:ind w:left="-42" w:leftChars="-20" w:right="-42" w:rightChars="-20" w:firstLine="0"/>
                    <w:contextualSpacing/>
                    <w:jc w:val="center"/>
                    <w:rPr>
                      <w:rFonts w:hint="default" w:eastAsia="宋体"/>
                      <w:color w:val="auto"/>
                      <w:kern w:val="0"/>
                      <w:szCs w:val="21"/>
                      <w:lang w:val="en-US" w:eastAsia="zh-CN"/>
                    </w:rPr>
                  </w:pPr>
                  <w:r>
                    <w:rPr>
                      <w:rFonts w:hint="eastAsia"/>
                      <w:color w:val="auto"/>
                      <w:kern w:val="0"/>
                      <w:szCs w:val="21"/>
                      <w:lang w:val="en-US" w:eastAsia="zh-CN"/>
                    </w:rPr>
                    <w:t>75</w:t>
                  </w:r>
                </w:p>
              </w:tc>
              <w:tc>
                <w:tcPr>
                  <w:tcW w:w="311" w:type="pct"/>
                  <w:tcBorders>
                    <w:tl2br w:val="nil"/>
                    <w:tr2bl w:val="nil"/>
                  </w:tcBorders>
                  <w:vAlign w:val="center"/>
                </w:tcPr>
                <w:p w14:paraId="040D3A8E">
                  <w:pPr>
                    <w:keepNext w:val="0"/>
                    <w:keepLines w:val="0"/>
                    <w:pageBreakBefore w:val="0"/>
                    <w:kinsoku/>
                    <w:wordWrap/>
                    <w:overflowPunct/>
                    <w:topLinePunct w:val="0"/>
                    <w:autoSpaceDE/>
                    <w:autoSpaceDN/>
                    <w:bidi w:val="0"/>
                    <w:adjustRightInd w:val="0"/>
                    <w:snapToGrid w:val="0"/>
                    <w:ind w:left="-42" w:leftChars="-20" w:right="-42" w:rightChars="-20" w:firstLine="0"/>
                    <w:jc w:val="center"/>
                    <w:rPr>
                      <w:rFonts w:hint="eastAsia" w:eastAsia="宋体"/>
                      <w:color w:val="auto"/>
                      <w:szCs w:val="21"/>
                      <w:lang w:eastAsia="zh-CN"/>
                    </w:rPr>
                  </w:pPr>
                  <w:r>
                    <w:rPr>
                      <w:rFonts w:hint="eastAsia"/>
                      <w:color w:val="auto"/>
                      <w:szCs w:val="21"/>
                      <w:lang w:eastAsia="zh-CN"/>
                    </w:rPr>
                    <w:t>是</w:t>
                  </w:r>
                </w:p>
              </w:tc>
              <w:tc>
                <w:tcPr>
                  <w:tcW w:w="282" w:type="pct"/>
                  <w:tcBorders>
                    <w:tl2br w:val="nil"/>
                    <w:tr2bl w:val="nil"/>
                  </w:tcBorders>
                  <w:shd w:val="clear" w:color="auto" w:fill="auto"/>
                  <w:vAlign w:val="center"/>
                </w:tcPr>
                <w:p w14:paraId="38B21E6E">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0.94</w:t>
                  </w:r>
                </w:p>
              </w:tc>
              <w:tc>
                <w:tcPr>
                  <w:tcW w:w="334" w:type="pct"/>
                  <w:tcBorders>
                    <w:tl2br w:val="nil"/>
                    <w:tr2bl w:val="nil"/>
                  </w:tcBorders>
                  <w:shd w:val="clear" w:color="auto" w:fill="auto"/>
                  <w:vAlign w:val="center"/>
                </w:tcPr>
                <w:p w14:paraId="28809F38">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0.0056</w:t>
                  </w:r>
                </w:p>
              </w:tc>
              <w:tc>
                <w:tcPr>
                  <w:tcW w:w="313" w:type="pct"/>
                  <w:tcBorders>
                    <w:tl2br w:val="nil"/>
                    <w:tr2bl w:val="nil"/>
                  </w:tcBorders>
                  <w:shd w:val="clear" w:color="auto" w:fill="auto"/>
                  <w:vAlign w:val="center"/>
                </w:tcPr>
                <w:p w14:paraId="7A8A42C8">
                  <w:pPr>
                    <w:keepNext w:val="0"/>
                    <w:keepLines w:val="0"/>
                    <w:pageBreakBefore w:val="0"/>
                    <w:widowControl/>
                    <w:kinsoku/>
                    <w:wordWrap/>
                    <w:overflowPunct/>
                    <w:topLinePunct w:val="0"/>
                    <w:autoSpaceDE/>
                    <w:autoSpaceDN/>
                    <w:bidi w:val="0"/>
                    <w:adjustRightInd w:val="0"/>
                    <w:snapToGrid w:val="0"/>
                    <w:ind w:firstLine="0" w:firstLineChars="0"/>
                    <w:jc w:val="center"/>
                    <w:textAlignment w:val="bottom"/>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0.0034</w:t>
                  </w:r>
                </w:p>
              </w:tc>
              <w:tc>
                <w:tcPr>
                  <w:tcW w:w="230" w:type="pct"/>
                  <w:tcBorders>
                    <w:tl2br w:val="nil"/>
                    <w:tr2bl w:val="nil"/>
                  </w:tcBorders>
                  <w:vAlign w:val="center"/>
                </w:tcPr>
                <w:p w14:paraId="77A0819B">
                  <w:pPr>
                    <w:keepNext w:val="0"/>
                    <w:keepLines w:val="0"/>
                    <w:pageBreakBefore w:val="0"/>
                    <w:kinsoku/>
                    <w:wordWrap/>
                    <w:overflowPunct/>
                    <w:topLinePunct w:val="0"/>
                    <w:autoSpaceDE/>
                    <w:autoSpaceDN/>
                    <w:bidi w:val="0"/>
                    <w:adjustRightInd w:val="0"/>
                    <w:snapToGrid w:val="0"/>
                    <w:ind w:left="-42" w:leftChars="-20" w:right="-42" w:rightChars="-20" w:firstLine="0"/>
                    <w:contextualSpacing/>
                    <w:jc w:val="center"/>
                    <w:rPr>
                      <w:rFonts w:hint="default" w:eastAsia="宋体"/>
                      <w:color w:val="auto"/>
                      <w:kern w:val="0"/>
                      <w:szCs w:val="21"/>
                      <w:lang w:val="en-US" w:eastAsia="zh-CN"/>
                    </w:rPr>
                  </w:pPr>
                  <w:r>
                    <w:rPr>
                      <w:rFonts w:hint="eastAsia"/>
                      <w:color w:val="auto"/>
                      <w:kern w:val="0"/>
                      <w:szCs w:val="21"/>
                      <w:lang w:val="en-US" w:eastAsia="zh-CN"/>
                    </w:rPr>
                    <w:t>/</w:t>
                  </w:r>
                </w:p>
              </w:tc>
              <w:tc>
                <w:tcPr>
                  <w:tcW w:w="215" w:type="pct"/>
                  <w:tcBorders>
                    <w:tl2br w:val="nil"/>
                    <w:tr2bl w:val="nil"/>
                  </w:tcBorders>
                  <w:shd w:val="clear" w:color="auto" w:fill="auto"/>
                  <w:vAlign w:val="center"/>
                </w:tcPr>
                <w:p w14:paraId="4DD2A6E3">
                  <w:pPr>
                    <w:keepNext w:val="0"/>
                    <w:keepLines w:val="0"/>
                    <w:pageBreakBefore w:val="0"/>
                    <w:kinsoku/>
                    <w:wordWrap/>
                    <w:overflowPunct/>
                    <w:topLinePunct w:val="0"/>
                    <w:autoSpaceDE/>
                    <w:autoSpaceDN/>
                    <w:bidi w:val="0"/>
                    <w:adjustRightInd w:val="0"/>
                    <w:snapToGrid w:val="0"/>
                    <w:ind w:left="-42" w:leftChars="-20" w:right="-42" w:rightChars="-20" w:firstLine="0"/>
                    <w:jc w:val="center"/>
                    <w:rPr>
                      <w:rFonts w:hint="eastAsia" w:eastAsia="宋体"/>
                      <w:color w:val="auto"/>
                      <w:szCs w:val="21"/>
                      <w:lang w:val="en-US" w:eastAsia="zh-CN"/>
                    </w:rPr>
                  </w:pPr>
                  <w:r>
                    <w:rPr>
                      <w:rFonts w:hint="eastAsia"/>
                      <w:color w:val="auto"/>
                      <w:szCs w:val="21"/>
                      <w:lang w:val="en-US" w:eastAsia="zh-CN"/>
                    </w:rPr>
                    <w:t>/</w:t>
                  </w:r>
                </w:p>
              </w:tc>
              <w:tc>
                <w:tcPr>
                  <w:tcW w:w="247" w:type="pct"/>
                  <w:tcBorders>
                    <w:tl2br w:val="nil"/>
                    <w:tr2bl w:val="nil"/>
                  </w:tcBorders>
                  <w:shd w:val="clear" w:color="auto" w:fill="auto"/>
                  <w:vAlign w:val="center"/>
                </w:tcPr>
                <w:p w14:paraId="62840DCA">
                  <w:pPr>
                    <w:keepNext w:val="0"/>
                    <w:keepLines w:val="0"/>
                    <w:pageBreakBefore w:val="0"/>
                    <w:kinsoku/>
                    <w:wordWrap/>
                    <w:overflowPunct/>
                    <w:topLinePunct w:val="0"/>
                    <w:autoSpaceDE/>
                    <w:autoSpaceDN/>
                    <w:bidi w:val="0"/>
                    <w:adjustRightInd w:val="0"/>
                    <w:snapToGrid w:val="0"/>
                    <w:ind w:left="-42" w:leftChars="-20" w:right="-42" w:rightChars="-20" w:firstLine="0"/>
                    <w:jc w:val="center"/>
                    <w:rPr>
                      <w:rFonts w:hint="eastAsia" w:eastAsia="宋体"/>
                      <w:color w:val="auto"/>
                      <w:szCs w:val="21"/>
                      <w:lang w:val="en-US" w:eastAsia="zh-CN"/>
                    </w:rPr>
                  </w:pPr>
                  <w:r>
                    <w:rPr>
                      <w:rFonts w:hint="eastAsia"/>
                      <w:color w:val="auto"/>
                      <w:szCs w:val="21"/>
                      <w:lang w:val="en-US" w:eastAsia="zh-CN"/>
                    </w:rPr>
                    <w:t>2</w:t>
                  </w:r>
                </w:p>
              </w:tc>
            </w:tr>
          </w:tbl>
          <w:p w14:paraId="5C8B99DE">
            <w:pPr>
              <w:widowControl/>
              <w:adjustRightInd w:val="0"/>
              <w:snapToGrid w:val="0"/>
              <w:spacing w:before="120" w:beforeLines="50"/>
              <w:ind w:firstLine="482"/>
              <w:jc w:val="center"/>
              <w:rPr>
                <w:b/>
                <w:color w:val="auto"/>
                <w:kern w:val="0"/>
                <w:sz w:val="24"/>
              </w:rPr>
            </w:pPr>
            <w:r>
              <w:rPr>
                <w:rFonts w:hint="eastAsia"/>
                <w:b/>
                <w:color w:val="auto"/>
                <w:kern w:val="0"/>
                <w:sz w:val="24"/>
              </w:rPr>
              <w:t>表4-</w:t>
            </w:r>
            <w:r>
              <w:rPr>
                <w:rFonts w:hint="eastAsia"/>
                <w:b/>
                <w:color w:val="auto"/>
                <w:kern w:val="0"/>
                <w:sz w:val="24"/>
                <w:lang w:val="en-US" w:eastAsia="zh-CN"/>
              </w:rPr>
              <w:t>6</w:t>
            </w:r>
            <w:r>
              <w:rPr>
                <w:rFonts w:hint="eastAsia"/>
                <w:b/>
                <w:color w:val="auto"/>
                <w:kern w:val="0"/>
                <w:sz w:val="24"/>
              </w:rPr>
              <w:t>项目无组织废气污染源源强合并结果及相关参数</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760"/>
              <w:gridCol w:w="1732"/>
              <w:gridCol w:w="1462"/>
              <w:gridCol w:w="1332"/>
              <w:gridCol w:w="1339"/>
              <w:gridCol w:w="1417"/>
              <w:gridCol w:w="1406"/>
              <w:gridCol w:w="1156"/>
              <w:gridCol w:w="1390"/>
            </w:tblGrid>
            <w:tr w14:paraId="63BD0F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7" w:type="pct"/>
                  <w:vMerge w:val="restart"/>
                  <w:vAlign w:val="center"/>
                </w:tcPr>
                <w:p w14:paraId="07963823">
                  <w:pPr>
                    <w:keepNext w:val="0"/>
                    <w:keepLines w:val="0"/>
                    <w:pageBreakBefore w:val="0"/>
                    <w:kinsoku/>
                    <w:wordWrap/>
                    <w:overflowPunct/>
                    <w:topLinePunct w:val="0"/>
                    <w:autoSpaceDE/>
                    <w:autoSpaceDN/>
                    <w:bidi w:val="0"/>
                    <w:adjustRightInd w:val="0"/>
                    <w:snapToGrid w:val="0"/>
                    <w:ind w:firstLine="0"/>
                    <w:jc w:val="center"/>
                    <w:rPr>
                      <w:b/>
                      <w:bCs/>
                      <w:color w:val="auto"/>
                      <w:szCs w:val="21"/>
                    </w:rPr>
                  </w:pPr>
                  <w:r>
                    <w:rPr>
                      <w:b/>
                      <w:bCs/>
                      <w:color w:val="auto"/>
                      <w:szCs w:val="21"/>
                    </w:rPr>
                    <w:t>污染源位置</w:t>
                  </w:r>
                </w:p>
              </w:tc>
              <w:tc>
                <w:tcPr>
                  <w:tcW w:w="666" w:type="pct"/>
                  <w:vMerge w:val="restart"/>
                  <w:vAlign w:val="center"/>
                </w:tcPr>
                <w:p w14:paraId="65017B15">
                  <w:pPr>
                    <w:keepNext w:val="0"/>
                    <w:keepLines w:val="0"/>
                    <w:pageBreakBefore w:val="0"/>
                    <w:kinsoku/>
                    <w:wordWrap/>
                    <w:overflowPunct/>
                    <w:topLinePunct w:val="0"/>
                    <w:autoSpaceDE/>
                    <w:autoSpaceDN/>
                    <w:bidi w:val="0"/>
                    <w:adjustRightInd w:val="0"/>
                    <w:snapToGrid w:val="0"/>
                    <w:ind w:firstLine="0"/>
                    <w:jc w:val="center"/>
                    <w:rPr>
                      <w:b/>
                      <w:bCs/>
                      <w:color w:val="auto"/>
                      <w:szCs w:val="21"/>
                    </w:rPr>
                  </w:pPr>
                  <w:r>
                    <w:rPr>
                      <w:b/>
                      <w:bCs/>
                      <w:color w:val="auto"/>
                      <w:szCs w:val="21"/>
                    </w:rPr>
                    <w:t>污染物名称</w:t>
                  </w:r>
                </w:p>
              </w:tc>
              <w:tc>
                <w:tcPr>
                  <w:tcW w:w="562" w:type="pct"/>
                  <w:vMerge w:val="restart"/>
                  <w:vAlign w:val="center"/>
                </w:tcPr>
                <w:p w14:paraId="56046BF2">
                  <w:pPr>
                    <w:keepNext w:val="0"/>
                    <w:keepLines w:val="0"/>
                    <w:pageBreakBefore w:val="0"/>
                    <w:kinsoku/>
                    <w:wordWrap/>
                    <w:overflowPunct/>
                    <w:topLinePunct w:val="0"/>
                    <w:autoSpaceDE/>
                    <w:autoSpaceDN/>
                    <w:bidi w:val="0"/>
                    <w:adjustRightInd w:val="0"/>
                    <w:snapToGrid w:val="0"/>
                    <w:ind w:firstLine="0"/>
                    <w:jc w:val="center"/>
                    <w:rPr>
                      <w:b/>
                      <w:bCs/>
                      <w:color w:val="auto"/>
                      <w:szCs w:val="21"/>
                    </w:rPr>
                  </w:pPr>
                  <w:r>
                    <w:rPr>
                      <w:b/>
                      <w:bCs/>
                      <w:color w:val="auto"/>
                      <w:szCs w:val="21"/>
                    </w:rPr>
                    <w:t>核算方法</w:t>
                  </w:r>
                </w:p>
              </w:tc>
              <w:tc>
                <w:tcPr>
                  <w:tcW w:w="1027" w:type="pct"/>
                  <w:gridSpan w:val="2"/>
                  <w:vAlign w:val="center"/>
                </w:tcPr>
                <w:p w14:paraId="4A1174F0">
                  <w:pPr>
                    <w:keepNext w:val="0"/>
                    <w:keepLines w:val="0"/>
                    <w:pageBreakBefore w:val="0"/>
                    <w:kinsoku/>
                    <w:wordWrap/>
                    <w:overflowPunct/>
                    <w:topLinePunct w:val="0"/>
                    <w:autoSpaceDE/>
                    <w:autoSpaceDN/>
                    <w:bidi w:val="0"/>
                    <w:adjustRightInd w:val="0"/>
                    <w:snapToGrid w:val="0"/>
                    <w:ind w:firstLine="0"/>
                    <w:jc w:val="center"/>
                    <w:rPr>
                      <w:b/>
                      <w:bCs/>
                      <w:color w:val="auto"/>
                      <w:szCs w:val="21"/>
                    </w:rPr>
                  </w:pPr>
                  <w:r>
                    <w:rPr>
                      <w:b/>
                      <w:bCs/>
                      <w:color w:val="auto"/>
                      <w:szCs w:val="21"/>
                    </w:rPr>
                    <w:t>排放源强</w:t>
                  </w:r>
                </w:p>
              </w:tc>
              <w:tc>
                <w:tcPr>
                  <w:tcW w:w="545" w:type="pct"/>
                  <w:vMerge w:val="restart"/>
                  <w:vAlign w:val="center"/>
                </w:tcPr>
                <w:p w14:paraId="61E44B25">
                  <w:pPr>
                    <w:keepNext w:val="0"/>
                    <w:keepLines w:val="0"/>
                    <w:pageBreakBefore w:val="0"/>
                    <w:kinsoku/>
                    <w:wordWrap/>
                    <w:overflowPunct/>
                    <w:topLinePunct w:val="0"/>
                    <w:autoSpaceDE/>
                    <w:autoSpaceDN/>
                    <w:bidi w:val="0"/>
                    <w:adjustRightInd w:val="0"/>
                    <w:snapToGrid w:val="0"/>
                    <w:ind w:firstLine="0"/>
                    <w:jc w:val="center"/>
                    <w:rPr>
                      <w:b/>
                      <w:bCs/>
                      <w:color w:val="auto"/>
                      <w:szCs w:val="21"/>
                    </w:rPr>
                  </w:pPr>
                  <w:r>
                    <w:rPr>
                      <w:b/>
                      <w:bCs/>
                      <w:color w:val="auto"/>
                      <w:szCs w:val="21"/>
                    </w:rPr>
                    <w:t>面源长度</w:t>
                  </w:r>
                </w:p>
                <w:p w14:paraId="148DF8EC">
                  <w:pPr>
                    <w:keepNext w:val="0"/>
                    <w:keepLines w:val="0"/>
                    <w:pageBreakBefore w:val="0"/>
                    <w:kinsoku/>
                    <w:wordWrap/>
                    <w:overflowPunct/>
                    <w:topLinePunct w:val="0"/>
                    <w:autoSpaceDE/>
                    <w:autoSpaceDN/>
                    <w:bidi w:val="0"/>
                    <w:adjustRightInd w:val="0"/>
                    <w:snapToGrid w:val="0"/>
                    <w:ind w:firstLine="0"/>
                    <w:jc w:val="center"/>
                    <w:rPr>
                      <w:b/>
                      <w:bCs/>
                      <w:color w:val="auto"/>
                      <w:szCs w:val="21"/>
                    </w:rPr>
                  </w:pPr>
                  <w:r>
                    <w:rPr>
                      <w:rFonts w:hint="eastAsia"/>
                      <w:b/>
                      <w:bCs/>
                      <w:color w:val="auto"/>
                      <w:szCs w:val="21"/>
                      <w:lang w:eastAsia="zh-CN"/>
                    </w:rPr>
                    <w:t>(</w:t>
                  </w:r>
                  <w:r>
                    <w:rPr>
                      <w:b/>
                      <w:bCs/>
                      <w:color w:val="auto"/>
                      <w:szCs w:val="21"/>
                    </w:rPr>
                    <w:t>m</w:t>
                  </w:r>
                  <w:r>
                    <w:rPr>
                      <w:rFonts w:hint="eastAsia"/>
                      <w:b/>
                      <w:bCs/>
                      <w:color w:val="auto"/>
                      <w:szCs w:val="21"/>
                      <w:lang w:eastAsia="zh-CN"/>
                    </w:rPr>
                    <w:t>)</w:t>
                  </w:r>
                </w:p>
              </w:tc>
              <w:tc>
                <w:tcPr>
                  <w:tcW w:w="541" w:type="pct"/>
                  <w:vMerge w:val="restart"/>
                  <w:vAlign w:val="center"/>
                </w:tcPr>
                <w:p w14:paraId="422128D6">
                  <w:pPr>
                    <w:keepNext w:val="0"/>
                    <w:keepLines w:val="0"/>
                    <w:pageBreakBefore w:val="0"/>
                    <w:kinsoku/>
                    <w:wordWrap/>
                    <w:overflowPunct/>
                    <w:topLinePunct w:val="0"/>
                    <w:autoSpaceDE/>
                    <w:autoSpaceDN/>
                    <w:bidi w:val="0"/>
                    <w:adjustRightInd w:val="0"/>
                    <w:snapToGrid w:val="0"/>
                    <w:ind w:firstLine="0"/>
                    <w:jc w:val="center"/>
                    <w:rPr>
                      <w:b/>
                      <w:bCs/>
                      <w:color w:val="auto"/>
                      <w:szCs w:val="21"/>
                    </w:rPr>
                  </w:pPr>
                  <w:r>
                    <w:rPr>
                      <w:b/>
                      <w:bCs/>
                      <w:color w:val="auto"/>
                      <w:szCs w:val="21"/>
                    </w:rPr>
                    <w:t>面源宽度</w:t>
                  </w:r>
                </w:p>
                <w:p w14:paraId="121ECCC8">
                  <w:pPr>
                    <w:keepNext w:val="0"/>
                    <w:keepLines w:val="0"/>
                    <w:pageBreakBefore w:val="0"/>
                    <w:kinsoku/>
                    <w:wordWrap/>
                    <w:overflowPunct/>
                    <w:topLinePunct w:val="0"/>
                    <w:autoSpaceDE/>
                    <w:autoSpaceDN/>
                    <w:bidi w:val="0"/>
                    <w:adjustRightInd w:val="0"/>
                    <w:snapToGrid w:val="0"/>
                    <w:ind w:firstLine="0"/>
                    <w:jc w:val="center"/>
                    <w:rPr>
                      <w:b/>
                      <w:bCs/>
                      <w:color w:val="auto"/>
                      <w:szCs w:val="21"/>
                    </w:rPr>
                  </w:pPr>
                  <w:r>
                    <w:rPr>
                      <w:rFonts w:hint="eastAsia"/>
                      <w:b/>
                      <w:bCs/>
                      <w:color w:val="auto"/>
                      <w:szCs w:val="21"/>
                      <w:lang w:eastAsia="zh-CN"/>
                    </w:rPr>
                    <w:t>(</w:t>
                  </w:r>
                  <w:r>
                    <w:rPr>
                      <w:b/>
                      <w:bCs/>
                      <w:color w:val="auto"/>
                      <w:szCs w:val="21"/>
                    </w:rPr>
                    <w:t>m</w:t>
                  </w:r>
                  <w:r>
                    <w:rPr>
                      <w:rFonts w:hint="eastAsia"/>
                      <w:b/>
                      <w:bCs/>
                      <w:color w:val="auto"/>
                      <w:szCs w:val="21"/>
                      <w:lang w:eastAsia="zh-CN"/>
                    </w:rPr>
                    <w:t>)</w:t>
                  </w:r>
                </w:p>
              </w:tc>
              <w:tc>
                <w:tcPr>
                  <w:tcW w:w="445" w:type="pct"/>
                  <w:vMerge w:val="restart"/>
                  <w:vAlign w:val="center"/>
                </w:tcPr>
                <w:p w14:paraId="5CACF9F5">
                  <w:pPr>
                    <w:keepNext w:val="0"/>
                    <w:keepLines w:val="0"/>
                    <w:pageBreakBefore w:val="0"/>
                    <w:kinsoku/>
                    <w:wordWrap/>
                    <w:overflowPunct/>
                    <w:topLinePunct w:val="0"/>
                    <w:autoSpaceDE/>
                    <w:autoSpaceDN/>
                    <w:bidi w:val="0"/>
                    <w:adjustRightInd w:val="0"/>
                    <w:snapToGrid w:val="0"/>
                    <w:ind w:firstLine="0"/>
                    <w:jc w:val="center"/>
                    <w:rPr>
                      <w:b/>
                      <w:bCs/>
                      <w:color w:val="auto"/>
                      <w:szCs w:val="21"/>
                    </w:rPr>
                  </w:pPr>
                  <w:r>
                    <w:rPr>
                      <w:b/>
                      <w:bCs/>
                      <w:color w:val="auto"/>
                      <w:szCs w:val="21"/>
                    </w:rPr>
                    <w:t>面源高度</w:t>
                  </w:r>
                </w:p>
                <w:p w14:paraId="0C33A271">
                  <w:pPr>
                    <w:keepNext w:val="0"/>
                    <w:keepLines w:val="0"/>
                    <w:pageBreakBefore w:val="0"/>
                    <w:kinsoku/>
                    <w:wordWrap/>
                    <w:overflowPunct/>
                    <w:topLinePunct w:val="0"/>
                    <w:autoSpaceDE/>
                    <w:autoSpaceDN/>
                    <w:bidi w:val="0"/>
                    <w:adjustRightInd w:val="0"/>
                    <w:snapToGrid w:val="0"/>
                    <w:ind w:firstLine="0"/>
                    <w:jc w:val="center"/>
                    <w:rPr>
                      <w:b/>
                      <w:bCs/>
                      <w:color w:val="auto"/>
                      <w:szCs w:val="21"/>
                    </w:rPr>
                  </w:pPr>
                  <w:r>
                    <w:rPr>
                      <w:rFonts w:hint="eastAsia"/>
                      <w:b/>
                      <w:bCs/>
                      <w:color w:val="auto"/>
                      <w:szCs w:val="21"/>
                      <w:lang w:eastAsia="zh-CN"/>
                    </w:rPr>
                    <w:t>(</w:t>
                  </w:r>
                  <w:r>
                    <w:rPr>
                      <w:b/>
                      <w:bCs/>
                      <w:color w:val="auto"/>
                      <w:szCs w:val="21"/>
                    </w:rPr>
                    <w:t>m</w:t>
                  </w:r>
                  <w:r>
                    <w:rPr>
                      <w:rFonts w:hint="eastAsia"/>
                      <w:b/>
                      <w:bCs/>
                      <w:color w:val="auto"/>
                      <w:szCs w:val="21"/>
                      <w:lang w:eastAsia="zh-CN"/>
                    </w:rPr>
                    <w:t>)</w:t>
                  </w:r>
                </w:p>
              </w:tc>
              <w:tc>
                <w:tcPr>
                  <w:tcW w:w="535" w:type="pct"/>
                  <w:vMerge w:val="restart"/>
                  <w:vAlign w:val="center"/>
                </w:tcPr>
                <w:p w14:paraId="67DDEE95">
                  <w:pPr>
                    <w:keepNext w:val="0"/>
                    <w:keepLines w:val="0"/>
                    <w:pageBreakBefore w:val="0"/>
                    <w:kinsoku/>
                    <w:wordWrap/>
                    <w:overflowPunct/>
                    <w:topLinePunct w:val="0"/>
                    <w:autoSpaceDE/>
                    <w:autoSpaceDN/>
                    <w:bidi w:val="0"/>
                    <w:adjustRightInd w:val="0"/>
                    <w:snapToGrid w:val="0"/>
                    <w:ind w:firstLine="0"/>
                    <w:jc w:val="center"/>
                    <w:rPr>
                      <w:b/>
                      <w:bCs/>
                      <w:color w:val="auto"/>
                      <w:szCs w:val="21"/>
                    </w:rPr>
                  </w:pPr>
                  <w:r>
                    <w:rPr>
                      <w:b/>
                      <w:bCs/>
                      <w:color w:val="auto"/>
                      <w:szCs w:val="21"/>
                    </w:rPr>
                    <w:t>排放时间</w:t>
                  </w:r>
                </w:p>
                <w:p w14:paraId="2FEDD61F">
                  <w:pPr>
                    <w:keepNext w:val="0"/>
                    <w:keepLines w:val="0"/>
                    <w:pageBreakBefore w:val="0"/>
                    <w:kinsoku/>
                    <w:wordWrap/>
                    <w:overflowPunct/>
                    <w:topLinePunct w:val="0"/>
                    <w:autoSpaceDE/>
                    <w:autoSpaceDN/>
                    <w:bidi w:val="0"/>
                    <w:adjustRightInd w:val="0"/>
                    <w:snapToGrid w:val="0"/>
                    <w:ind w:firstLine="0"/>
                    <w:jc w:val="center"/>
                    <w:rPr>
                      <w:b/>
                      <w:bCs/>
                      <w:color w:val="auto"/>
                      <w:szCs w:val="21"/>
                    </w:rPr>
                  </w:pPr>
                  <w:r>
                    <w:rPr>
                      <w:rFonts w:hint="eastAsia"/>
                      <w:b/>
                      <w:bCs/>
                      <w:color w:val="auto"/>
                      <w:szCs w:val="21"/>
                      <w:lang w:eastAsia="zh-CN"/>
                    </w:rPr>
                    <w:t>(</w:t>
                  </w:r>
                  <w:r>
                    <w:rPr>
                      <w:b/>
                      <w:bCs/>
                      <w:color w:val="auto"/>
                      <w:szCs w:val="21"/>
                    </w:rPr>
                    <w:t>h</w:t>
                  </w:r>
                  <w:r>
                    <w:rPr>
                      <w:rFonts w:hint="eastAsia"/>
                      <w:b/>
                      <w:bCs/>
                      <w:color w:val="auto"/>
                      <w:szCs w:val="21"/>
                      <w:lang w:eastAsia="zh-CN"/>
                    </w:rPr>
                    <w:t>)</w:t>
                  </w:r>
                </w:p>
              </w:tc>
            </w:tr>
            <w:tr w14:paraId="6231C9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7" w:type="pct"/>
                  <w:vMerge w:val="continue"/>
                  <w:vAlign w:val="center"/>
                </w:tcPr>
                <w:p w14:paraId="1DACDCF4">
                  <w:pPr>
                    <w:keepNext w:val="0"/>
                    <w:keepLines w:val="0"/>
                    <w:pageBreakBefore w:val="0"/>
                    <w:kinsoku/>
                    <w:wordWrap/>
                    <w:overflowPunct/>
                    <w:topLinePunct w:val="0"/>
                    <w:autoSpaceDE/>
                    <w:autoSpaceDN/>
                    <w:bidi w:val="0"/>
                    <w:adjustRightInd w:val="0"/>
                    <w:snapToGrid w:val="0"/>
                    <w:ind w:firstLine="0"/>
                    <w:jc w:val="center"/>
                    <w:rPr>
                      <w:b/>
                      <w:color w:val="auto"/>
                      <w:szCs w:val="21"/>
                    </w:rPr>
                  </w:pPr>
                </w:p>
              </w:tc>
              <w:tc>
                <w:tcPr>
                  <w:tcW w:w="666" w:type="pct"/>
                  <w:vMerge w:val="continue"/>
                  <w:vAlign w:val="center"/>
                </w:tcPr>
                <w:p w14:paraId="5E26388C">
                  <w:pPr>
                    <w:keepNext w:val="0"/>
                    <w:keepLines w:val="0"/>
                    <w:pageBreakBefore w:val="0"/>
                    <w:kinsoku/>
                    <w:wordWrap/>
                    <w:overflowPunct/>
                    <w:topLinePunct w:val="0"/>
                    <w:autoSpaceDE/>
                    <w:autoSpaceDN/>
                    <w:bidi w:val="0"/>
                    <w:adjustRightInd w:val="0"/>
                    <w:snapToGrid w:val="0"/>
                    <w:ind w:firstLine="0"/>
                    <w:jc w:val="center"/>
                    <w:rPr>
                      <w:b/>
                      <w:color w:val="auto"/>
                      <w:szCs w:val="21"/>
                    </w:rPr>
                  </w:pPr>
                </w:p>
              </w:tc>
              <w:tc>
                <w:tcPr>
                  <w:tcW w:w="562" w:type="pct"/>
                  <w:vMerge w:val="continue"/>
                  <w:vAlign w:val="center"/>
                </w:tcPr>
                <w:p w14:paraId="776A34DA">
                  <w:pPr>
                    <w:keepNext w:val="0"/>
                    <w:keepLines w:val="0"/>
                    <w:pageBreakBefore w:val="0"/>
                    <w:kinsoku/>
                    <w:wordWrap/>
                    <w:overflowPunct/>
                    <w:topLinePunct w:val="0"/>
                    <w:autoSpaceDE/>
                    <w:autoSpaceDN/>
                    <w:bidi w:val="0"/>
                    <w:adjustRightInd w:val="0"/>
                    <w:snapToGrid w:val="0"/>
                    <w:ind w:firstLine="0"/>
                    <w:jc w:val="center"/>
                    <w:rPr>
                      <w:b/>
                      <w:color w:val="auto"/>
                      <w:szCs w:val="21"/>
                    </w:rPr>
                  </w:pPr>
                </w:p>
              </w:tc>
              <w:tc>
                <w:tcPr>
                  <w:tcW w:w="512" w:type="pct"/>
                  <w:vAlign w:val="center"/>
                </w:tcPr>
                <w:p w14:paraId="76E3F051">
                  <w:pPr>
                    <w:keepNext w:val="0"/>
                    <w:keepLines w:val="0"/>
                    <w:pageBreakBefore w:val="0"/>
                    <w:kinsoku/>
                    <w:wordWrap/>
                    <w:overflowPunct/>
                    <w:topLinePunct w:val="0"/>
                    <w:autoSpaceDE/>
                    <w:autoSpaceDN/>
                    <w:bidi w:val="0"/>
                    <w:adjustRightInd w:val="0"/>
                    <w:snapToGrid w:val="0"/>
                    <w:ind w:firstLine="0"/>
                    <w:jc w:val="center"/>
                    <w:rPr>
                      <w:b/>
                      <w:bCs/>
                      <w:color w:val="auto"/>
                      <w:szCs w:val="21"/>
                    </w:rPr>
                  </w:pPr>
                  <w:r>
                    <w:rPr>
                      <w:b/>
                      <w:bCs/>
                      <w:color w:val="auto"/>
                      <w:szCs w:val="21"/>
                    </w:rPr>
                    <w:t>kg/h</w:t>
                  </w:r>
                </w:p>
              </w:tc>
              <w:tc>
                <w:tcPr>
                  <w:tcW w:w="515" w:type="pct"/>
                  <w:vAlign w:val="center"/>
                </w:tcPr>
                <w:p w14:paraId="15FA5BBD">
                  <w:pPr>
                    <w:keepNext w:val="0"/>
                    <w:keepLines w:val="0"/>
                    <w:pageBreakBefore w:val="0"/>
                    <w:kinsoku/>
                    <w:wordWrap/>
                    <w:overflowPunct/>
                    <w:topLinePunct w:val="0"/>
                    <w:autoSpaceDE/>
                    <w:autoSpaceDN/>
                    <w:bidi w:val="0"/>
                    <w:adjustRightInd w:val="0"/>
                    <w:snapToGrid w:val="0"/>
                    <w:ind w:firstLine="0"/>
                    <w:jc w:val="center"/>
                    <w:rPr>
                      <w:b/>
                      <w:bCs/>
                      <w:color w:val="auto"/>
                      <w:szCs w:val="21"/>
                    </w:rPr>
                  </w:pPr>
                  <w:r>
                    <w:rPr>
                      <w:b/>
                      <w:bCs/>
                      <w:color w:val="auto"/>
                      <w:szCs w:val="21"/>
                    </w:rPr>
                    <w:t>t/a</w:t>
                  </w:r>
                </w:p>
              </w:tc>
              <w:tc>
                <w:tcPr>
                  <w:tcW w:w="545" w:type="pct"/>
                  <w:vMerge w:val="continue"/>
                  <w:vAlign w:val="center"/>
                </w:tcPr>
                <w:p w14:paraId="2D71EAA1">
                  <w:pPr>
                    <w:keepNext w:val="0"/>
                    <w:keepLines w:val="0"/>
                    <w:pageBreakBefore w:val="0"/>
                    <w:kinsoku/>
                    <w:wordWrap/>
                    <w:overflowPunct/>
                    <w:topLinePunct w:val="0"/>
                    <w:autoSpaceDE/>
                    <w:autoSpaceDN/>
                    <w:bidi w:val="0"/>
                    <w:adjustRightInd w:val="0"/>
                    <w:snapToGrid w:val="0"/>
                    <w:ind w:firstLine="0"/>
                    <w:jc w:val="center"/>
                    <w:rPr>
                      <w:color w:val="auto"/>
                      <w:szCs w:val="21"/>
                    </w:rPr>
                  </w:pPr>
                </w:p>
              </w:tc>
              <w:tc>
                <w:tcPr>
                  <w:tcW w:w="541" w:type="pct"/>
                  <w:vMerge w:val="continue"/>
                  <w:vAlign w:val="center"/>
                </w:tcPr>
                <w:p w14:paraId="407F0617">
                  <w:pPr>
                    <w:keepNext w:val="0"/>
                    <w:keepLines w:val="0"/>
                    <w:pageBreakBefore w:val="0"/>
                    <w:kinsoku/>
                    <w:wordWrap/>
                    <w:overflowPunct/>
                    <w:topLinePunct w:val="0"/>
                    <w:autoSpaceDE/>
                    <w:autoSpaceDN/>
                    <w:bidi w:val="0"/>
                    <w:adjustRightInd w:val="0"/>
                    <w:snapToGrid w:val="0"/>
                    <w:ind w:firstLine="0"/>
                    <w:jc w:val="center"/>
                    <w:rPr>
                      <w:color w:val="auto"/>
                      <w:szCs w:val="21"/>
                    </w:rPr>
                  </w:pPr>
                </w:p>
              </w:tc>
              <w:tc>
                <w:tcPr>
                  <w:tcW w:w="445" w:type="pct"/>
                  <w:vMerge w:val="continue"/>
                  <w:vAlign w:val="center"/>
                </w:tcPr>
                <w:p w14:paraId="51D82011">
                  <w:pPr>
                    <w:keepNext w:val="0"/>
                    <w:keepLines w:val="0"/>
                    <w:pageBreakBefore w:val="0"/>
                    <w:kinsoku/>
                    <w:wordWrap/>
                    <w:overflowPunct/>
                    <w:topLinePunct w:val="0"/>
                    <w:autoSpaceDE/>
                    <w:autoSpaceDN/>
                    <w:bidi w:val="0"/>
                    <w:adjustRightInd w:val="0"/>
                    <w:snapToGrid w:val="0"/>
                    <w:ind w:firstLine="0"/>
                    <w:jc w:val="center"/>
                    <w:rPr>
                      <w:color w:val="auto"/>
                      <w:szCs w:val="21"/>
                    </w:rPr>
                  </w:pPr>
                </w:p>
              </w:tc>
              <w:tc>
                <w:tcPr>
                  <w:tcW w:w="535" w:type="pct"/>
                  <w:vMerge w:val="continue"/>
                  <w:vAlign w:val="center"/>
                </w:tcPr>
                <w:p w14:paraId="57016630">
                  <w:pPr>
                    <w:keepNext w:val="0"/>
                    <w:keepLines w:val="0"/>
                    <w:pageBreakBefore w:val="0"/>
                    <w:kinsoku/>
                    <w:wordWrap/>
                    <w:overflowPunct/>
                    <w:topLinePunct w:val="0"/>
                    <w:autoSpaceDE/>
                    <w:autoSpaceDN/>
                    <w:bidi w:val="0"/>
                    <w:adjustRightInd w:val="0"/>
                    <w:snapToGrid w:val="0"/>
                    <w:ind w:firstLine="0"/>
                    <w:jc w:val="center"/>
                    <w:rPr>
                      <w:color w:val="auto"/>
                      <w:szCs w:val="21"/>
                    </w:rPr>
                  </w:pPr>
                </w:p>
              </w:tc>
            </w:tr>
            <w:tr w14:paraId="11336E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7" w:type="pct"/>
                  <w:vMerge w:val="restart"/>
                  <w:vAlign w:val="center"/>
                </w:tcPr>
                <w:p w14:paraId="7105BD10">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lang w:val="en-US" w:eastAsia="zh-CN"/>
                    </w:rPr>
                    <w:t>2</w:t>
                  </w:r>
                  <w:r>
                    <w:rPr>
                      <w:rFonts w:hint="eastAsia"/>
                      <w:color w:val="auto"/>
                      <w:szCs w:val="21"/>
                    </w:rPr>
                    <w:t>#生产车间</w:t>
                  </w:r>
                </w:p>
              </w:tc>
              <w:tc>
                <w:tcPr>
                  <w:tcW w:w="666" w:type="pct"/>
                  <w:shd w:val="clear" w:color="auto" w:fill="auto"/>
                  <w:vAlign w:val="center"/>
                </w:tcPr>
                <w:p w14:paraId="3C348C5A">
                  <w:pPr>
                    <w:keepNext w:val="0"/>
                    <w:keepLines w:val="0"/>
                    <w:pageBreakBefore w:val="0"/>
                    <w:widowControl/>
                    <w:kinsoku/>
                    <w:wordWrap/>
                    <w:overflowPunct/>
                    <w:topLinePunct w:val="0"/>
                    <w:autoSpaceDE/>
                    <w:autoSpaceDN/>
                    <w:bidi w:val="0"/>
                    <w:adjustRightInd w:val="0"/>
                    <w:snapToGrid w:val="0"/>
                    <w:ind w:firstLine="0"/>
                    <w:jc w:val="center"/>
                    <w:textAlignment w:val="center"/>
                    <w:rPr>
                      <w:color w:val="auto"/>
                      <w:kern w:val="0"/>
                      <w:szCs w:val="21"/>
                    </w:rPr>
                  </w:pPr>
                  <w:r>
                    <w:rPr>
                      <w:rFonts w:hint="eastAsia"/>
                      <w:color w:val="auto"/>
                      <w:szCs w:val="21"/>
                    </w:rPr>
                    <w:t>NMHC</w:t>
                  </w:r>
                </w:p>
              </w:tc>
              <w:tc>
                <w:tcPr>
                  <w:tcW w:w="562" w:type="pct"/>
                  <w:shd w:val="clear" w:color="auto" w:fill="auto"/>
                  <w:vAlign w:val="center"/>
                </w:tcPr>
                <w:p w14:paraId="3BF42921">
                  <w:pPr>
                    <w:keepNext w:val="0"/>
                    <w:keepLines w:val="0"/>
                    <w:pageBreakBefore w:val="0"/>
                    <w:kinsoku/>
                    <w:wordWrap/>
                    <w:overflowPunct/>
                    <w:topLinePunct w:val="0"/>
                    <w:autoSpaceDE/>
                    <w:autoSpaceDN/>
                    <w:bidi w:val="0"/>
                    <w:adjustRightInd w:val="0"/>
                    <w:snapToGrid w:val="0"/>
                    <w:ind w:firstLine="0"/>
                    <w:jc w:val="center"/>
                    <w:rPr>
                      <w:color w:val="auto"/>
                      <w:kern w:val="0"/>
                      <w:szCs w:val="21"/>
                    </w:rPr>
                  </w:pPr>
                  <w:r>
                    <w:rPr>
                      <w:color w:val="auto"/>
                      <w:kern w:val="0"/>
                      <w:szCs w:val="21"/>
                    </w:rPr>
                    <w:t>产污系数法</w:t>
                  </w:r>
                </w:p>
              </w:tc>
              <w:tc>
                <w:tcPr>
                  <w:tcW w:w="512" w:type="pct"/>
                  <w:shd w:val="clear" w:color="auto" w:fill="auto"/>
                  <w:vAlign w:val="center"/>
                </w:tcPr>
                <w:p w14:paraId="2B469DCE">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default" w:eastAsia="宋体"/>
                      <w:color w:val="auto"/>
                      <w:kern w:val="0"/>
                      <w:szCs w:val="21"/>
                      <w:lang w:val="en-US" w:eastAsia="zh-CN"/>
                    </w:rPr>
                  </w:pPr>
                  <w:r>
                    <w:rPr>
                      <w:rFonts w:hint="eastAsia"/>
                      <w:color w:val="auto"/>
                      <w:kern w:val="0"/>
                      <w:szCs w:val="21"/>
                    </w:rPr>
                    <w:t>0.003</w:t>
                  </w:r>
                  <w:r>
                    <w:rPr>
                      <w:rFonts w:hint="eastAsia"/>
                      <w:color w:val="auto"/>
                      <w:kern w:val="0"/>
                      <w:szCs w:val="21"/>
                      <w:lang w:val="en-US" w:eastAsia="zh-CN"/>
                    </w:rPr>
                    <w:t>3-0.07</w:t>
                  </w:r>
                </w:p>
              </w:tc>
              <w:tc>
                <w:tcPr>
                  <w:tcW w:w="515" w:type="pct"/>
                  <w:shd w:val="clear" w:color="auto" w:fill="auto"/>
                  <w:vAlign w:val="center"/>
                </w:tcPr>
                <w:p w14:paraId="6BAFA016">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default" w:eastAsia="宋体"/>
                      <w:color w:val="auto"/>
                      <w:kern w:val="0"/>
                      <w:szCs w:val="21"/>
                      <w:lang w:val="en-US" w:eastAsia="zh-CN"/>
                    </w:rPr>
                  </w:pPr>
                  <w:r>
                    <w:rPr>
                      <w:rFonts w:hint="eastAsia"/>
                      <w:color w:val="auto"/>
                      <w:kern w:val="0"/>
                      <w:szCs w:val="21"/>
                    </w:rPr>
                    <w:t>0.0</w:t>
                  </w:r>
                  <w:r>
                    <w:rPr>
                      <w:rFonts w:hint="eastAsia"/>
                      <w:color w:val="auto"/>
                      <w:kern w:val="0"/>
                      <w:szCs w:val="21"/>
                      <w:lang w:val="en-US" w:eastAsia="zh-CN"/>
                    </w:rPr>
                    <w:t>112</w:t>
                  </w:r>
                </w:p>
              </w:tc>
              <w:tc>
                <w:tcPr>
                  <w:tcW w:w="545" w:type="pct"/>
                  <w:vMerge w:val="restart"/>
                  <w:shd w:val="clear" w:color="auto" w:fill="auto"/>
                  <w:vAlign w:val="center"/>
                </w:tcPr>
                <w:p w14:paraId="736B4694">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102.1</w:t>
                  </w:r>
                </w:p>
              </w:tc>
              <w:tc>
                <w:tcPr>
                  <w:tcW w:w="541" w:type="pct"/>
                  <w:vMerge w:val="restart"/>
                  <w:shd w:val="clear" w:color="auto" w:fill="auto"/>
                  <w:vAlign w:val="center"/>
                </w:tcPr>
                <w:p w14:paraId="2D4F7135">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47.4</w:t>
                  </w:r>
                </w:p>
              </w:tc>
              <w:tc>
                <w:tcPr>
                  <w:tcW w:w="445" w:type="pct"/>
                  <w:vMerge w:val="restart"/>
                  <w:vAlign w:val="center"/>
                </w:tcPr>
                <w:p w14:paraId="08D3B0FD">
                  <w:pPr>
                    <w:keepNext w:val="0"/>
                    <w:keepLines w:val="0"/>
                    <w:pageBreakBefore w:val="0"/>
                    <w:kinsoku/>
                    <w:wordWrap/>
                    <w:overflowPunct/>
                    <w:topLinePunct w:val="0"/>
                    <w:autoSpaceDE/>
                    <w:autoSpaceDN/>
                    <w:bidi w:val="0"/>
                    <w:adjustRightInd w:val="0"/>
                    <w:snapToGrid w:val="0"/>
                    <w:ind w:firstLine="0"/>
                    <w:jc w:val="center"/>
                    <w:rPr>
                      <w:rFonts w:hint="eastAsia" w:eastAsia="宋体"/>
                      <w:color w:val="auto"/>
                      <w:szCs w:val="21"/>
                      <w:lang w:val="en-US" w:eastAsia="zh-CN"/>
                    </w:rPr>
                  </w:pPr>
                  <w:r>
                    <w:rPr>
                      <w:rFonts w:hint="eastAsia"/>
                      <w:color w:val="auto"/>
                      <w:szCs w:val="21"/>
                      <w:lang w:val="en-US" w:eastAsia="zh-CN"/>
                    </w:rPr>
                    <w:t>8</w:t>
                  </w:r>
                </w:p>
              </w:tc>
              <w:tc>
                <w:tcPr>
                  <w:tcW w:w="535" w:type="pct"/>
                  <w:vMerge w:val="restart"/>
                  <w:vAlign w:val="center"/>
                </w:tcPr>
                <w:p w14:paraId="3EF0E122">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2400</w:t>
                  </w:r>
                </w:p>
              </w:tc>
            </w:tr>
            <w:tr w14:paraId="73BCF9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7" w:type="pct"/>
                  <w:vMerge w:val="continue"/>
                  <w:vAlign w:val="center"/>
                </w:tcPr>
                <w:p w14:paraId="624CE50B">
                  <w:pPr>
                    <w:keepNext w:val="0"/>
                    <w:keepLines w:val="0"/>
                    <w:pageBreakBefore w:val="0"/>
                    <w:kinsoku/>
                    <w:wordWrap/>
                    <w:overflowPunct/>
                    <w:topLinePunct w:val="0"/>
                    <w:autoSpaceDE/>
                    <w:autoSpaceDN/>
                    <w:bidi w:val="0"/>
                    <w:adjustRightInd w:val="0"/>
                    <w:snapToGrid w:val="0"/>
                    <w:ind w:firstLine="0"/>
                    <w:jc w:val="center"/>
                    <w:rPr>
                      <w:color w:val="auto"/>
                      <w:szCs w:val="21"/>
                    </w:rPr>
                  </w:pPr>
                </w:p>
              </w:tc>
              <w:tc>
                <w:tcPr>
                  <w:tcW w:w="666" w:type="pct"/>
                  <w:vAlign w:val="center"/>
                </w:tcPr>
                <w:p w14:paraId="196AD2C9">
                  <w:pPr>
                    <w:keepNext w:val="0"/>
                    <w:keepLines w:val="0"/>
                    <w:pageBreakBefore w:val="0"/>
                    <w:widowControl/>
                    <w:kinsoku/>
                    <w:wordWrap/>
                    <w:overflowPunct/>
                    <w:topLinePunct w:val="0"/>
                    <w:autoSpaceDE/>
                    <w:autoSpaceDN/>
                    <w:bidi w:val="0"/>
                    <w:adjustRightInd w:val="0"/>
                    <w:snapToGrid w:val="0"/>
                    <w:ind w:firstLine="0"/>
                    <w:jc w:val="center"/>
                    <w:textAlignment w:val="center"/>
                    <w:rPr>
                      <w:color w:val="auto"/>
                      <w:szCs w:val="21"/>
                    </w:rPr>
                  </w:pPr>
                  <w:r>
                    <w:rPr>
                      <w:color w:val="auto"/>
                      <w:kern w:val="0"/>
                      <w:szCs w:val="21"/>
                    </w:rPr>
                    <w:t>颗粒物</w:t>
                  </w:r>
                </w:p>
              </w:tc>
              <w:tc>
                <w:tcPr>
                  <w:tcW w:w="562" w:type="pct"/>
                  <w:vAlign w:val="center"/>
                </w:tcPr>
                <w:p w14:paraId="27A413C3">
                  <w:pPr>
                    <w:keepNext w:val="0"/>
                    <w:keepLines w:val="0"/>
                    <w:pageBreakBefore w:val="0"/>
                    <w:kinsoku/>
                    <w:wordWrap/>
                    <w:overflowPunct/>
                    <w:topLinePunct w:val="0"/>
                    <w:autoSpaceDE/>
                    <w:autoSpaceDN/>
                    <w:bidi w:val="0"/>
                    <w:adjustRightInd w:val="0"/>
                    <w:snapToGrid w:val="0"/>
                    <w:ind w:firstLine="0"/>
                    <w:jc w:val="center"/>
                    <w:rPr>
                      <w:color w:val="auto"/>
                      <w:szCs w:val="21"/>
                    </w:rPr>
                  </w:pPr>
                  <w:r>
                    <w:rPr>
                      <w:color w:val="auto"/>
                      <w:kern w:val="0"/>
                      <w:szCs w:val="21"/>
                    </w:rPr>
                    <w:t>产污系数法</w:t>
                  </w:r>
                </w:p>
              </w:tc>
              <w:tc>
                <w:tcPr>
                  <w:tcW w:w="512" w:type="pct"/>
                  <w:shd w:val="clear" w:color="auto" w:fill="auto"/>
                  <w:vAlign w:val="center"/>
                </w:tcPr>
                <w:p w14:paraId="3CEC5C23">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default" w:eastAsia="宋体"/>
                      <w:color w:val="auto"/>
                      <w:kern w:val="0"/>
                      <w:szCs w:val="21"/>
                      <w:lang w:val="en-US" w:eastAsia="zh-CN"/>
                    </w:rPr>
                  </w:pPr>
                  <w:r>
                    <w:rPr>
                      <w:rFonts w:hint="eastAsia"/>
                      <w:color w:val="auto"/>
                      <w:kern w:val="0"/>
                      <w:szCs w:val="21"/>
                      <w:lang w:val="en-US" w:eastAsia="zh-CN"/>
                    </w:rPr>
                    <w:t>0.0531</w:t>
                  </w:r>
                </w:p>
              </w:tc>
              <w:tc>
                <w:tcPr>
                  <w:tcW w:w="515" w:type="pct"/>
                  <w:shd w:val="clear" w:color="auto" w:fill="auto"/>
                  <w:vAlign w:val="center"/>
                </w:tcPr>
                <w:p w14:paraId="5021C482">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default" w:eastAsia="宋体"/>
                      <w:color w:val="auto"/>
                      <w:kern w:val="0"/>
                      <w:szCs w:val="21"/>
                      <w:lang w:val="en-US" w:eastAsia="zh-CN"/>
                    </w:rPr>
                  </w:pPr>
                  <w:r>
                    <w:rPr>
                      <w:rFonts w:hint="eastAsia"/>
                      <w:color w:val="auto"/>
                      <w:kern w:val="0"/>
                      <w:szCs w:val="21"/>
                      <w:lang w:val="en-US" w:eastAsia="zh-CN"/>
                    </w:rPr>
                    <w:t>0.127</w:t>
                  </w:r>
                </w:p>
              </w:tc>
              <w:tc>
                <w:tcPr>
                  <w:tcW w:w="545" w:type="pct"/>
                  <w:vMerge w:val="continue"/>
                  <w:vAlign w:val="center"/>
                </w:tcPr>
                <w:p w14:paraId="16583CD1">
                  <w:pPr>
                    <w:keepNext w:val="0"/>
                    <w:keepLines w:val="0"/>
                    <w:pageBreakBefore w:val="0"/>
                    <w:kinsoku/>
                    <w:wordWrap/>
                    <w:overflowPunct/>
                    <w:topLinePunct w:val="0"/>
                    <w:autoSpaceDE/>
                    <w:autoSpaceDN/>
                    <w:bidi w:val="0"/>
                    <w:adjustRightInd w:val="0"/>
                    <w:snapToGrid w:val="0"/>
                    <w:ind w:firstLine="0"/>
                    <w:jc w:val="center"/>
                    <w:rPr>
                      <w:color w:val="auto"/>
                      <w:szCs w:val="21"/>
                    </w:rPr>
                  </w:pPr>
                </w:p>
              </w:tc>
              <w:tc>
                <w:tcPr>
                  <w:tcW w:w="541" w:type="pct"/>
                  <w:vMerge w:val="continue"/>
                  <w:vAlign w:val="center"/>
                </w:tcPr>
                <w:p w14:paraId="5FBC2687">
                  <w:pPr>
                    <w:keepNext w:val="0"/>
                    <w:keepLines w:val="0"/>
                    <w:pageBreakBefore w:val="0"/>
                    <w:kinsoku/>
                    <w:wordWrap/>
                    <w:overflowPunct/>
                    <w:topLinePunct w:val="0"/>
                    <w:autoSpaceDE/>
                    <w:autoSpaceDN/>
                    <w:bidi w:val="0"/>
                    <w:adjustRightInd w:val="0"/>
                    <w:snapToGrid w:val="0"/>
                    <w:ind w:firstLine="0"/>
                    <w:jc w:val="center"/>
                    <w:rPr>
                      <w:color w:val="auto"/>
                      <w:szCs w:val="21"/>
                    </w:rPr>
                  </w:pPr>
                </w:p>
              </w:tc>
              <w:tc>
                <w:tcPr>
                  <w:tcW w:w="445" w:type="pct"/>
                  <w:vMerge w:val="continue"/>
                  <w:vAlign w:val="center"/>
                </w:tcPr>
                <w:p w14:paraId="4D3B1CEE">
                  <w:pPr>
                    <w:keepNext w:val="0"/>
                    <w:keepLines w:val="0"/>
                    <w:pageBreakBefore w:val="0"/>
                    <w:kinsoku/>
                    <w:wordWrap/>
                    <w:overflowPunct/>
                    <w:topLinePunct w:val="0"/>
                    <w:autoSpaceDE/>
                    <w:autoSpaceDN/>
                    <w:bidi w:val="0"/>
                    <w:adjustRightInd w:val="0"/>
                    <w:snapToGrid w:val="0"/>
                    <w:ind w:firstLine="0"/>
                    <w:jc w:val="center"/>
                    <w:rPr>
                      <w:color w:val="auto"/>
                      <w:szCs w:val="21"/>
                    </w:rPr>
                  </w:pPr>
                </w:p>
              </w:tc>
              <w:tc>
                <w:tcPr>
                  <w:tcW w:w="535" w:type="pct"/>
                  <w:vMerge w:val="continue"/>
                  <w:vAlign w:val="center"/>
                </w:tcPr>
                <w:p w14:paraId="7868E2B8">
                  <w:pPr>
                    <w:keepNext w:val="0"/>
                    <w:keepLines w:val="0"/>
                    <w:pageBreakBefore w:val="0"/>
                    <w:kinsoku/>
                    <w:wordWrap/>
                    <w:overflowPunct/>
                    <w:topLinePunct w:val="0"/>
                    <w:autoSpaceDE/>
                    <w:autoSpaceDN/>
                    <w:bidi w:val="0"/>
                    <w:adjustRightInd w:val="0"/>
                    <w:snapToGrid w:val="0"/>
                    <w:ind w:firstLine="0"/>
                    <w:jc w:val="center"/>
                    <w:rPr>
                      <w:color w:val="auto"/>
                      <w:szCs w:val="21"/>
                    </w:rPr>
                  </w:pPr>
                </w:p>
              </w:tc>
            </w:tr>
          </w:tbl>
          <w:p w14:paraId="7DF811AB">
            <w:pPr>
              <w:widowControl/>
              <w:adjustRightInd w:val="0"/>
              <w:snapToGrid w:val="0"/>
              <w:spacing w:before="120" w:beforeLines="50"/>
              <w:ind w:firstLine="482"/>
              <w:jc w:val="center"/>
              <w:rPr>
                <w:b/>
                <w:color w:val="auto"/>
                <w:kern w:val="0"/>
                <w:sz w:val="24"/>
              </w:rPr>
            </w:pPr>
            <w:r>
              <w:rPr>
                <w:b/>
                <w:color w:val="auto"/>
                <w:kern w:val="0"/>
                <w:sz w:val="24"/>
              </w:rPr>
              <w:t>表4-</w:t>
            </w:r>
            <w:r>
              <w:rPr>
                <w:rFonts w:hint="eastAsia"/>
                <w:b/>
                <w:color w:val="auto"/>
                <w:kern w:val="0"/>
                <w:sz w:val="24"/>
                <w:lang w:val="en-US" w:eastAsia="zh-CN"/>
              </w:rPr>
              <w:t>7</w:t>
            </w:r>
            <w:r>
              <w:rPr>
                <w:b/>
                <w:color w:val="auto"/>
                <w:kern w:val="0"/>
                <w:sz w:val="24"/>
              </w:rPr>
              <w:t>建设项目废气排放口相关参数一览表</w:t>
            </w:r>
          </w:p>
          <w:tbl>
            <w:tblPr>
              <w:tblStyle w:val="88"/>
              <w:tblW w:w="4998"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108" w:type="dxa"/>
                <w:bottom w:w="0" w:type="dxa"/>
                <w:right w:w="108" w:type="dxa"/>
              </w:tblCellMar>
            </w:tblPr>
            <w:tblGrid>
              <w:gridCol w:w="1331"/>
              <w:gridCol w:w="947"/>
              <w:gridCol w:w="1157"/>
              <w:gridCol w:w="999"/>
              <w:gridCol w:w="1199"/>
              <w:gridCol w:w="1183"/>
              <w:gridCol w:w="1214"/>
              <w:gridCol w:w="1366"/>
              <w:gridCol w:w="3593"/>
            </w:tblGrid>
            <w:tr w14:paraId="15B1CFBD">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trHeight w:val="340" w:hRule="atLeast"/>
                <w:jc w:val="center"/>
              </w:trPr>
              <w:tc>
                <w:tcPr>
                  <w:tcW w:w="512" w:type="pct"/>
                  <w:tcBorders>
                    <w:tl2br w:val="nil"/>
                    <w:tr2bl w:val="nil"/>
                  </w:tcBorders>
                  <w:vAlign w:val="center"/>
                </w:tcPr>
                <w:p w14:paraId="33EA2739">
                  <w:pPr>
                    <w:keepNext w:val="0"/>
                    <w:keepLines w:val="0"/>
                    <w:pageBreakBefore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工序/生产线</w:t>
                  </w:r>
                </w:p>
              </w:tc>
              <w:tc>
                <w:tcPr>
                  <w:tcW w:w="364" w:type="pct"/>
                  <w:tcBorders>
                    <w:tl2br w:val="nil"/>
                    <w:tr2bl w:val="nil"/>
                  </w:tcBorders>
                  <w:vAlign w:val="center"/>
                </w:tcPr>
                <w:p w14:paraId="3A6809BF">
                  <w:pPr>
                    <w:keepNext w:val="0"/>
                    <w:keepLines w:val="0"/>
                    <w:pageBreakBefore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装置</w:t>
                  </w:r>
                </w:p>
              </w:tc>
              <w:tc>
                <w:tcPr>
                  <w:tcW w:w="445" w:type="pct"/>
                  <w:tcBorders>
                    <w:tl2br w:val="nil"/>
                    <w:tr2bl w:val="nil"/>
                  </w:tcBorders>
                  <w:vAlign w:val="center"/>
                </w:tcPr>
                <w:p w14:paraId="64A2975F">
                  <w:pPr>
                    <w:keepNext w:val="0"/>
                    <w:keepLines w:val="0"/>
                    <w:pageBreakBefore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污染源</w:t>
                  </w:r>
                </w:p>
              </w:tc>
              <w:tc>
                <w:tcPr>
                  <w:tcW w:w="384" w:type="pct"/>
                  <w:tcBorders>
                    <w:tl2br w:val="nil"/>
                    <w:tr2bl w:val="nil"/>
                  </w:tcBorders>
                  <w:vAlign w:val="center"/>
                </w:tcPr>
                <w:p w14:paraId="00A556D7">
                  <w:pPr>
                    <w:keepNext w:val="0"/>
                    <w:keepLines w:val="0"/>
                    <w:pageBreakBefore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排气筒编号</w:t>
                  </w:r>
                </w:p>
              </w:tc>
              <w:tc>
                <w:tcPr>
                  <w:tcW w:w="461" w:type="pct"/>
                  <w:tcBorders>
                    <w:tl2br w:val="nil"/>
                    <w:tr2bl w:val="nil"/>
                  </w:tcBorders>
                  <w:shd w:val="clear" w:color="auto" w:fill="auto"/>
                  <w:vAlign w:val="center"/>
                </w:tcPr>
                <w:p w14:paraId="4A6C0B88">
                  <w:pPr>
                    <w:keepNext w:val="0"/>
                    <w:keepLines w:val="0"/>
                    <w:pageBreakBefore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排气筒内径（m）</w:t>
                  </w:r>
                </w:p>
              </w:tc>
              <w:tc>
                <w:tcPr>
                  <w:tcW w:w="455" w:type="pct"/>
                  <w:tcBorders>
                    <w:tl2br w:val="nil"/>
                    <w:tr2bl w:val="nil"/>
                  </w:tcBorders>
                  <w:shd w:val="clear" w:color="auto" w:fill="auto"/>
                  <w:vAlign w:val="center"/>
                </w:tcPr>
                <w:p w14:paraId="55DC6678">
                  <w:pPr>
                    <w:keepNext w:val="0"/>
                    <w:keepLines w:val="0"/>
                    <w:pageBreakBefore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烟气温度（</w:t>
                  </w:r>
                  <w:r>
                    <w:rPr>
                      <w:color w:val="auto"/>
                      <w:szCs w:val="21"/>
                    </w:rPr>
                    <w:t>℃</w:t>
                  </w:r>
                  <w:r>
                    <w:rPr>
                      <w:b/>
                      <w:color w:val="auto"/>
                      <w:szCs w:val="21"/>
                    </w:rPr>
                    <w:t>）</w:t>
                  </w:r>
                </w:p>
              </w:tc>
              <w:tc>
                <w:tcPr>
                  <w:tcW w:w="467" w:type="pct"/>
                  <w:tcBorders>
                    <w:tl2br w:val="nil"/>
                    <w:tr2bl w:val="nil"/>
                  </w:tcBorders>
                  <w:shd w:val="clear" w:color="auto" w:fill="auto"/>
                  <w:vAlign w:val="center"/>
                </w:tcPr>
                <w:p w14:paraId="3A219EBF">
                  <w:pPr>
                    <w:keepNext w:val="0"/>
                    <w:keepLines w:val="0"/>
                    <w:pageBreakBefore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排气筒高度（m）</w:t>
                  </w:r>
                </w:p>
              </w:tc>
              <w:tc>
                <w:tcPr>
                  <w:tcW w:w="525" w:type="pct"/>
                  <w:tcBorders>
                    <w:tl2br w:val="nil"/>
                    <w:tr2bl w:val="nil"/>
                  </w:tcBorders>
                  <w:shd w:val="clear" w:color="auto" w:fill="auto"/>
                  <w:vAlign w:val="center"/>
                </w:tcPr>
                <w:p w14:paraId="7BF492F6">
                  <w:pPr>
                    <w:keepNext w:val="0"/>
                    <w:keepLines w:val="0"/>
                    <w:pageBreakBefore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类型</w:t>
                  </w:r>
                </w:p>
              </w:tc>
              <w:tc>
                <w:tcPr>
                  <w:tcW w:w="1383" w:type="pct"/>
                  <w:tcBorders>
                    <w:tl2br w:val="nil"/>
                    <w:tr2bl w:val="nil"/>
                  </w:tcBorders>
                  <w:shd w:val="clear" w:color="auto" w:fill="auto"/>
                  <w:vAlign w:val="center"/>
                </w:tcPr>
                <w:p w14:paraId="1F4093FF">
                  <w:pPr>
                    <w:keepNext w:val="0"/>
                    <w:keepLines w:val="0"/>
                    <w:pageBreakBefore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地理坐标</w:t>
                  </w:r>
                </w:p>
              </w:tc>
            </w:tr>
            <w:tr w14:paraId="6726B66C">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trHeight w:val="340" w:hRule="atLeast"/>
                <w:jc w:val="center"/>
              </w:trPr>
              <w:tc>
                <w:tcPr>
                  <w:tcW w:w="512" w:type="pct"/>
                  <w:tcBorders>
                    <w:tl2br w:val="nil"/>
                    <w:tr2bl w:val="nil"/>
                  </w:tcBorders>
                  <w:shd w:val="clear" w:color="auto" w:fill="auto"/>
                  <w:vAlign w:val="center"/>
                </w:tcPr>
                <w:p w14:paraId="4BF09302">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配件下料</w:t>
                  </w:r>
                </w:p>
              </w:tc>
              <w:tc>
                <w:tcPr>
                  <w:tcW w:w="364" w:type="pct"/>
                  <w:tcBorders>
                    <w:tl2br w:val="nil"/>
                    <w:tr2bl w:val="nil"/>
                  </w:tcBorders>
                  <w:shd w:val="clear" w:color="auto" w:fill="auto"/>
                  <w:vAlign w:val="center"/>
                </w:tcPr>
                <w:p w14:paraId="74BC6578">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激光切割机</w:t>
                  </w:r>
                </w:p>
              </w:tc>
              <w:tc>
                <w:tcPr>
                  <w:tcW w:w="445" w:type="pct"/>
                  <w:tcBorders>
                    <w:tl2br w:val="nil"/>
                    <w:tr2bl w:val="nil"/>
                  </w:tcBorders>
                  <w:shd w:val="clear" w:color="auto" w:fill="auto"/>
                  <w:vAlign w:val="center"/>
                </w:tcPr>
                <w:p w14:paraId="1442795E">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w:t>
                  </w:r>
                  <w:r>
                    <w:rPr>
                      <w:color w:val="auto"/>
                      <w:szCs w:val="21"/>
                    </w:rPr>
                    <w:t>#排气筒</w:t>
                  </w:r>
                </w:p>
              </w:tc>
              <w:tc>
                <w:tcPr>
                  <w:tcW w:w="384" w:type="pct"/>
                  <w:tcBorders>
                    <w:tl2br w:val="nil"/>
                    <w:tr2bl w:val="nil"/>
                  </w:tcBorders>
                  <w:shd w:val="clear" w:color="auto" w:fill="auto"/>
                  <w:vAlign w:val="center"/>
                </w:tcPr>
                <w:p w14:paraId="577C7807">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DA00</w:t>
                  </w:r>
                  <w:r>
                    <w:rPr>
                      <w:rFonts w:hint="eastAsia"/>
                      <w:color w:val="auto"/>
                      <w:szCs w:val="21"/>
                    </w:rPr>
                    <w:t>1</w:t>
                  </w:r>
                </w:p>
              </w:tc>
              <w:tc>
                <w:tcPr>
                  <w:tcW w:w="461" w:type="pct"/>
                  <w:tcBorders>
                    <w:tl2br w:val="nil"/>
                    <w:tr2bl w:val="nil"/>
                  </w:tcBorders>
                  <w:shd w:val="clear" w:color="auto" w:fill="auto"/>
                  <w:vAlign w:val="center"/>
                </w:tcPr>
                <w:p w14:paraId="4D919B63">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0.4</w:t>
                  </w:r>
                </w:p>
              </w:tc>
              <w:tc>
                <w:tcPr>
                  <w:tcW w:w="455" w:type="pct"/>
                  <w:tcBorders>
                    <w:tl2br w:val="nil"/>
                    <w:tr2bl w:val="nil"/>
                  </w:tcBorders>
                  <w:shd w:val="clear" w:color="auto" w:fill="auto"/>
                  <w:vAlign w:val="center"/>
                </w:tcPr>
                <w:p w14:paraId="42E730F1">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25℃</w:t>
                  </w:r>
                </w:p>
              </w:tc>
              <w:tc>
                <w:tcPr>
                  <w:tcW w:w="467" w:type="pct"/>
                  <w:tcBorders>
                    <w:tl2br w:val="nil"/>
                    <w:tr2bl w:val="nil"/>
                  </w:tcBorders>
                  <w:shd w:val="clear" w:color="auto" w:fill="auto"/>
                  <w:vAlign w:val="center"/>
                </w:tcPr>
                <w:p w14:paraId="087E134C">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15m</w:t>
                  </w:r>
                </w:p>
              </w:tc>
              <w:tc>
                <w:tcPr>
                  <w:tcW w:w="525" w:type="pct"/>
                  <w:tcBorders>
                    <w:tl2br w:val="nil"/>
                    <w:tr2bl w:val="nil"/>
                  </w:tcBorders>
                  <w:shd w:val="clear" w:color="auto" w:fill="auto"/>
                  <w:vAlign w:val="center"/>
                </w:tcPr>
                <w:p w14:paraId="3DC0EBB0">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一般排放口</w:t>
                  </w:r>
                </w:p>
              </w:tc>
              <w:tc>
                <w:tcPr>
                  <w:tcW w:w="1383" w:type="pct"/>
                  <w:tcBorders>
                    <w:tl2br w:val="nil"/>
                    <w:tr2bl w:val="nil"/>
                  </w:tcBorders>
                  <w:shd w:val="clear" w:color="auto" w:fill="auto"/>
                  <w:vAlign w:val="center"/>
                </w:tcPr>
                <w:p w14:paraId="4B0926D1">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119°15'</w:t>
                  </w:r>
                  <w:r>
                    <w:rPr>
                      <w:rFonts w:hint="eastAsia"/>
                      <w:color w:val="auto"/>
                      <w:szCs w:val="21"/>
                      <w:lang w:val="en-US" w:eastAsia="zh-CN"/>
                    </w:rPr>
                    <w:t>2</w:t>
                  </w:r>
                  <w:r>
                    <w:rPr>
                      <w:rFonts w:hint="eastAsia"/>
                      <w:color w:val="auto"/>
                      <w:szCs w:val="21"/>
                    </w:rPr>
                    <w:t>7.425"</w:t>
                  </w:r>
                  <w:r>
                    <w:rPr>
                      <w:rFonts w:hint="eastAsia"/>
                      <w:color w:val="auto"/>
                      <w:szCs w:val="21"/>
                      <w:lang w:eastAsia="zh-CN"/>
                    </w:rPr>
                    <w:t>,</w:t>
                  </w:r>
                  <w:r>
                    <w:rPr>
                      <w:rFonts w:hint="eastAsia"/>
                      <w:color w:val="auto"/>
                      <w:szCs w:val="21"/>
                    </w:rPr>
                    <w:t>33°49'</w:t>
                  </w:r>
                  <w:r>
                    <w:rPr>
                      <w:rFonts w:hint="eastAsia"/>
                      <w:color w:val="auto"/>
                      <w:szCs w:val="21"/>
                      <w:lang w:val="en-US" w:eastAsia="zh-CN"/>
                    </w:rPr>
                    <w:t>1</w:t>
                  </w:r>
                  <w:r>
                    <w:rPr>
                      <w:rFonts w:hint="eastAsia"/>
                      <w:color w:val="auto"/>
                      <w:szCs w:val="21"/>
                    </w:rPr>
                    <w:t>0.445"</w:t>
                  </w:r>
                </w:p>
              </w:tc>
            </w:tr>
            <w:tr w14:paraId="45E8AEB3">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trHeight w:val="340" w:hRule="atLeast"/>
                <w:jc w:val="center"/>
              </w:trPr>
              <w:tc>
                <w:tcPr>
                  <w:tcW w:w="512" w:type="pct"/>
                  <w:tcBorders>
                    <w:tl2br w:val="nil"/>
                    <w:tr2bl w:val="nil"/>
                  </w:tcBorders>
                  <w:shd w:val="clear" w:color="auto" w:fill="auto"/>
                  <w:vAlign w:val="center"/>
                </w:tcPr>
                <w:p w14:paraId="0E2FEF07">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定子真空浸漆系统</w:t>
                  </w:r>
                  <w:r>
                    <w:rPr>
                      <w:rFonts w:hint="eastAsia"/>
                      <w:color w:val="auto"/>
                      <w:kern w:val="0"/>
                      <w:szCs w:val="21"/>
                      <w:lang w:eastAsia="zh-CN"/>
                    </w:rPr>
                    <w:t>、</w:t>
                  </w:r>
                  <w:r>
                    <w:rPr>
                      <w:rFonts w:hint="eastAsia"/>
                      <w:color w:val="auto"/>
                      <w:kern w:val="0"/>
                      <w:szCs w:val="21"/>
                    </w:rPr>
                    <w:t>电机喷漆生产线</w:t>
                  </w:r>
                </w:p>
              </w:tc>
              <w:tc>
                <w:tcPr>
                  <w:tcW w:w="364" w:type="pct"/>
                  <w:tcBorders>
                    <w:tl2br w:val="nil"/>
                    <w:tr2bl w:val="nil"/>
                  </w:tcBorders>
                  <w:shd w:val="clear" w:color="auto" w:fill="auto"/>
                  <w:vAlign w:val="center"/>
                </w:tcPr>
                <w:p w14:paraId="06AD5AA1">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w:t>
                  </w:r>
                </w:p>
              </w:tc>
              <w:tc>
                <w:tcPr>
                  <w:tcW w:w="445" w:type="pct"/>
                  <w:tcBorders>
                    <w:tl2br w:val="nil"/>
                    <w:tr2bl w:val="nil"/>
                  </w:tcBorders>
                  <w:shd w:val="clear" w:color="auto" w:fill="auto"/>
                  <w:vAlign w:val="center"/>
                </w:tcPr>
                <w:p w14:paraId="2C79DDC9">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2</w:t>
                  </w:r>
                  <w:r>
                    <w:rPr>
                      <w:color w:val="auto"/>
                      <w:szCs w:val="21"/>
                    </w:rPr>
                    <w:t>#排气筒</w:t>
                  </w:r>
                </w:p>
              </w:tc>
              <w:tc>
                <w:tcPr>
                  <w:tcW w:w="384" w:type="pct"/>
                  <w:tcBorders>
                    <w:tl2br w:val="nil"/>
                    <w:tr2bl w:val="nil"/>
                  </w:tcBorders>
                  <w:shd w:val="clear" w:color="auto" w:fill="auto"/>
                  <w:vAlign w:val="center"/>
                </w:tcPr>
                <w:p w14:paraId="3FC4E2A2">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DA00</w:t>
                  </w:r>
                  <w:r>
                    <w:rPr>
                      <w:rFonts w:hint="eastAsia"/>
                      <w:color w:val="auto"/>
                      <w:szCs w:val="21"/>
                    </w:rPr>
                    <w:t>2</w:t>
                  </w:r>
                </w:p>
              </w:tc>
              <w:tc>
                <w:tcPr>
                  <w:tcW w:w="461" w:type="pct"/>
                  <w:tcBorders>
                    <w:tl2br w:val="nil"/>
                    <w:tr2bl w:val="nil"/>
                  </w:tcBorders>
                  <w:shd w:val="clear" w:color="auto" w:fill="auto"/>
                  <w:vAlign w:val="center"/>
                </w:tcPr>
                <w:p w14:paraId="528A0E8E">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0.4</w:t>
                  </w:r>
                </w:p>
              </w:tc>
              <w:tc>
                <w:tcPr>
                  <w:tcW w:w="455" w:type="pct"/>
                  <w:tcBorders>
                    <w:tl2br w:val="nil"/>
                    <w:tr2bl w:val="nil"/>
                  </w:tcBorders>
                  <w:shd w:val="clear" w:color="auto" w:fill="auto"/>
                  <w:vAlign w:val="center"/>
                </w:tcPr>
                <w:p w14:paraId="23C13773">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25℃</w:t>
                  </w:r>
                </w:p>
              </w:tc>
              <w:tc>
                <w:tcPr>
                  <w:tcW w:w="467" w:type="pct"/>
                  <w:tcBorders>
                    <w:tl2br w:val="nil"/>
                    <w:tr2bl w:val="nil"/>
                  </w:tcBorders>
                  <w:shd w:val="clear" w:color="auto" w:fill="auto"/>
                  <w:vAlign w:val="center"/>
                </w:tcPr>
                <w:p w14:paraId="6765E47E">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15m</w:t>
                  </w:r>
                </w:p>
              </w:tc>
              <w:tc>
                <w:tcPr>
                  <w:tcW w:w="525" w:type="pct"/>
                  <w:tcBorders>
                    <w:tl2br w:val="nil"/>
                    <w:tr2bl w:val="nil"/>
                  </w:tcBorders>
                  <w:shd w:val="clear" w:color="auto" w:fill="auto"/>
                  <w:vAlign w:val="center"/>
                </w:tcPr>
                <w:p w14:paraId="2A17F7E9">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一般排放口</w:t>
                  </w:r>
                </w:p>
              </w:tc>
              <w:tc>
                <w:tcPr>
                  <w:tcW w:w="1383" w:type="pct"/>
                  <w:tcBorders>
                    <w:tl2br w:val="nil"/>
                    <w:tr2bl w:val="nil"/>
                  </w:tcBorders>
                  <w:shd w:val="clear" w:color="auto" w:fill="auto"/>
                  <w:vAlign w:val="center"/>
                </w:tcPr>
                <w:p w14:paraId="15AC6DDE">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119°15'</w:t>
                  </w:r>
                  <w:r>
                    <w:rPr>
                      <w:rFonts w:hint="eastAsia"/>
                      <w:color w:val="auto"/>
                      <w:szCs w:val="21"/>
                      <w:lang w:val="en-US" w:eastAsia="zh-CN"/>
                    </w:rPr>
                    <w:t>2</w:t>
                  </w:r>
                  <w:r>
                    <w:rPr>
                      <w:rFonts w:hint="eastAsia"/>
                      <w:color w:val="auto"/>
                      <w:szCs w:val="21"/>
                    </w:rPr>
                    <w:t>7.414"</w:t>
                  </w:r>
                  <w:r>
                    <w:rPr>
                      <w:rFonts w:hint="eastAsia"/>
                      <w:color w:val="auto"/>
                      <w:szCs w:val="21"/>
                      <w:lang w:eastAsia="zh-CN"/>
                    </w:rPr>
                    <w:t>,</w:t>
                  </w:r>
                  <w:r>
                    <w:rPr>
                      <w:rFonts w:hint="eastAsia"/>
                      <w:color w:val="auto"/>
                      <w:szCs w:val="21"/>
                    </w:rPr>
                    <w:t>33°49'</w:t>
                  </w:r>
                  <w:r>
                    <w:rPr>
                      <w:rFonts w:hint="eastAsia"/>
                      <w:color w:val="auto"/>
                      <w:szCs w:val="21"/>
                      <w:lang w:val="en-US" w:eastAsia="zh-CN"/>
                    </w:rPr>
                    <w:t>1</w:t>
                  </w:r>
                  <w:r>
                    <w:rPr>
                      <w:rFonts w:hint="eastAsia"/>
                      <w:color w:val="auto"/>
                      <w:szCs w:val="21"/>
                    </w:rPr>
                    <w:t>0.615"</w:t>
                  </w:r>
                </w:p>
              </w:tc>
            </w:tr>
          </w:tbl>
          <w:p w14:paraId="6076A533">
            <w:pPr>
              <w:adjustRightInd w:val="0"/>
              <w:snapToGrid w:val="0"/>
              <w:rPr>
                <w:bCs/>
                <w:color w:val="auto"/>
                <w:sz w:val="24"/>
              </w:rPr>
            </w:pPr>
          </w:p>
        </w:tc>
      </w:tr>
    </w:tbl>
    <w:p w14:paraId="2B5A6BE3">
      <w:pPr>
        <w:adjustRightInd w:val="0"/>
        <w:snapToGrid w:val="0"/>
        <w:jc w:val="center"/>
        <w:rPr>
          <w:bCs/>
          <w:color w:val="auto"/>
          <w:sz w:val="24"/>
        </w:rPr>
      </w:pPr>
      <w:r>
        <w:rPr>
          <w:bCs/>
          <w:color w:val="auto"/>
          <w:sz w:val="24"/>
        </w:rPr>
        <w:br w:type="page"/>
      </w:r>
    </w:p>
    <w:p w14:paraId="746322F3">
      <w:pPr>
        <w:adjustRightInd w:val="0"/>
        <w:snapToGrid w:val="0"/>
        <w:jc w:val="center"/>
        <w:rPr>
          <w:bCs/>
          <w:color w:val="auto"/>
          <w:sz w:val="24"/>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tbl>
      <w:tblPr>
        <w:tblStyle w:val="88"/>
        <w:tblW w:w="504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84"/>
        <w:gridCol w:w="8675"/>
      </w:tblGrid>
      <w:tr w14:paraId="3BA5A1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23" w:hRule="atLeast"/>
          <w:jc w:val="center"/>
        </w:trPr>
        <w:tc>
          <w:tcPr>
            <w:tcW w:w="381" w:type="dxa"/>
            <w:tcMar>
              <w:left w:w="28" w:type="dxa"/>
              <w:right w:w="28" w:type="dxa"/>
            </w:tcMar>
            <w:vAlign w:val="center"/>
          </w:tcPr>
          <w:p w14:paraId="56B969FC">
            <w:pPr>
              <w:adjustRightInd w:val="0"/>
              <w:snapToGrid w:val="0"/>
              <w:jc w:val="center"/>
              <w:rPr>
                <w:bCs/>
                <w:color w:val="auto"/>
                <w:sz w:val="24"/>
              </w:rPr>
            </w:pPr>
            <w:r>
              <w:rPr>
                <w:bCs/>
                <w:color w:val="auto"/>
                <w:sz w:val="24"/>
              </w:rPr>
              <w:t>运营</w:t>
            </w:r>
          </w:p>
          <w:p w14:paraId="15D4F267">
            <w:pPr>
              <w:adjustRightInd w:val="0"/>
              <w:snapToGrid w:val="0"/>
              <w:jc w:val="center"/>
              <w:rPr>
                <w:bCs/>
                <w:color w:val="auto"/>
                <w:sz w:val="24"/>
              </w:rPr>
            </w:pPr>
            <w:r>
              <w:rPr>
                <w:bCs/>
                <w:color w:val="auto"/>
                <w:sz w:val="24"/>
              </w:rPr>
              <w:t>期环</w:t>
            </w:r>
          </w:p>
          <w:p w14:paraId="625FF036">
            <w:pPr>
              <w:adjustRightInd w:val="0"/>
              <w:snapToGrid w:val="0"/>
              <w:jc w:val="center"/>
              <w:rPr>
                <w:bCs/>
                <w:color w:val="auto"/>
                <w:sz w:val="24"/>
              </w:rPr>
            </w:pPr>
            <w:r>
              <w:rPr>
                <w:bCs/>
                <w:color w:val="auto"/>
                <w:sz w:val="24"/>
              </w:rPr>
              <w:t>境影</w:t>
            </w:r>
          </w:p>
          <w:p w14:paraId="6C07442C">
            <w:pPr>
              <w:adjustRightInd w:val="0"/>
              <w:snapToGrid w:val="0"/>
              <w:jc w:val="center"/>
              <w:rPr>
                <w:bCs/>
                <w:color w:val="auto"/>
                <w:sz w:val="24"/>
              </w:rPr>
            </w:pPr>
            <w:r>
              <w:rPr>
                <w:bCs/>
                <w:color w:val="auto"/>
                <w:sz w:val="24"/>
              </w:rPr>
              <w:t>响和</w:t>
            </w:r>
          </w:p>
          <w:p w14:paraId="48B8DF1C">
            <w:pPr>
              <w:adjustRightInd w:val="0"/>
              <w:snapToGrid w:val="0"/>
              <w:jc w:val="center"/>
              <w:rPr>
                <w:bCs/>
                <w:color w:val="auto"/>
                <w:sz w:val="24"/>
              </w:rPr>
            </w:pPr>
            <w:r>
              <w:rPr>
                <w:bCs/>
                <w:color w:val="auto"/>
                <w:sz w:val="24"/>
              </w:rPr>
              <w:t>保护</w:t>
            </w:r>
          </w:p>
          <w:p w14:paraId="6B5293FF">
            <w:pPr>
              <w:adjustRightInd w:val="0"/>
              <w:snapToGrid w:val="0"/>
              <w:jc w:val="center"/>
              <w:rPr>
                <w:bCs/>
                <w:color w:val="auto"/>
                <w:sz w:val="24"/>
              </w:rPr>
            </w:pPr>
            <w:r>
              <w:rPr>
                <w:bCs/>
                <w:color w:val="auto"/>
                <w:sz w:val="24"/>
              </w:rPr>
              <w:t>措施</w:t>
            </w:r>
          </w:p>
        </w:tc>
        <w:tc>
          <w:tcPr>
            <w:tcW w:w="8599" w:type="dxa"/>
            <w:vAlign w:val="center"/>
          </w:tcPr>
          <w:p w14:paraId="65B9BE94">
            <w:pPr>
              <w:adjustRightInd w:val="0"/>
              <w:snapToGrid w:val="0"/>
              <w:spacing w:line="360" w:lineRule="auto"/>
              <w:ind w:firstLine="482" w:firstLineChars="200"/>
              <w:rPr>
                <w:b/>
                <w:color w:val="auto"/>
                <w:sz w:val="24"/>
              </w:rPr>
            </w:pPr>
            <w:r>
              <w:rPr>
                <w:rFonts w:hint="eastAsia"/>
                <w:b/>
                <w:color w:val="auto"/>
                <w:sz w:val="24"/>
              </w:rPr>
              <w:t>2.</w:t>
            </w:r>
            <w:r>
              <w:rPr>
                <w:b/>
                <w:color w:val="auto"/>
                <w:sz w:val="24"/>
              </w:rPr>
              <w:t>非正常工况废气排放量核算</w:t>
            </w:r>
          </w:p>
          <w:p w14:paraId="72DA1972">
            <w:pPr>
              <w:adjustRightInd w:val="0"/>
              <w:snapToGrid w:val="0"/>
              <w:spacing w:line="360" w:lineRule="auto"/>
              <w:ind w:firstLine="480" w:firstLineChars="200"/>
              <w:rPr>
                <w:color w:val="auto"/>
                <w:sz w:val="24"/>
              </w:rPr>
            </w:pPr>
            <w:r>
              <w:rPr>
                <w:color w:val="auto"/>
                <w:sz w:val="24"/>
              </w:rPr>
              <w:t>根据项目污染物源强及治理措施情况，非正常工况主要考虑废气处理装置故障，导致废气处理设备处理效率为50%，类比同类项目年发生频次小于1次/年，单次持续时间以30min计，非正常排放量核算见</w:t>
            </w:r>
            <w:r>
              <w:rPr>
                <w:color w:val="auto"/>
              </w:rPr>
              <w:fldChar w:fldCharType="begin"/>
            </w:r>
            <w:r>
              <w:rPr>
                <w:color w:val="auto"/>
              </w:rPr>
              <w:instrText xml:space="preserve"> HYPERLINK \l "_bookmark159" </w:instrText>
            </w:r>
            <w:r>
              <w:rPr>
                <w:color w:val="auto"/>
              </w:rPr>
              <w:fldChar w:fldCharType="separate"/>
            </w:r>
            <w:r>
              <w:rPr>
                <w:color w:val="auto"/>
                <w:sz w:val="24"/>
              </w:rPr>
              <w:t>表</w:t>
            </w:r>
            <w:r>
              <w:rPr>
                <w:color w:val="auto"/>
                <w:sz w:val="24"/>
              </w:rPr>
              <w:fldChar w:fldCharType="end"/>
            </w:r>
            <w:r>
              <w:rPr>
                <w:color w:val="auto"/>
              </w:rPr>
              <w:fldChar w:fldCharType="begin"/>
            </w:r>
            <w:r>
              <w:rPr>
                <w:color w:val="auto"/>
              </w:rPr>
              <w:instrText xml:space="preserve"> HYPERLINK \l "_bookmark159" </w:instrText>
            </w:r>
            <w:r>
              <w:rPr>
                <w:color w:val="auto"/>
              </w:rPr>
              <w:fldChar w:fldCharType="separate"/>
            </w:r>
            <w:r>
              <w:rPr>
                <w:color w:val="auto"/>
                <w:sz w:val="24"/>
              </w:rPr>
              <w:t>4-3</w:t>
            </w:r>
            <w:r>
              <w:rPr>
                <w:color w:val="auto"/>
                <w:sz w:val="24"/>
              </w:rPr>
              <w:fldChar w:fldCharType="end"/>
            </w:r>
            <w:r>
              <w:rPr>
                <w:color w:val="auto"/>
                <w:sz w:val="24"/>
              </w:rPr>
              <w:t>。拟采取的防范措施如下：</w:t>
            </w:r>
          </w:p>
          <w:p w14:paraId="50FC11EE">
            <w:pPr>
              <w:adjustRightInd w:val="0"/>
              <w:snapToGrid w:val="0"/>
              <w:spacing w:line="360" w:lineRule="auto"/>
              <w:ind w:firstLine="480" w:firstLineChars="200"/>
              <w:rPr>
                <w:color w:val="auto"/>
                <w:sz w:val="24"/>
              </w:rPr>
            </w:pPr>
            <w:r>
              <w:rPr>
                <w:rFonts w:hint="eastAsia" w:ascii="宋体" w:hAnsi="宋体" w:cs="宋体"/>
                <w:color w:val="auto"/>
                <w:sz w:val="24"/>
              </w:rPr>
              <w:t>①</w:t>
            </w:r>
            <w:r>
              <w:rPr>
                <w:color w:val="auto"/>
                <w:sz w:val="24"/>
              </w:rPr>
              <w:t>平时注意废气处理设施的维护，及时检查废气处理装置的有效性和设备的运行情况，确保废气处理系统正常运行；开、停、检修要有预案，有严密周全的计划，降低非正常排放</w:t>
            </w:r>
            <w:r>
              <w:rPr>
                <w:rFonts w:hint="eastAsia"/>
                <w:color w:val="auto"/>
                <w:sz w:val="24"/>
                <w:lang w:eastAsia="zh-CN"/>
              </w:rPr>
              <w:t>概率</w:t>
            </w:r>
            <w:r>
              <w:rPr>
                <w:color w:val="auto"/>
                <w:sz w:val="24"/>
              </w:rPr>
              <w:t>，或使影响最小。</w:t>
            </w:r>
          </w:p>
          <w:p w14:paraId="671C3558">
            <w:pPr>
              <w:adjustRightInd w:val="0"/>
              <w:snapToGrid w:val="0"/>
              <w:spacing w:line="360" w:lineRule="auto"/>
              <w:ind w:firstLine="480" w:firstLineChars="200"/>
              <w:rPr>
                <w:color w:val="auto"/>
                <w:sz w:val="24"/>
              </w:rPr>
            </w:pPr>
            <w:r>
              <w:rPr>
                <w:rFonts w:hint="eastAsia" w:ascii="宋体" w:hAnsi="宋体" w:cs="宋体"/>
                <w:color w:val="auto"/>
                <w:sz w:val="24"/>
              </w:rPr>
              <w:t>②</w:t>
            </w:r>
            <w:r>
              <w:rPr>
                <w:color w:val="auto"/>
                <w:sz w:val="24"/>
              </w:rPr>
              <w:t>应设有备用电源和备用处理设备和零件，以备停电或设备出现故障时保障及时更换使废气全部做到达标排放。</w:t>
            </w:r>
          </w:p>
          <w:p w14:paraId="579E188F">
            <w:pPr>
              <w:adjustRightInd w:val="0"/>
              <w:snapToGrid w:val="0"/>
              <w:spacing w:line="360" w:lineRule="auto"/>
              <w:ind w:firstLine="480" w:firstLineChars="200"/>
              <w:rPr>
                <w:color w:val="auto"/>
                <w:sz w:val="24"/>
              </w:rPr>
            </w:pPr>
            <w:r>
              <w:rPr>
                <w:rFonts w:hint="eastAsia" w:ascii="宋体" w:hAnsi="宋体" w:cs="宋体"/>
                <w:color w:val="auto"/>
                <w:sz w:val="24"/>
              </w:rPr>
              <w:t>③</w:t>
            </w:r>
            <w:r>
              <w:rPr>
                <w:color w:val="auto"/>
                <w:sz w:val="24"/>
              </w:rPr>
              <w:t>对员工进行岗位培训，做好值班记录，实行岗位责任制。</w:t>
            </w:r>
          </w:p>
          <w:p w14:paraId="03F6F279">
            <w:pPr>
              <w:adjustRightInd w:val="0"/>
              <w:snapToGrid w:val="0"/>
              <w:ind w:firstLine="482" w:firstLineChars="200"/>
              <w:jc w:val="center"/>
              <w:rPr>
                <w:b/>
                <w:color w:val="auto"/>
                <w:sz w:val="24"/>
              </w:rPr>
            </w:pPr>
            <w:r>
              <w:rPr>
                <w:b/>
                <w:color w:val="auto"/>
                <w:sz w:val="24"/>
              </w:rPr>
              <w:t>表4-</w:t>
            </w:r>
            <w:r>
              <w:rPr>
                <w:rFonts w:hint="eastAsia"/>
                <w:b/>
                <w:color w:val="auto"/>
                <w:sz w:val="24"/>
                <w:lang w:val="en-US" w:eastAsia="zh-CN"/>
              </w:rPr>
              <w:t>8</w:t>
            </w:r>
            <w:r>
              <w:rPr>
                <w:b/>
                <w:color w:val="auto"/>
                <w:sz w:val="24"/>
              </w:rPr>
              <w:t>污染源非正常排放量核算表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1" w:type="dxa"/>
                <w:bottom w:w="0" w:type="dxa"/>
                <w:right w:w="11" w:type="dxa"/>
              </w:tblCellMar>
            </w:tblPr>
            <w:tblGrid>
              <w:gridCol w:w="370"/>
              <w:gridCol w:w="1349"/>
              <w:gridCol w:w="984"/>
              <w:gridCol w:w="984"/>
              <w:gridCol w:w="1391"/>
              <w:gridCol w:w="1325"/>
              <w:gridCol w:w="1002"/>
              <w:gridCol w:w="1054"/>
            </w:tblGrid>
            <w:tr w14:paraId="5CB0B2E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340" w:hRule="atLeast"/>
                <w:jc w:val="center"/>
              </w:trPr>
              <w:tc>
                <w:tcPr>
                  <w:tcW w:w="218" w:type="pct"/>
                  <w:vAlign w:val="center"/>
                </w:tcPr>
                <w:p w14:paraId="0AF34EA3">
                  <w:pPr>
                    <w:keepNext w:val="0"/>
                    <w:keepLines w:val="0"/>
                    <w:pageBreakBefore w:val="0"/>
                    <w:kinsoku/>
                    <w:wordWrap/>
                    <w:overflowPunct/>
                    <w:topLinePunct w:val="0"/>
                    <w:autoSpaceDE/>
                    <w:autoSpaceDN/>
                    <w:bidi w:val="0"/>
                    <w:adjustRightInd w:val="0"/>
                    <w:snapToGrid w:val="0"/>
                    <w:ind w:firstLine="0"/>
                    <w:jc w:val="center"/>
                    <w:rPr>
                      <w:b/>
                      <w:color w:val="auto"/>
                      <w:szCs w:val="21"/>
                    </w:rPr>
                  </w:pPr>
                  <w:r>
                    <w:rPr>
                      <w:b/>
                      <w:color w:val="auto"/>
                      <w:szCs w:val="21"/>
                    </w:rPr>
                    <w:t>编号</w:t>
                  </w:r>
                </w:p>
              </w:tc>
              <w:tc>
                <w:tcPr>
                  <w:tcW w:w="797" w:type="pct"/>
                  <w:vAlign w:val="center"/>
                </w:tcPr>
                <w:p w14:paraId="07BFF23F">
                  <w:pPr>
                    <w:keepNext w:val="0"/>
                    <w:keepLines w:val="0"/>
                    <w:pageBreakBefore w:val="0"/>
                    <w:kinsoku/>
                    <w:wordWrap/>
                    <w:overflowPunct/>
                    <w:topLinePunct w:val="0"/>
                    <w:autoSpaceDE/>
                    <w:autoSpaceDN/>
                    <w:bidi w:val="0"/>
                    <w:adjustRightInd w:val="0"/>
                    <w:snapToGrid w:val="0"/>
                    <w:ind w:firstLine="0"/>
                    <w:jc w:val="center"/>
                    <w:rPr>
                      <w:b/>
                      <w:color w:val="auto"/>
                      <w:szCs w:val="21"/>
                    </w:rPr>
                  </w:pPr>
                  <w:r>
                    <w:rPr>
                      <w:b/>
                      <w:color w:val="auto"/>
                      <w:szCs w:val="21"/>
                    </w:rPr>
                    <w:t>非正常排放源</w:t>
                  </w:r>
                </w:p>
              </w:tc>
              <w:tc>
                <w:tcPr>
                  <w:tcW w:w="581" w:type="pct"/>
                  <w:vAlign w:val="center"/>
                </w:tcPr>
                <w:p w14:paraId="43F469BC">
                  <w:pPr>
                    <w:keepNext w:val="0"/>
                    <w:keepLines w:val="0"/>
                    <w:pageBreakBefore w:val="0"/>
                    <w:kinsoku/>
                    <w:wordWrap/>
                    <w:overflowPunct/>
                    <w:topLinePunct w:val="0"/>
                    <w:autoSpaceDE/>
                    <w:autoSpaceDN/>
                    <w:bidi w:val="0"/>
                    <w:adjustRightInd w:val="0"/>
                    <w:snapToGrid w:val="0"/>
                    <w:ind w:firstLine="0"/>
                    <w:jc w:val="center"/>
                    <w:rPr>
                      <w:b/>
                      <w:color w:val="auto"/>
                      <w:szCs w:val="21"/>
                    </w:rPr>
                  </w:pPr>
                  <w:r>
                    <w:rPr>
                      <w:b/>
                      <w:color w:val="auto"/>
                      <w:szCs w:val="21"/>
                    </w:rPr>
                    <w:t>非正常排放原因</w:t>
                  </w:r>
                </w:p>
              </w:tc>
              <w:tc>
                <w:tcPr>
                  <w:tcW w:w="581" w:type="pct"/>
                  <w:vAlign w:val="center"/>
                </w:tcPr>
                <w:p w14:paraId="79096AC0">
                  <w:pPr>
                    <w:keepNext w:val="0"/>
                    <w:keepLines w:val="0"/>
                    <w:pageBreakBefore w:val="0"/>
                    <w:kinsoku/>
                    <w:wordWrap/>
                    <w:overflowPunct/>
                    <w:topLinePunct w:val="0"/>
                    <w:autoSpaceDE/>
                    <w:autoSpaceDN/>
                    <w:bidi w:val="0"/>
                    <w:adjustRightInd w:val="0"/>
                    <w:snapToGrid w:val="0"/>
                    <w:ind w:firstLine="0"/>
                    <w:jc w:val="center"/>
                    <w:rPr>
                      <w:b/>
                      <w:color w:val="auto"/>
                      <w:szCs w:val="21"/>
                    </w:rPr>
                  </w:pPr>
                  <w:r>
                    <w:rPr>
                      <w:b/>
                      <w:color w:val="auto"/>
                      <w:szCs w:val="21"/>
                    </w:rPr>
                    <w:t>污染物</w:t>
                  </w:r>
                </w:p>
              </w:tc>
              <w:tc>
                <w:tcPr>
                  <w:tcW w:w="822" w:type="pct"/>
                  <w:vAlign w:val="center"/>
                </w:tcPr>
                <w:p w14:paraId="02691DB5">
                  <w:pPr>
                    <w:keepNext w:val="0"/>
                    <w:keepLines w:val="0"/>
                    <w:pageBreakBefore w:val="0"/>
                    <w:kinsoku/>
                    <w:wordWrap/>
                    <w:overflowPunct/>
                    <w:topLinePunct w:val="0"/>
                    <w:autoSpaceDE/>
                    <w:autoSpaceDN/>
                    <w:bidi w:val="0"/>
                    <w:adjustRightInd w:val="0"/>
                    <w:snapToGrid w:val="0"/>
                    <w:ind w:firstLine="0"/>
                    <w:jc w:val="center"/>
                    <w:rPr>
                      <w:b/>
                      <w:color w:val="auto"/>
                      <w:szCs w:val="21"/>
                    </w:rPr>
                  </w:pPr>
                  <w:r>
                    <w:rPr>
                      <w:b/>
                      <w:color w:val="auto"/>
                      <w:szCs w:val="21"/>
                    </w:rPr>
                    <w:t>非正常排放速率</w:t>
                  </w:r>
                  <w:r>
                    <w:rPr>
                      <w:rFonts w:hint="eastAsia"/>
                      <w:b/>
                      <w:color w:val="auto"/>
                      <w:szCs w:val="21"/>
                    </w:rPr>
                    <w:t>（</w:t>
                  </w:r>
                  <w:r>
                    <w:rPr>
                      <w:b/>
                      <w:color w:val="auto"/>
                      <w:szCs w:val="21"/>
                    </w:rPr>
                    <w:t>kg/h</w:t>
                  </w:r>
                  <w:r>
                    <w:rPr>
                      <w:rFonts w:hint="eastAsia"/>
                      <w:b/>
                      <w:color w:val="auto"/>
                      <w:szCs w:val="21"/>
                    </w:rPr>
                    <w:t>）</w:t>
                  </w:r>
                </w:p>
              </w:tc>
              <w:tc>
                <w:tcPr>
                  <w:tcW w:w="783" w:type="pct"/>
                  <w:vAlign w:val="center"/>
                </w:tcPr>
                <w:p w14:paraId="2A14ADBE">
                  <w:pPr>
                    <w:keepNext w:val="0"/>
                    <w:keepLines w:val="0"/>
                    <w:pageBreakBefore w:val="0"/>
                    <w:kinsoku/>
                    <w:wordWrap/>
                    <w:overflowPunct/>
                    <w:topLinePunct w:val="0"/>
                    <w:autoSpaceDE/>
                    <w:autoSpaceDN/>
                    <w:bidi w:val="0"/>
                    <w:adjustRightInd w:val="0"/>
                    <w:snapToGrid w:val="0"/>
                    <w:ind w:firstLine="0"/>
                    <w:jc w:val="center"/>
                    <w:rPr>
                      <w:b/>
                      <w:color w:val="auto"/>
                      <w:szCs w:val="21"/>
                    </w:rPr>
                  </w:pPr>
                  <w:r>
                    <w:rPr>
                      <w:b/>
                      <w:color w:val="auto"/>
                      <w:szCs w:val="21"/>
                    </w:rPr>
                    <w:t>非正常排放浓度</w:t>
                  </w:r>
                  <w:r>
                    <w:rPr>
                      <w:rFonts w:hint="eastAsia"/>
                      <w:b/>
                      <w:color w:val="auto"/>
                      <w:szCs w:val="21"/>
                    </w:rPr>
                    <w:t>（</w:t>
                  </w:r>
                  <w:r>
                    <w:rPr>
                      <w:b/>
                      <w:color w:val="auto"/>
                      <w:szCs w:val="21"/>
                    </w:rPr>
                    <w:t>mg/m</w:t>
                  </w:r>
                  <w:r>
                    <w:rPr>
                      <w:b/>
                      <w:color w:val="auto"/>
                      <w:szCs w:val="21"/>
                      <w:vertAlign w:val="superscript"/>
                    </w:rPr>
                    <w:t>3</w:t>
                  </w:r>
                  <w:r>
                    <w:rPr>
                      <w:rFonts w:hint="eastAsia"/>
                      <w:b/>
                      <w:color w:val="auto"/>
                      <w:szCs w:val="21"/>
                    </w:rPr>
                    <w:t>）</w:t>
                  </w:r>
                </w:p>
              </w:tc>
              <w:tc>
                <w:tcPr>
                  <w:tcW w:w="592" w:type="pct"/>
                  <w:vAlign w:val="center"/>
                </w:tcPr>
                <w:p w14:paraId="037919A9">
                  <w:pPr>
                    <w:keepNext w:val="0"/>
                    <w:keepLines w:val="0"/>
                    <w:pageBreakBefore w:val="0"/>
                    <w:kinsoku/>
                    <w:wordWrap/>
                    <w:overflowPunct/>
                    <w:topLinePunct w:val="0"/>
                    <w:autoSpaceDE/>
                    <w:autoSpaceDN/>
                    <w:bidi w:val="0"/>
                    <w:adjustRightInd w:val="0"/>
                    <w:snapToGrid w:val="0"/>
                    <w:ind w:firstLine="0"/>
                    <w:jc w:val="center"/>
                    <w:rPr>
                      <w:b/>
                      <w:color w:val="auto"/>
                      <w:szCs w:val="21"/>
                    </w:rPr>
                  </w:pPr>
                  <w:r>
                    <w:rPr>
                      <w:b/>
                      <w:color w:val="auto"/>
                      <w:szCs w:val="21"/>
                    </w:rPr>
                    <w:t>单次持续</w:t>
                  </w:r>
                </w:p>
                <w:p w14:paraId="0330E500">
                  <w:pPr>
                    <w:keepNext w:val="0"/>
                    <w:keepLines w:val="0"/>
                    <w:pageBreakBefore w:val="0"/>
                    <w:kinsoku/>
                    <w:wordWrap/>
                    <w:overflowPunct/>
                    <w:topLinePunct w:val="0"/>
                    <w:autoSpaceDE/>
                    <w:autoSpaceDN/>
                    <w:bidi w:val="0"/>
                    <w:adjustRightInd w:val="0"/>
                    <w:snapToGrid w:val="0"/>
                    <w:ind w:firstLine="0"/>
                    <w:jc w:val="center"/>
                    <w:rPr>
                      <w:b/>
                      <w:color w:val="auto"/>
                      <w:szCs w:val="21"/>
                    </w:rPr>
                  </w:pPr>
                  <w:r>
                    <w:rPr>
                      <w:b/>
                      <w:color w:val="auto"/>
                      <w:szCs w:val="21"/>
                    </w:rPr>
                    <w:t>时间/h</w:t>
                  </w:r>
                </w:p>
              </w:tc>
              <w:tc>
                <w:tcPr>
                  <w:tcW w:w="623" w:type="pct"/>
                  <w:vAlign w:val="center"/>
                </w:tcPr>
                <w:p w14:paraId="2A2D2B35">
                  <w:pPr>
                    <w:keepNext w:val="0"/>
                    <w:keepLines w:val="0"/>
                    <w:pageBreakBefore w:val="0"/>
                    <w:kinsoku/>
                    <w:wordWrap/>
                    <w:overflowPunct/>
                    <w:topLinePunct w:val="0"/>
                    <w:autoSpaceDE/>
                    <w:autoSpaceDN/>
                    <w:bidi w:val="0"/>
                    <w:adjustRightInd w:val="0"/>
                    <w:snapToGrid w:val="0"/>
                    <w:ind w:firstLine="0"/>
                    <w:jc w:val="center"/>
                    <w:rPr>
                      <w:b/>
                      <w:color w:val="auto"/>
                      <w:szCs w:val="21"/>
                    </w:rPr>
                  </w:pPr>
                  <w:r>
                    <w:rPr>
                      <w:b/>
                      <w:color w:val="auto"/>
                      <w:szCs w:val="21"/>
                    </w:rPr>
                    <w:t>年发生</w:t>
                  </w:r>
                </w:p>
                <w:p w14:paraId="72D975AE">
                  <w:pPr>
                    <w:keepNext w:val="0"/>
                    <w:keepLines w:val="0"/>
                    <w:pageBreakBefore w:val="0"/>
                    <w:kinsoku/>
                    <w:wordWrap/>
                    <w:overflowPunct/>
                    <w:topLinePunct w:val="0"/>
                    <w:autoSpaceDE/>
                    <w:autoSpaceDN/>
                    <w:bidi w:val="0"/>
                    <w:adjustRightInd w:val="0"/>
                    <w:snapToGrid w:val="0"/>
                    <w:ind w:firstLine="0"/>
                    <w:jc w:val="center"/>
                    <w:rPr>
                      <w:b/>
                      <w:color w:val="auto"/>
                      <w:szCs w:val="21"/>
                    </w:rPr>
                  </w:pPr>
                  <w:r>
                    <w:rPr>
                      <w:b/>
                      <w:color w:val="auto"/>
                      <w:szCs w:val="21"/>
                    </w:rPr>
                    <w:t>频次/次</w:t>
                  </w:r>
                </w:p>
              </w:tc>
            </w:tr>
            <w:tr w14:paraId="2984F18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340" w:hRule="atLeast"/>
                <w:jc w:val="center"/>
              </w:trPr>
              <w:tc>
                <w:tcPr>
                  <w:tcW w:w="218" w:type="pct"/>
                  <w:shd w:val="clear" w:color="auto" w:fill="auto"/>
                  <w:vAlign w:val="center"/>
                </w:tcPr>
                <w:p w14:paraId="2FCCE322">
                  <w:pPr>
                    <w:keepNext w:val="0"/>
                    <w:keepLines w:val="0"/>
                    <w:pageBreakBefore w:val="0"/>
                    <w:kinsoku/>
                    <w:wordWrap/>
                    <w:overflowPunct/>
                    <w:topLinePunct w:val="0"/>
                    <w:autoSpaceDE/>
                    <w:autoSpaceDN/>
                    <w:bidi w:val="0"/>
                    <w:adjustRightInd w:val="0"/>
                    <w:snapToGrid w:val="0"/>
                    <w:ind w:firstLine="0"/>
                    <w:jc w:val="center"/>
                    <w:rPr>
                      <w:color w:val="auto"/>
                      <w:szCs w:val="21"/>
                    </w:rPr>
                  </w:pPr>
                  <w:r>
                    <w:rPr>
                      <w:color w:val="auto"/>
                      <w:szCs w:val="21"/>
                    </w:rPr>
                    <w:t>1</w:t>
                  </w:r>
                </w:p>
              </w:tc>
              <w:tc>
                <w:tcPr>
                  <w:tcW w:w="797" w:type="pct"/>
                  <w:shd w:val="clear" w:color="auto" w:fill="auto"/>
                  <w:vAlign w:val="center"/>
                </w:tcPr>
                <w:p w14:paraId="70259A56">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DA001</w:t>
                  </w:r>
                  <w:r>
                    <w:rPr>
                      <w:color w:val="auto"/>
                      <w:szCs w:val="21"/>
                    </w:rPr>
                    <w:t>排气筒</w:t>
                  </w:r>
                </w:p>
              </w:tc>
              <w:tc>
                <w:tcPr>
                  <w:tcW w:w="581" w:type="pct"/>
                  <w:vMerge w:val="restart"/>
                  <w:vAlign w:val="center"/>
                </w:tcPr>
                <w:p w14:paraId="7DE84EA2">
                  <w:pPr>
                    <w:keepNext w:val="0"/>
                    <w:keepLines w:val="0"/>
                    <w:pageBreakBefore w:val="0"/>
                    <w:kinsoku/>
                    <w:wordWrap/>
                    <w:overflowPunct/>
                    <w:topLinePunct w:val="0"/>
                    <w:autoSpaceDE/>
                    <w:autoSpaceDN/>
                    <w:bidi w:val="0"/>
                    <w:adjustRightInd w:val="0"/>
                    <w:snapToGrid w:val="0"/>
                    <w:ind w:firstLine="0"/>
                    <w:jc w:val="center"/>
                    <w:rPr>
                      <w:color w:val="auto"/>
                      <w:szCs w:val="21"/>
                    </w:rPr>
                  </w:pPr>
                  <w:r>
                    <w:rPr>
                      <w:color w:val="auto"/>
                      <w:szCs w:val="21"/>
                    </w:rPr>
                    <w:t>污染防治设施故障</w:t>
                  </w:r>
                </w:p>
              </w:tc>
              <w:tc>
                <w:tcPr>
                  <w:tcW w:w="581" w:type="pct"/>
                  <w:shd w:val="clear" w:color="auto" w:fill="auto"/>
                  <w:vAlign w:val="center"/>
                </w:tcPr>
                <w:p w14:paraId="7D333910">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颗粒物</w:t>
                  </w:r>
                </w:p>
              </w:tc>
              <w:tc>
                <w:tcPr>
                  <w:tcW w:w="822" w:type="pct"/>
                  <w:shd w:val="clear" w:color="auto" w:fill="auto"/>
                  <w:vAlign w:val="center"/>
                </w:tcPr>
                <w:p w14:paraId="330D6591">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0.3975</w:t>
                  </w:r>
                </w:p>
              </w:tc>
              <w:tc>
                <w:tcPr>
                  <w:tcW w:w="783" w:type="pct"/>
                  <w:shd w:val="clear" w:color="auto" w:fill="auto"/>
                  <w:vAlign w:val="center"/>
                </w:tcPr>
                <w:p w14:paraId="6A31F99E">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79.5</w:t>
                  </w:r>
                </w:p>
              </w:tc>
              <w:tc>
                <w:tcPr>
                  <w:tcW w:w="592" w:type="pct"/>
                  <w:shd w:val="clear" w:color="auto" w:fill="auto"/>
                  <w:vAlign w:val="center"/>
                </w:tcPr>
                <w:p w14:paraId="400AE315">
                  <w:pPr>
                    <w:keepNext w:val="0"/>
                    <w:keepLines w:val="0"/>
                    <w:pageBreakBefore w:val="0"/>
                    <w:kinsoku/>
                    <w:wordWrap/>
                    <w:overflowPunct/>
                    <w:topLinePunct w:val="0"/>
                    <w:autoSpaceDE/>
                    <w:autoSpaceDN/>
                    <w:bidi w:val="0"/>
                    <w:adjustRightInd w:val="0"/>
                    <w:snapToGrid w:val="0"/>
                    <w:ind w:firstLine="0"/>
                    <w:jc w:val="center"/>
                    <w:rPr>
                      <w:color w:val="auto"/>
                      <w:szCs w:val="21"/>
                    </w:rPr>
                  </w:pPr>
                  <w:r>
                    <w:rPr>
                      <w:color w:val="auto"/>
                      <w:szCs w:val="21"/>
                    </w:rPr>
                    <w:t>0.5</w:t>
                  </w:r>
                </w:p>
              </w:tc>
              <w:tc>
                <w:tcPr>
                  <w:tcW w:w="623" w:type="pct"/>
                  <w:shd w:val="clear" w:color="auto" w:fill="auto"/>
                  <w:vAlign w:val="center"/>
                </w:tcPr>
                <w:p w14:paraId="07538889">
                  <w:pPr>
                    <w:keepNext w:val="0"/>
                    <w:keepLines w:val="0"/>
                    <w:pageBreakBefore w:val="0"/>
                    <w:kinsoku/>
                    <w:wordWrap/>
                    <w:overflowPunct/>
                    <w:topLinePunct w:val="0"/>
                    <w:autoSpaceDE/>
                    <w:autoSpaceDN/>
                    <w:bidi w:val="0"/>
                    <w:adjustRightInd w:val="0"/>
                    <w:snapToGrid w:val="0"/>
                    <w:ind w:firstLine="0"/>
                    <w:jc w:val="center"/>
                    <w:rPr>
                      <w:color w:val="auto"/>
                      <w:szCs w:val="21"/>
                    </w:rPr>
                  </w:pPr>
                  <w:r>
                    <w:rPr>
                      <w:color w:val="auto"/>
                      <w:szCs w:val="21"/>
                    </w:rPr>
                    <w:t>10</w:t>
                  </w:r>
                  <w:r>
                    <w:rPr>
                      <w:color w:val="auto"/>
                      <w:szCs w:val="21"/>
                      <w:vertAlign w:val="superscript"/>
                    </w:rPr>
                    <w:t>-1</w:t>
                  </w:r>
                </w:p>
              </w:tc>
            </w:tr>
            <w:tr w14:paraId="18612E6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340" w:hRule="atLeast"/>
                <w:jc w:val="center"/>
              </w:trPr>
              <w:tc>
                <w:tcPr>
                  <w:tcW w:w="218" w:type="pct"/>
                  <w:vMerge w:val="restart"/>
                  <w:vAlign w:val="center"/>
                </w:tcPr>
                <w:p w14:paraId="71DA5584">
                  <w:pPr>
                    <w:keepNext w:val="0"/>
                    <w:keepLines w:val="0"/>
                    <w:pageBreakBefore w:val="0"/>
                    <w:kinsoku/>
                    <w:wordWrap/>
                    <w:overflowPunct/>
                    <w:topLinePunct w:val="0"/>
                    <w:autoSpaceDE/>
                    <w:autoSpaceDN/>
                    <w:bidi w:val="0"/>
                    <w:adjustRightInd w:val="0"/>
                    <w:snapToGrid w:val="0"/>
                    <w:ind w:firstLine="0"/>
                    <w:jc w:val="center"/>
                    <w:rPr>
                      <w:rFonts w:hint="eastAsia" w:eastAsia="宋体"/>
                      <w:color w:val="auto"/>
                      <w:szCs w:val="21"/>
                      <w:lang w:eastAsia="zh-CN"/>
                    </w:rPr>
                  </w:pPr>
                  <w:r>
                    <w:rPr>
                      <w:rFonts w:hint="eastAsia"/>
                      <w:color w:val="auto"/>
                      <w:szCs w:val="21"/>
                      <w:lang w:val="en-US" w:eastAsia="zh-CN"/>
                    </w:rPr>
                    <w:t>1</w:t>
                  </w:r>
                </w:p>
              </w:tc>
              <w:tc>
                <w:tcPr>
                  <w:tcW w:w="797" w:type="pct"/>
                  <w:vMerge w:val="restart"/>
                  <w:vAlign w:val="center"/>
                </w:tcPr>
                <w:p w14:paraId="2F3D0EA3">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DA00</w:t>
                  </w:r>
                  <w:r>
                    <w:rPr>
                      <w:rFonts w:hint="eastAsia"/>
                      <w:color w:val="auto"/>
                      <w:szCs w:val="21"/>
                      <w:lang w:val="en-US" w:eastAsia="zh-CN"/>
                    </w:rPr>
                    <w:t>2</w:t>
                  </w:r>
                  <w:r>
                    <w:rPr>
                      <w:rFonts w:hint="eastAsia"/>
                      <w:color w:val="auto"/>
                      <w:szCs w:val="21"/>
                    </w:rPr>
                    <w:t>排气筒</w:t>
                  </w:r>
                </w:p>
              </w:tc>
              <w:tc>
                <w:tcPr>
                  <w:tcW w:w="581" w:type="pct"/>
                  <w:vMerge w:val="continue"/>
                  <w:vAlign w:val="center"/>
                </w:tcPr>
                <w:p w14:paraId="2B45B164">
                  <w:pPr>
                    <w:keepNext w:val="0"/>
                    <w:keepLines w:val="0"/>
                    <w:pageBreakBefore w:val="0"/>
                    <w:kinsoku/>
                    <w:wordWrap/>
                    <w:overflowPunct/>
                    <w:topLinePunct w:val="0"/>
                    <w:autoSpaceDE/>
                    <w:autoSpaceDN/>
                    <w:bidi w:val="0"/>
                    <w:adjustRightInd w:val="0"/>
                    <w:snapToGrid w:val="0"/>
                    <w:ind w:firstLine="0"/>
                    <w:jc w:val="center"/>
                    <w:rPr>
                      <w:color w:val="auto"/>
                      <w:szCs w:val="21"/>
                    </w:rPr>
                  </w:pPr>
                </w:p>
              </w:tc>
              <w:tc>
                <w:tcPr>
                  <w:tcW w:w="581" w:type="pct"/>
                  <w:shd w:val="clear" w:color="auto" w:fill="auto"/>
                  <w:vAlign w:val="center"/>
                </w:tcPr>
                <w:p w14:paraId="6F36DBA3">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NMHC</w:t>
                  </w:r>
                </w:p>
              </w:tc>
              <w:tc>
                <w:tcPr>
                  <w:tcW w:w="822" w:type="pct"/>
                  <w:shd w:val="clear" w:color="auto" w:fill="auto"/>
                  <w:vAlign w:val="center"/>
                </w:tcPr>
                <w:p w14:paraId="53073E89">
                  <w:pPr>
                    <w:keepNext w:val="0"/>
                    <w:keepLines w:val="0"/>
                    <w:pageBreakBefore w:val="0"/>
                    <w:kinsoku/>
                    <w:wordWrap/>
                    <w:overflowPunct/>
                    <w:topLinePunct w:val="0"/>
                    <w:autoSpaceDE/>
                    <w:autoSpaceDN/>
                    <w:bidi w:val="0"/>
                    <w:adjustRightInd w:val="0"/>
                    <w:snapToGrid w:val="0"/>
                    <w:ind w:firstLine="0"/>
                    <w:jc w:val="center"/>
                    <w:rPr>
                      <w:rFonts w:hint="default" w:eastAsia="宋体"/>
                      <w:color w:val="auto"/>
                      <w:szCs w:val="21"/>
                      <w:lang w:val="en-US" w:eastAsia="zh-CN"/>
                    </w:rPr>
                  </w:pPr>
                  <w:r>
                    <w:rPr>
                      <w:rFonts w:hint="eastAsia"/>
                      <w:color w:val="auto"/>
                      <w:szCs w:val="21"/>
                      <w:lang w:val="en-US" w:eastAsia="zh-CN"/>
                    </w:rPr>
                    <w:t>0.0626-1.33</w:t>
                  </w:r>
                </w:p>
              </w:tc>
              <w:tc>
                <w:tcPr>
                  <w:tcW w:w="783" w:type="pct"/>
                  <w:shd w:val="clear" w:color="auto" w:fill="auto"/>
                  <w:vAlign w:val="center"/>
                </w:tcPr>
                <w:p w14:paraId="68608FB6">
                  <w:pPr>
                    <w:keepNext w:val="0"/>
                    <w:keepLines w:val="0"/>
                    <w:pageBreakBefore w:val="0"/>
                    <w:kinsoku/>
                    <w:wordWrap/>
                    <w:overflowPunct/>
                    <w:topLinePunct w:val="0"/>
                    <w:autoSpaceDE/>
                    <w:autoSpaceDN/>
                    <w:bidi w:val="0"/>
                    <w:adjustRightInd w:val="0"/>
                    <w:snapToGrid w:val="0"/>
                    <w:ind w:firstLine="0"/>
                    <w:jc w:val="center"/>
                    <w:rPr>
                      <w:rFonts w:hint="default" w:eastAsia="宋体"/>
                      <w:color w:val="auto"/>
                      <w:szCs w:val="21"/>
                      <w:lang w:val="en-US" w:eastAsia="zh-CN"/>
                    </w:rPr>
                  </w:pPr>
                  <w:r>
                    <w:rPr>
                      <w:rFonts w:hint="eastAsia"/>
                      <w:color w:val="auto"/>
                      <w:szCs w:val="21"/>
                      <w:lang w:val="en-US" w:eastAsia="zh-CN"/>
                    </w:rPr>
                    <w:t>5.22-110.8</w:t>
                  </w:r>
                </w:p>
              </w:tc>
              <w:tc>
                <w:tcPr>
                  <w:tcW w:w="592" w:type="pct"/>
                  <w:vMerge w:val="restart"/>
                  <w:shd w:val="clear" w:color="auto" w:fill="auto"/>
                  <w:vAlign w:val="center"/>
                </w:tcPr>
                <w:p w14:paraId="23EF0195">
                  <w:pPr>
                    <w:keepNext w:val="0"/>
                    <w:keepLines w:val="0"/>
                    <w:pageBreakBefore w:val="0"/>
                    <w:kinsoku/>
                    <w:wordWrap/>
                    <w:overflowPunct/>
                    <w:topLinePunct w:val="0"/>
                    <w:autoSpaceDE/>
                    <w:autoSpaceDN/>
                    <w:bidi w:val="0"/>
                    <w:adjustRightInd w:val="0"/>
                    <w:snapToGrid w:val="0"/>
                    <w:ind w:firstLine="0"/>
                    <w:jc w:val="center"/>
                    <w:rPr>
                      <w:color w:val="auto"/>
                      <w:szCs w:val="21"/>
                    </w:rPr>
                  </w:pPr>
                  <w:r>
                    <w:rPr>
                      <w:color w:val="auto"/>
                      <w:szCs w:val="21"/>
                    </w:rPr>
                    <w:t>0.5</w:t>
                  </w:r>
                </w:p>
              </w:tc>
              <w:tc>
                <w:tcPr>
                  <w:tcW w:w="623" w:type="pct"/>
                  <w:vMerge w:val="restart"/>
                  <w:shd w:val="clear" w:color="auto" w:fill="auto"/>
                  <w:vAlign w:val="center"/>
                </w:tcPr>
                <w:p w14:paraId="019A1047">
                  <w:pPr>
                    <w:keepNext w:val="0"/>
                    <w:keepLines w:val="0"/>
                    <w:pageBreakBefore w:val="0"/>
                    <w:kinsoku/>
                    <w:wordWrap/>
                    <w:overflowPunct/>
                    <w:topLinePunct w:val="0"/>
                    <w:autoSpaceDE/>
                    <w:autoSpaceDN/>
                    <w:bidi w:val="0"/>
                    <w:adjustRightInd w:val="0"/>
                    <w:snapToGrid w:val="0"/>
                    <w:ind w:firstLine="0"/>
                    <w:jc w:val="center"/>
                    <w:rPr>
                      <w:color w:val="auto"/>
                      <w:szCs w:val="21"/>
                    </w:rPr>
                  </w:pPr>
                  <w:r>
                    <w:rPr>
                      <w:color w:val="auto"/>
                      <w:szCs w:val="21"/>
                    </w:rPr>
                    <w:t>10</w:t>
                  </w:r>
                  <w:r>
                    <w:rPr>
                      <w:color w:val="auto"/>
                      <w:szCs w:val="21"/>
                      <w:vertAlign w:val="superscript"/>
                    </w:rPr>
                    <w:t>-1</w:t>
                  </w:r>
                </w:p>
              </w:tc>
            </w:tr>
            <w:tr w14:paraId="345813F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340" w:hRule="atLeast"/>
                <w:jc w:val="center"/>
              </w:trPr>
              <w:tc>
                <w:tcPr>
                  <w:tcW w:w="218" w:type="pct"/>
                  <w:vMerge w:val="continue"/>
                  <w:vAlign w:val="center"/>
                </w:tcPr>
                <w:p w14:paraId="6351CE80">
                  <w:pPr>
                    <w:keepNext w:val="0"/>
                    <w:keepLines w:val="0"/>
                    <w:pageBreakBefore w:val="0"/>
                    <w:kinsoku/>
                    <w:wordWrap/>
                    <w:overflowPunct/>
                    <w:topLinePunct w:val="0"/>
                    <w:autoSpaceDE/>
                    <w:autoSpaceDN/>
                    <w:bidi w:val="0"/>
                    <w:adjustRightInd w:val="0"/>
                    <w:snapToGrid w:val="0"/>
                    <w:ind w:firstLine="0"/>
                    <w:jc w:val="center"/>
                    <w:rPr>
                      <w:color w:val="auto"/>
                      <w:szCs w:val="21"/>
                    </w:rPr>
                  </w:pPr>
                </w:p>
              </w:tc>
              <w:tc>
                <w:tcPr>
                  <w:tcW w:w="797" w:type="pct"/>
                  <w:vMerge w:val="continue"/>
                  <w:vAlign w:val="center"/>
                </w:tcPr>
                <w:p w14:paraId="6E30EC03">
                  <w:pPr>
                    <w:keepNext w:val="0"/>
                    <w:keepLines w:val="0"/>
                    <w:pageBreakBefore w:val="0"/>
                    <w:kinsoku/>
                    <w:wordWrap/>
                    <w:overflowPunct/>
                    <w:topLinePunct w:val="0"/>
                    <w:autoSpaceDE/>
                    <w:autoSpaceDN/>
                    <w:bidi w:val="0"/>
                    <w:adjustRightInd w:val="0"/>
                    <w:snapToGrid w:val="0"/>
                    <w:ind w:firstLine="0"/>
                    <w:jc w:val="center"/>
                    <w:rPr>
                      <w:color w:val="auto"/>
                      <w:szCs w:val="21"/>
                    </w:rPr>
                  </w:pPr>
                </w:p>
              </w:tc>
              <w:tc>
                <w:tcPr>
                  <w:tcW w:w="581" w:type="pct"/>
                  <w:vMerge w:val="continue"/>
                  <w:vAlign w:val="center"/>
                </w:tcPr>
                <w:p w14:paraId="508857BC">
                  <w:pPr>
                    <w:keepNext w:val="0"/>
                    <w:keepLines w:val="0"/>
                    <w:pageBreakBefore w:val="0"/>
                    <w:kinsoku/>
                    <w:wordWrap/>
                    <w:overflowPunct/>
                    <w:topLinePunct w:val="0"/>
                    <w:autoSpaceDE/>
                    <w:autoSpaceDN/>
                    <w:bidi w:val="0"/>
                    <w:adjustRightInd w:val="0"/>
                    <w:snapToGrid w:val="0"/>
                    <w:ind w:firstLine="0"/>
                    <w:jc w:val="center"/>
                    <w:rPr>
                      <w:color w:val="auto"/>
                      <w:szCs w:val="21"/>
                    </w:rPr>
                  </w:pPr>
                </w:p>
              </w:tc>
              <w:tc>
                <w:tcPr>
                  <w:tcW w:w="581" w:type="pct"/>
                  <w:shd w:val="clear" w:color="auto" w:fill="auto"/>
                  <w:vAlign w:val="center"/>
                </w:tcPr>
                <w:p w14:paraId="35455208">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颗粒物</w:t>
                  </w:r>
                </w:p>
              </w:tc>
              <w:tc>
                <w:tcPr>
                  <w:tcW w:w="822" w:type="pct"/>
                  <w:shd w:val="clear" w:color="auto" w:fill="auto"/>
                  <w:vAlign w:val="center"/>
                </w:tcPr>
                <w:p w14:paraId="15A51B4F">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default" w:eastAsia="宋体"/>
                      <w:color w:val="auto"/>
                      <w:kern w:val="0"/>
                      <w:szCs w:val="21"/>
                      <w:lang w:val="en-US" w:eastAsia="zh-CN"/>
                    </w:rPr>
                  </w:pPr>
                  <w:r>
                    <w:rPr>
                      <w:rFonts w:hint="eastAsia"/>
                      <w:color w:val="auto"/>
                      <w:kern w:val="0"/>
                      <w:szCs w:val="21"/>
                    </w:rPr>
                    <w:t>0.</w:t>
                  </w:r>
                  <w:r>
                    <w:rPr>
                      <w:rFonts w:hint="eastAsia"/>
                      <w:color w:val="auto"/>
                      <w:kern w:val="0"/>
                      <w:szCs w:val="21"/>
                      <w:lang w:val="en-US" w:eastAsia="zh-CN"/>
                    </w:rPr>
                    <w:t>2263</w:t>
                  </w:r>
                </w:p>
              </w:tc>
              <w:tc>
                <w:tcPr>
                  <w:tcW w:w="783" w:type="pct"/>
                  <w:shd w:val="clear" w:color="auto" w:fill="auto"/>
                  <w:vAlign w:val="center"/>
                </w:tcPr>
                <w:p w14:paraId="3268B970">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default" w:eastAsia="宋体"/>
                      <w:color w:val="auto"/>
                      <w:szCs w:val="21"/>
                      <w:lang w:val="en-US" w:eastAsia="zh-CN"/>
                    </w:rPr>
                  </w:pPr>
                  <w:r>
                    <w:rPr>
                      <w:rFonts w:hint="eastAsia"/>
                      <w:color w:val="auto"/>
                      <w:szCs w:val="21"/>
                      <w:lang w:val="en-US" w:eastAsia="zh-CN"/>
                    </w:rPr>
                    <w:t>18.86</w:t>
                  </w:r>
                </w:p>
              </w:tc>
              <w:tc>
                <w:tcPr>
                  <w:tcW w:w="592" w:type="pct"/>
                  <w:vMerge w:val="continue"/>
                  <w:vAlign w:val="center"/>
                </w:tcPr>
                <w:p w14:paraId="7776EE19">
                  <w:pPr>
                    <w:keepNext w:val="0"/>
                    <w:keepLines w:val="0"/>
                    <w:pageBreakBefore w:val="0"/>
                    <w:kinsoku/>
                    <w:wordWrap/>
                    <w:overflowPunct/>
                    <w:topLinePunct w:val="0"/>
                    <w:autoSpaceDE/>
                    <w:autoSpaceDN/>
                    <w:bidi w:val="0"/>
                    <w:adjustRightInd w:val="0"/>
                    <w:snapToGrid w:val="0"/>
                    <w:ind w:firstLine="0"/>
                    <w:jc w:val="center"/>
                    <w:rPr>
                      <w:color w:val="auto"/>
                      <w:szCs w:val="21"/>
                    </w:rPr>
                  </w:pPr>
                </w:p>
              </w:tc>
              <w:tc>
                <w:tcPr>
                  <w:tcW w:w="623" w:type="pct"/>
                  <w:vMerge w:val="continue"/>
                  <w:vAlign w:val="center"/>
                </w:tcPr>
                <w:p w14:paraId="323A916B">
                  <w:pPr>
                    <w:keepNext w:val="0"/>
                    <w:keepLines w:val="0"/>
                    <w:pageBreakBefore w:val="0"/>
                    <w:kinsoku/>
                    <w:wordWrap/>
                    <w:overflowPunct/>
                    <w:topLinePunct w:val="0"/>
                    <w:autoSpaceDE/>
                    <w:autoSpaceDN/>
                    <w:bidi w:val="0"/>
                    <w:adjustRightInd w:val="0"/>
                    <w:snapToGrid w:val="0"/>
                    <w:ind w:firstLine="0"/>
                    <w:jc w:val="center"/>
                    <w:rPr>
                      <w:color w:val="auto"/>
                      <w:szCs w:val="21"/>
                    </w:rPr>
                  </w:pPr>
                </w:p>
              </w:tc>
            </w:tr>
          </w:tbl>
          <w:p w14:paraId="1C8BA65E">
            <w:pPr>
              <w:adjustRightInd w:val="0"/>
              <w:snapToGrid w:val="0"/>
              <w:spacing w:before="120" w:beforeLines="50" w:line="360" w:lineRule="auto"/>
              <w:ind w:firstLine="482" w:firstLineChars="200"/>
              <w:rPr>
                <w:b/>
                <w:color w:val="auto"/>
                <w:sz w:val="24"/>
              </w:rPr>
            </w:pPr>
            <w:r>
              <w:rPr>
                <w:rFonts w:hint="eastAsia"/>
                <w:b/>
                <w:color w:val="auto"/>
                <w:sz w:val="24"/>
              </w:rPr>
              <w:t>3.</w:t>
            </w:r>
            <w:r>
              <w:rPr>
                <w:b/>
                <w:color w:val="auto"/>
                <w:sz w:val="24"/>
              </w:rPr>
              <w:t>废气污染防治措施及其可行性分析</w:t>
            </w:r>
          </w:p>
          <w:p w14:paraId="50B90B72">
            <w:pPr>
              <w:widowControl/>
              <w:spacing w:line="360" w:lineRule="auto"/>
              <w:ind w:firstLine="480" w:firstLineChars="200"/>
              <w:rPr>
                <w:color w:val="auto"/>
                <w:sz w:val="24"/>
              </w:rPr>
            </w:pPr>
            <w:r>
              <w:rPr>
                <w:rFonts w:hint="eastAsia"/>
                <w:color w:val="auto"/>
                <w:sz w:val="24"/>
              </w:rPr>
              <w:t>①收集效率可行性分析</w:t>
            </w:r>
          </w:p>
          <w:p w14:paraId="00520134">
            <w:pPr>
              <w:widowControl/>
              <w:spacing w:line="360" w:lineRule="auto"/>
              <w:ind w:firstLine="480" w:firstLineChars="200"/>
              <w:rPr>
                <w:color w:val="auto"/>
                <w:sz w:val="24"/>
              </w:rPr>
            </w:pPr>
            <w:r>
              <w:rPr>
                <w:rFonts w:hint="eastAsia"/>
                <w:color w:val="auto"/>
                <w:sz w:val="24"/>
              </w:rPr>
              <w:t>建设项目配件下料工序产生的颗粒物采用集气罩收集，参照</w:t>
            </w:r>
            <w:r>
              <w:rPr>
                <w:rFonts w:hint="eastAsia"/>
                <w:color w:val="auto"/>
                <w:sz w:val="24"/>
                <w:lang w:bidi="ar"/>
              </w:rPr>
              <w:t>《袋式除尘工程通用技术规范》（</w:t>
            </w:r>
            <w:r>
              <w:rPr>
                <w:color w:val="auto"/>
                <w:sz w:val="24"/>
                <w:lang w:bidi="ar"/>
              </w:rPr>
              <w:t>HJ2020-2012</w:t>
            </w:r>
            <w:r>
              <w:rPr>
                <w:rFonts w:hint="eastAsia"/>
                <w:color w:val="auto"/>
                <w:sz w:val="24"/>
                <w:lang w:bidi="ar"/>
              </w:rPr>
              <w:t>）</w:t>
            </w:r>
            <w:r>
              <w:rPr>
                <w:rFonts w:hint="eastAsia" w:ascii="宋体" w:hAnsi="宋体"/>
                <w:color w:val="auto"/>
                <w:sz w:val="24"/>
                <w:lang w:bidi="ar"/>
              </w:rPr>
              <w:t>“</w:t>
            </w:r>
            <w:r>
              <w:rPr>
                <w:rFonts w:hint="eastAsia"/>
                <w:color w:val="auto"/>
                <w:sz w:val="24"/>
                <w:lang w:bidi="ar"/>
              </w:rPr>
              <w:t>密闭罩收集效率不低于</w:t>
            </w:r>
            <w:r>
              <w:rPr>
                <w:color w:val="auto"/>
                <w:sz w:val="24"/>
                <w:lang w:bidi="ar"/>
              </w:rPr>
              <w:t>100%</w:t>
            </w:r>
            <w:r>
              <w:rPr>
                <w:rFonts w:hint="eastAsia"/>
                <w:color w:val="auto"/>
                <w:sz w:val="24"/>
                <w:lang w:bidi="ar"/>
              </w:rPr>
              <w:t>、半密闭罩收集效率不低于</w:t>
            </w:r>
            <w:r>
              <w:rPr>
                <w:color w:val="auto"/>
                <w:sz w:val="24"/>
                <w:lang w:bidi="ar"/>
              </w:rPr>
              <w:t>95%</w:t>
            </w:r>
            <w:r>
              <w:rPr>
                <w:rFonts w:hint="eastAsia"/>
                <w:color w:val="auto"/>
                <w:sz w:val="24"/>
                <w:lang w:bidi="ar"/>
              </w:rPr>
              <w:t>、吹吸罩收集效率不低于</w:t>
            </w:r>
            <w:r>
              <w:rPr>
                <w:color w:val="auto"/>
                <w:sz w:val="24"/>
                <w:lang w:bidi="ar"/>
              </w:rPr>
              <w:t>90%</w:t>
            </w:r>
            <w:r>
              <w:rPr>
                <w:rFonts w:hint="eastAsia" w:ascii="宋体" w:hAnsi="宋体"/>
                <w:color w:val="auto"/>
                <w:sz w:val="24"/>
                <w:lang w:bidi="ar"/>
              </w:rPr>
              <w:t>”</w:t>
            </w:r>
            <w:r>
              <w:rPr>
                <w:rFonts w:hint="eastAsia" w:ascii="宋体" w:hAnsi="宋体"/>
                <w:color w:val="auto"/>
                <w:sz w:val="24"/>
                <w:lang w:eastAsia="zh-CN" w:bidi="ar"/>
              </w:rPr>
              <w:t>，</w:t>
            </w:r>
            <w:r>
              <w:rPr>
                <w:rFonts w:hint="eastAsia" w:ascii="宋体" w:hAnsi="宋体"/>
                <w:color w:val="auto"/>
                <w:sz w:val="24"/>
                <w:lang w:bidi="ar"/>
              </w:rPr>
              <w:t>因此，建设项目配件下料工序</w:t>
            </w:r>
            <w:r>
              <w:rPr>
                <w:rFonts w:hint="eastAsia" w:ascii="宋体" w:hAnsi="宋体"/>
                <w:color w:val="auto"/>
                <w:sz w:val="24"/>
                <w:lang w:eastAsia="zh-CN" w:bidi="ar"/>
              </w:rPr>
              <w:t>废气</w:t>
            </w:r>
            <w:r>
              <w:rPr>
                <w:rFonts w:hint="eastAsia" w:ascii="宋体" w:hAnsi="宋体"/>
                <w:color w:val="auto"/>
                <w:sz w:val="24"/>
                <w:lang w:bidi="ar"/>
              </w:rPr>
              <w:t>收集效率取</w:t>
            </w:r>
            <w:r>
              <w:rPr>
                <w:color w:val="auto"/>
                <w:sz w:val="24"/>
                <w:lang w:bidi="ar"/>
              </w:rPr>
              <w:t>90%可</w:t>
            </w:r>
            <w:r>
              <w:rPr>
                <w:rFonts w:hint="eastAsia" w:ascii="宋体" w:hAnsi="宋体"/>
                <w:color w:val="auto"/>
                <w:sz w:val="24"/>
                <w:lang w:bidi="ar"/>
              </w:rPr>
              <w:t>行。</w:t>
            </w:r>
          </w:p>
          <w:p w14:paraId="06025E47">
            <w:pPr>
              <w:widowControl/>
              <w:spacing w:line="360" w:lineRule="auto"/>
              <w:ind w:firstLine="480" w:firstLineChars="200"/>
              <w:rPr>
                <w:color w:val="auto"/>
                <w:sz w:val="24"/>
              </w:rPr>
            </w:pPr>
            <w:r>
              <w:rPr>
                <w:rFonts w:hint="eastAsia"/>
                <w:snapToGrid w:val="0"/>
                <w:color w:val="auto"/>
                <w:kern w:val="0"/>
                <w:sz w:val="24"/>
              </w:rPr>
              <w:t>浸漆</w:t>
            </w:r>
            <w:r>
              <w:rPr>
                <w:rFonts w:hint="eastAsia"/>
                <w:snapToGrid w:val="0"/>
                <w:color w:val="auto"/>
                <w:kern w:val="0"/>
                <w:sz w:val="24"/>
                <w:lang w:eastAsia="zh-CN"/>
              </w:rPr>
              <w:t>工序产生的</w:t>
            </w:r>
            <w:r>
              <w:rPr>
                <w:rFonts w:hint="eastAsia"/>
                <w:snapToGrid w:val="0"/>
                <w:color w:val="auto"/>
                <w:kern w:val="0"/>
                <w:sz w:val="24"/>
                <w:lang w:val="en-US" w:eastAsia="zh-CN"/>
              </w:rPr>
              <w:t>NMHC采用密闭设备负压收集，喷漆工序产生的颗粒物、NMHC以及烘干工序产生的NMHC、擦拭过程产生的NMHC均采用密闭车间负压收集</w:t>
            </w:r>
            <w:r>
              <w:rPr>
                <w:rFonts w:hint="eastAsia"/>
                <w:snapToGrid w:val="0"/>
                <w:color w:val="auto"/>
                <w:kern w:val="0"/>
                <w:sz w:val="24"/>
              </w:rPr>
              <w:t>，根据</w:t>
            </w:r>
            <w:r>
              <w:rPr>
                <w:rFonts w:hint="eastAsia"/>
                <w:color w:val="auto"/>
                <w:sz w:val="24"/>
                <w:lang w:bidi="ar"/>
              </w:rPr>
              <w:t>《上海市工业企业挥发性有机物排放量通用计算方法》（试行）中表</w:t>
            </w:r>
            <w:r>
              <w:rPr>
                <w:color w:val="auto"/>
                <w:sz w:val="24"/>
                <w:lang w:bidi="ar"/>
              </w:rPr>
              <w:t>1-1</w:t>
            </w:r>
            <w:r>
              <w:rPr>
                <w:rFonts w:hint="eastAsia"/>
                <w:color w:val="auto"/>
                <w:sz w:val="24"/>
                <w:lang w:bidi="ar"/>
              </w:rPr>
              <w:t>，全密闭式负压排风捕集效率达到</w:t>
            </w:r>
            <w:r>
              <w:rPr>
                <w:color w:val="auto"/>
                <w:sz w:val="24"/>
                <w:lang w:bidi="ar"/>
              </w:rPr>
              <w:t>95%</w:t>
            </w:r>
            <w:r>
              <w:rPr>
                <w:rFonts w:hint="eastAsia"/>
                <w:color w:val="auto"/>
                <w:sz w:val="24"/>
                <w:lang w:bidi="ar"/>
              </w:rPr>
              <w:t>以上，因此，建设项目</w:t>
            </w:r>
            <w:r>
              <w:rPr>
                <w:rFonts w:hint="eastAsia"/>
                <w:color w:val="auto"/>
                <w:sz w:val="24"/>
                <w:lang w:eastAsia="zh-CN" w:bidi="ar"/>
              </w:rPr>
              <w:t>浸漆废气、喷漆废气、烘干废气、擦拭废气收集效率</w:t>
            </w:r>
            <w:r>
              <w:rPr>
                <w:rFonts w:hint="eastAsia"/>
                <w:color w:val="auto"/>
                <w:sz w:val="24"/>
                <w:lang w:eastAsia="zh-CN"/>
              </w:rPr>
              <w:t>均</w:t>
            </w:r>
            <w:r>
              <w:rPr>
                <w:color w:val="auto"/>
                <w:sz w:val="24"/>
              </w:rPr>
              <w:t>取</w:t>
            </w:r>
            <w:r>
              <w:rPr>
                <w:rFonts w:hint="eastAsia"/>
                <w:color w:val="auto"/>
                <w:sz w:val="24"/>
              </w:rPr>
              <w:t>95</w:t>
            </w:r>
            <w:r>
              <w:rPr>
                <w:color w:val="auto"/>
                <w:sz w:val="24"/>
              </w:rPr>
              <w:t>%可行。</w:t>
            </w:r>
          </w:p>
          <w:p w14:paraId="1452E91A">
            <w:pPr>
              <w:widowControl/>
              <w:spacing w:line="360" w:lineRule="auto"/>
              <w:ind w:firstLine="480" w:firstLineChars="200"/>
              <w:rPr>
                <w:color w:val="auto"/>
                <w:sz w:val="24"/>
              </w:rPr>
            </w:pPr>
            <w:r>
              <w:rPr>
                <w:rFonts w:hint="eastAsia"/>
                <w:color w:val="auto"/>
                <w:sz w:val="24"/>
              </w:rPr>
              <w:t>②处理措施可行性分析</w:t>
            </w:r>
          </w:p>
          <w:p w14:paraId="6056F089">
            <w:pPr>
              <w:adjustRightInd w:val="0"/>
              <w:snapToGrid w:val="0"/>
              <w:spacing w:line="360" w:lineRule="auto"/>
              <w:ind w:firstLine="480" w:firstLineChars="200"/>
              <w:rPr>
                <w:bCs/>
                <w:color w:val="auto"/>
                <w:sz w:val="24"/>
              </w:rPr>
            </w:pPr>
            <w:bookmarkStart w:id="27" w:name="OLE_LINK14"/>
            <w:r>
              <w:rPr>
                <w:rFonts w:hint="eastAsia"/>
                <w:bCs/>
                <w:color w:val="auto"/>
                <w:sz w:val="24"/>
              </w:rPr>
              <w:t>配件下料粉尘：参照《排污许可证申请与核发技术规范 铁路、船舶、航空航天和其他运输设备制造业》（HJ1124-2020）表5中，下料</w:t>
            </w:r>
            <w:r>
              <w:rPr>
                <w:rFonts w:hint="eastAsia"/>
                <w:bCs/>
                <w:color w:val="auto"/>
                <w:sz w:val="24"/>
                <w:lang w:eastAsia="zh-CN"/>
              </w:rPr>
              <w:t>－</w:t>
            </w:r>
            <w:r>
              <w:rPr>
                <w:rFonts w:hint="eastAsia"/>
                <w:bCs/>
                <w:color w:val="auto"/>
                <w:sz w:val="24"/>
              </w:rPr>
              <w:t>切割工序产生的颗粒物采用“除尘设施、袋式除尘、静电除尘”属于可行技术。</w:t>
            </w:r>
          </w:p>
          <w:p w14:paraId="25FA4704">
            <w:pPr>
              <w:adjustRightInd w:val="0"/>
              <w:snapToGrid w:val="0"/>
              <w:spacing w:line="360" w:lineRule="auto"/>
              <w:ind w:firstLine="480" w:firstLineChars="200"/>
              <w:rPr>
                <w:bCs/>
                <w:color w:val="auto"/>
                <w:sz w:val="24"/>
              </w:rPr>
            </w:pPr>
            <w:r>
              <w:rPr>
                <w:rFonts w:hint="eastAsia"/>
                <w:bCs/>
                <w:color w:val="auto"/>
                <w:sz w:val="24"/>
              </w:rPr>
              <w:t>浸漆废气</w:t>
            </w:r>
            <w:r>
              <w:rPr>
                <w:rFonts w:hint="eastAsia"/>
                <w:bCs/>
                <w:color w:val="auto"/>
                <w:sz w:val="24"/>
                <w:lang w:eastAsia="zh-CN"/>
              </w:rPr>
              <w:t>、</w:t>
            </w:r>
            <w:r>
              <w:rPr>
                <w:rFonts w:hint="eastAsia"/>
                <w:bCs/>
                <w:color w:val="auto"/>
                <w:sz w:val="24"/>
              </w:rPr>
              <w:t>烘干</w:t>
            </w:r>
            <w:bookmarkEnd w:id="27"/>
            <w:r>
              <w:rPr>
                <w:rFonts w:hint="eastAsia"/>
                <w:bCs/>
                <w:color w:val="auto"/>
                <w:sz w:val="24"/>
              </w:rPr>
              <w:t>废气、喷漆废气</w:t>
            </w:r>
            <w:r>
              <w:rPr>
                <w:rFonts w:hint="eastAsia"/>
                <w:bCs/>
                <w:color w:val="auto"/>
                <w:sz w:val="24"/>
                <w:lang w:eastAsia="zh-CN"/>
              </w:rPr>
              <w:t>、擦拭废气</w:t>
            </w:r>
            <w:r>
              <w:rPr>
                <w:rFonts w:hint="eastAsia"/>
                <w:bCs/>
                <w:color w:val="auto"/>
                <w:sz w:val="24"/>
              </w:rPr>
              <w:t>：根据《排污许可证申请与核发技术规范－电子工业》（HJ1031-2019），吸附法是处理有机废气的可行技术；</w:t>
            </w:r>
          </w:p>
          <w:p w14:paraId="1B1562D4">
            <w:pPr>
              <w:adjustRightInd w:val="0"/>
              <w:snapToGrid w:val="0"/>
              <w:spacing w:line="360" w:lineRule="auto"/>
              <w:ind w:firstLine="480" w:firstLineChars="200"/>
              <w:rPr>
                <w:rFonts w:hAnsi="宋体"/>
                <w:color w:val="auto"/>
                <w:kern w:val="0"/>
                <w:sz w:val="24"/>
              </w:rPr>
            </w:pPr>
            <w:r>
              <w:rPr>
                <w:rFonts w:hint="eastAsia"/>
                <w:bCs/>
                <w:color w:val="auto"/>
                <w:sz w:val="24"/>
              </w:rPr>
              <w:t>根据《排污许可证申请与核发技术规范 铁路、船舶、航空航天和其他运输设备制造业》（HJ1124-2020）“表面处理（涂装）排污单位，参照本标准附录A执行”，附录A，喷漆室（段）、流平室（段）颗粒物采用“文丘里/水旋/水帘</w:t>
            </w:r>
            <w:r>
              <w:rPr>
                <w:rFonts w:hAnsi="宋体"/>
                <w:color w:val="auto"/>
                <w:kern w:val="0"/>
                <w:sz w:val="24"/>
              </w:rPr>
              <w:t>、石灰粉吸附、纸盒过滤、化学纤维过滤</w:t>
            </w:r>
            <w:r>
              <w:rPr>
                <w:rFonts w:hint="eastAsia" w:hAnsi="宋体"/>
                <w:color w:val="auto"/>
                <w:kern w:val="0"/>
                <w:sz w:val="24"/>
              </w:rPr>
              <w:t>”处理，属于可行技术。</w:t>
            </w:r>
          </w:p>
          <w:p w14:paraId="275B7DA5">
            <w:pPr>
              <w:adjustRightInd w:val="0"/>
              <w:snapToGrid w:val="0"/>
              <w:spacing w:line="360" w:lineRule="auto"/>
              <w:ind w:firstLine="480" w:firstLineChars="200"/>
              <w:rPr>
                <w:bCs/>
                <w:color w:val="auto"/>
                <w:sz w:val="24"/>
              </w:rPr>
            </w:pPr>
            <w:r>
              <w:rPr>
                <w:rFonts w:hint="eastAsia"/>
                <w:bCs/>
                <w:color w:val="auto"/>
                <w:sz w:val="24"/>
              </w:rPr>
              <w:t>综上，项目配件下料工序产生的颗粒物采用布袋除尘器处理，措施可行；</w:t>
            </w:r>
            <w:r>
              <w:rPr>
                <w:rFonts w:hint="eastAsia"/>
                <w:bCs/>
                <w:color w:val="auto"/>
                <w:sz w:val="24"/>
                <w:lang w:eastAsia="zh-CN"/>
              </w:rPr>
              <w:t>浸漆工序产生的</w:t>
            </w:r>
            <w:r>
              <w:rPr>
                <w:rFonts w:hint="eastAsia"/>
                <w:bCs/>
                <w:color w:val="auto"/>
                <w:sz w:val="24"/>
                <w:lang w:val="en-US" w:eastAsia="zh-CN"/>
              </w:rPr>
              <w:t>NMHC、烘干工序产生的NMHC、擦拭过程产生的NMHC以及喷漆工序产生的颗粒物、NMHC采用</w:t>
            </w:r>
            <w:r>
              <w:rPr>
                <w:rFonts w:hint="eastAsia"/>
                <w:bCs/>
                <w:color w:val="auto"/>
                <w:sz w:val="24"/>
              </w:rPr>
              <w:t>干式过滤棉+二级活性炭吸附装置处理措施可行。</w:t>
            </w:r>
          </w:p>
          <w:p w14:paraId="0CB09654">
            <w:pPr>
              <w:adjustRightInd w:val="0"/>
              <w:snapToGrid w:val="0"/>
              <w:spacing w:line="360" w:lineRule="auto"/>
              <w:ind w:firstLine="480" w:firstLineChars="200"/>
              <w:rPr>
                <w:color w:val="auto"/>
                <w:sz w:val="24"/>
              </w:rPr>
            </w:pPr>
            <w:r>
              <w:rPr>
                <w:bCs/>
                <w:color w:val="auto"/>
                <w:sz w:val="24"/>
              </w:rPr>
              <w:t>本项目所用废气处理工艺属于可行技术</w:t>
            </w:r>
            <w:r>
              <w:rPr>
                <w:color w:val="auto"/>
                <w:sz w:val="24"/>
              </w:rPr>
              <w:t>采取的污控措施具有针对性，预计对外环境及周边敏感目标的负面影响很低，可以接受。</w:t>
            </w:r>
          </w:p>
          <w:p w14:paraId="40394EA0">
            <w:pPr>
              <w:adjustRightInd w:val="0"/>
              <w:snapToGrid w:val="0"/>
              <w:spacing w:line="360" w:lineRule="auto"/>
              <w:ind w:firstLine="482" w:firstLineChars="200"/>
              <w:rPr>
                <w:color w:val="auto"/>
                <w:sz w:val="24"/>
              </w:rPr>
            </w:pPr>
            <w:r>
              <w:rPr>
                <w:rFonts w:hint="eastAsia"/>
                <w:b/>
                <w:bCs/>
                <w:color w:val="auto"/>
                <w:sz w:val="24"/>
              </w:rPr>
              <w:t>4.对敏感保护目标影响分析</w:t>
            </w:r>
          </w:p>
          <w:p w14:paraId="525924A9">
            <w:pPr>
              <w:adjustRightInd w:val="0"/>
              <w:snapToGrid w:val="0"/>
              <w:spacing w:line="360" w:lineRule="auto"/>
              <w:ind w:firstLine="480" w:firstLineChars="200"/>
              <w:rPr>
                <w:bCs/>
                <w:color w:val="auto"/>
                <w:sz w:val="24"/>
              </w:rPr>
            </w:pPr>
            <w:r>
              <w:rPr>
                <w:rFonts w:hint="eastAsia"/>
                <w:color w:val="auto"/>
                <w:kern w:val="0"/>
                <w:sz w:val="24"/>
                <w:szCs w:val="20"/>
              </w:rPr>
              <w:t>项目配件下料工序产生的颗粒物经集气罩+布袋除尘器处理后，通过1根15m高1#排气筒排放；浸漆</w:t>
            </w:r>
            <w:r>
              <w:rPr>
                <w:rFonts w:hint="eastAsia"/>
                <w:color w:val="auto"/>
                <w:kern w:val="0"/>
                <w:sz w:val="24"/>
                <w:szCs w:val="20"/>
                <w:lang w:eastAsia="zh-CN"/>
              </w:rPr>
              <w:t>工序产生的</w:t>
            </w:r>
            <w:r>
              <w:rPr>
                <w:rFonts w:hint="eastAsia"/>
                <w:color w:val="auto"/>
                <w:kern w:val="0"/>
                <w:sz w:val="24"/>
                <w:szCs w:val="20"/>
                <w:lang w:val="en-US" w:eastAsia="zh-CN"/>
              </w:rPr>
              <w:t>NMHC经密闭设备负压收集，与喷漆工序产生的颗粒物、NMHC、烘干和擦拭工序产生的NMHC经密闭车间负压收集汇合后，经</w:t>
            </w:r>
            <w:r>
              <w:rPr>
                <w:rFonts w:hint="eastAsia"/>
                <w:snapToGrid w:val="0"/>
                <w:color w:val="auto"/>
                <w:kern w:val="0"/>
                <w:sz w:val="24"/>
              </w:rPr>
              <w:t>干式过滤棉+二级活性炭吸附装置处理后，通过1根</w:t>
            </w:r>
            <w:r>
              <w:rPr>
                <w:rFonts w:hint="eastAsia"/>
                <w:color w:val="auto"/>
                <w:kern w:val="0"/>
                <w:sz w:val="24"/>
                <w:szCs w:val="20"/>
              </w:rPr>
              <w:t>15m高2#排气筒排放</w:t>
            </w:r>
            <w:r>
              <w:rPr>
                <w:rFonts w:hint="eastAsia"/>
                <w:bCs/>
                <w:color w:val="auto"/>
                <w:sz w:val="24"/>
              </w:rPr>
              <w:t>，NMHC、颗粒物能够稳定达标排放。</w:t>
            </w:r>
          </w:p>
          <w:p w14:paraId="64E5AAFA">
            <w:pPr>
              <w:adjustRightInd w:val="0"/>
              <w:snapToGrid w:val="0"/>
              <w:spacing w:line="360" w:lineRule="auto"/>
              <w:ind w:firstLine="480" w:firstLineChars="200"/>
              <w:rPr>
                <w:bCs/>
                <w:color w:val="auto"/>
                <w:sz w:val="24"/>
              </w:rPr>
            </w:pPr>
            <w:r>
              <w:rPr>
                <w:rFonts w:hint="eastAsia"/>
                <w:bCs/>
                <w:color w:val="auto"/>
                <w:sz w:val="24"/>
              </w:rPr>
              <w:t>为了减少项目正常及非正常情况下，对环境空气敏感保护目标的影响，企业应采取如下措施：</w:t>
            </w:r>
          </w:p>
          <w:p w14:paraId="3E0C36B1">
            <w:pPr>
              <w:adjustRightInd w:val="0"/>
              <w:snapToGrid w:val="0"/>
              <w:spacing w:line="360" w:lineRule="auto"/>
              <w:ind w:firstLine="480" w:firstLineChars="200"/>
              <w:rPr>
                <w:bCs/>
                <w:color w:val="auto"/>
                <w:sz w:val="24"/>
              </w:rPr>
            </w:pPr>
            <w:r>
              <w:rPr>
                <w:rFonts w:hint="eastAsia"/>
                <w:bCs/>
                <w:color w:val="auto"/>
                <w:sz w:val="24"/>
              </w:rPr>
              <w:t>A.项目浸漆工序设置在密闭浸漆系统内，喷漆</w:t>
            </w:r>
            <w:r>
              <w:rPr>
                <w:rFonts w:hint="eastAsia"/>
                <w:bCs/>
                <w:color w:val="auto"/>
                <w:sz w:val="24"/>
                <w:lang w:eastAsia="zh-CN"/>
              </w:rPr>
              <w:t>、擦拭</w:t>
            </w:r>
            <w:r>
              <w:rPr>
                <w:rFonts w:hint="eastAsia"/>
                <w:bCs/>
                <w:color w:val="auto"/>
                <w:sz w:val="24"/>
              </w:rPr>
              <w:t>工序设置在密闭喷漆房内</w:t>
            </w:r>
            <w:r>
              <w:rPr>
                <w:rFonts w:hint="eastAsia"/>
                <w:bCs/>
                <w:color w:val="auto"/>
                <w:sz w:val="24"/>
                <w:lang w:eastAsia="zh-CN"/>
              </w:rPr>
              <w:t>，烘干工序设置在密闭烘干房内</w:t>
            </w:r>
            <w:r>
              <w:rPr>
                <w:rFonts w:hint="eastAsia"/>
                <w:bCs/>
                <w:color w:val="auto"/>
                <w:sz w:val="24"/>
              </w:rPr>
              <w:t>，产生的废气采用密闭负压收集，能够有效减少废气的无组织逸散。</w:t>
            </w:r>
          </w:p>
          <w:p w14:paraId="1057E46C">
            <w:pPr>
              <w:adjustRightInd w:val="0"/>
              <w:snapToGrid w:val="0"/>
              <w:spacing w:line="360" w:lineRule="auto"/>
              <w:ind w:firstLine="480" w:firstLineChars="200"/>
              <w:rPr>
                <w:bCs/>
                <w:color w:val="auto"/>
                <w:sz w:val="24"/>
              </w:rPr>
            </w:pPr>
            <w:r>
              <w:rPr>
                <w:rFonts w:hint="eastAsia"/>
                <w:bCs/>
                <w:color w:val="auto"/>
                <w:sz w:val="24"/>
              </w:rPr>
              <w:t>B.VOCs物料应储存于密闭的容器、包装袋、储罐、储库、料仓中；盛装VOCs物料的容器或包装袋应存放于室内，或存放于设置有雨棚、遮阳和防渗设施的专用场地；盛装VOCs物料的容器或包装袋在非取用状态时应加盖、封口，保持密闭。</w:t>
            </w:r>
          </w:p>
          <w:p w14:paraId="6848D6DC">
            <w:pPr>
              <w:adjustRightInd w:val="0"/>
              <w:snapToGrid w:val="0"/>
              <w:spacing w:line="360" w:lineRule="auto"/>
              <w:ind w:firstLine="480" w:firstLineChars="200"/>
              <w:rPr>
                <w:bCs/>
                <w:color w:val="auto"/>
                <w:sz w:val="24"/>
              </w:rPr>
            </w:pPr>
            <w:r>
              <w:rPr>
                <w:rFonts w:hint="eastAsia"/>
                <w:bCs/>
                <w:color w:val="auto"/>
                <w:sz w:val="24"/>
              </w:rPr>
              <w:t>C.优化平面布局，产生废气工序布置在远离居民区一侧。</w:t>
            </w:r>
          </w:p>
          <w:p w14:paraId="0A81C43E">
            <w:pPr>
              <w:adjustRightInd w:val="0"/>
              <w:snapToGrid w:val="0"/>
              <w:spacing w:line="360" w:lineRule="auto"/>
              <w:ind w:firstLine="480" w:firstLineChars="200"/>
              <w:rPr>
                <w:bCs/>
                <w:color w:val="auto"/>
                <w:sz w:val="24"/>
              </w:rPr>
            </w:pPr>
            <w:r>
              <w:rPr>
                <w:rFonts w:hint="eastAsia"/>
                <w:bCs/>
                <w:color w:val="auto"/>
                <w:sz w:val="24"/>
              </w:rPr>
              <w:t>D.设置环境保护管理制度，定期进行环保设备的维护和保养，定期更换活性炭、过滤棉</w:t>
            </w:r>
            <w:r>
              <w:rPr>
                <w:rFonts w:hint="eastAsia"/>
                <w:bCs/>
                <w:color w:val="auto"/>
                <w:sz w:val="24"/>
                <w:lang w:eastAsia="zh-CN"/>
              </w:rPr>
              <w:t>、布袋</w:t>
            </w:r>
            <w:r>
              <w:rPr>
                <w:rFonts w:hint="eastAsia"/>
                <w:bCs/>
                <w:color w:val="auto"/>
                <w:sz w:val="24"/>
              </w:rPr>
              <w:t>，确保废气处理装置稳定运行，减少环保设备非正常运行对周围敏感目标的影响。</w:t>
            </w:r>
          </w:p>
          <w:p w14:paraId="3A00EA75">
            <w:pPr>
              <w:adjustRightInd w:val="0"/>
              <w:snapToGrid w:val="0"/>
              <w:spacing w:line="360" w:lineRule="auto"/>
              <w:ind w:firstLine="480" w:firstLineChars="200"/>
              <w:rPr>
                <w:bCs/>
                <w:color w:val="auto"/>
                <w:sz w:val="24"/>
              </w:rPr>
            </w:pPr>
            <w:r>
              <w:rPr>
                <w:rFonts w:hint="eastAsia"/>
                <w:bCs/>
                <w:color w:val="auto"/>
                <w:sz w:val="24"/>
              </w:rPr>
              <w:t>E.确保废气处理设施与主体工程同步运行。</w:t>
            </w:r>
          </w:p>
          <w:p w14:paraId="2BE62EF2">
            <w:pPr>
              <w:adjustRightInd w:val="0"/>
              <w:snapToGrid w:val="0"/>
              <w:spacing w:line="360" w:lineRule="auto"/>
              <w:ind w:firstLine="480" w:firstLineChars="200"/>
              <w:rPr>
                <w:bCs/>
                <w:color w:val="auto"/>
                <w:sz w:val="24"/>
              </w:rPr>
            </w:pPr>
            <w:r>
              <w:rPr>
                <w:rFonts w:hint="eastAsia"/>
                <w:bCs/>
                <w:color w:val="auto"/>
                <w:sz w:val="24"/>
              </w:rPr>
              <w:t>在采取以上措施后，项目的建设对敏感保护目标影响较小。</w:t>
            </w:r>
          </w:p>
          <w:p w14:paraId="1654164B">
            <w:pPr>
              <w:widowControl/>
              <w:adjustRightInd w:val="0"/>
              <w:snapToGrid w:val="0"/>
              <w:spacing w:line="360" w:lineRule="auto"/>
              <w:ind w:firstLine="482" w:firstLineChars="200"/>
              <w:jc w:val="left"/>
              <w:rPr>
                <w:b/>
                <w:bCs/>
                <w:color w:val="auto"/>
                <w:sz w:val="24"/>
              </w:rPr>
            </w:pPr>
            <w:r>
              <w:rPr>
                <w:b/>
                <w:bCs/>
                <w:color w:val="auto"/>
                <w:sz w:val="24"/>
              </w:rPr>
              <w:t>1.</w:t>
            </w:r>
            <w:r>
              <w:rPr>
                <w:rFonts w:hint="eastAsia"/>
                <w:b/>
                <w:bCs/>
                <w:color w:val="auto"/>
                <w:sz w:val="24"/>
              </w:rPr>
              <w:t>5</w:t>
            </w:r>
            <w:r>
              <w:rPr>
                <w:b/>
                <w:bCs/>
                <w:color w:val="auto"/>
                <w:sz w:val="24"/>
              </w:rPr>
              <w:t>卫生防护距离</w:t>
            </w:r>
          </w:p>
          <w:p w14:paraId="5FDB3147">
            <w:pPr>
              <w:adjustRightInd w:val="0"/>
              <w:snapToGrid w:val="0"/>
              <w:spacing w:line="360" w:lineRule="auto"/>
              <w:ind w:firstLine="480" w:firstLineChars="200"/>
              <w:rPr>
                <w:color w:val="auto"/>
                <w:sz w:val="24"/>
              </w:rPr>
            </w:pPr>
            <w:r>
              <w:rPr>
                <w:rFonts w:hint="eastAsia"/>
                <w:color w:val="auto"/>
                <w:sz w:val="24"/>
              </w:rPr>
              <w:t>①卫生防护距离</w:t>
            </w:r>
          </w:p>
          <w:p w14:paraId="6CF9971A">
            <w:pPr>
              <w:adjustRightInd w:val="0"/>
              <w:snapToGrid w:val="0"/>
              <w:spacing w:line="360" w:lineRule="auto"/>
              <w:ind w:firstLine="480" w:firstLineChars="200"/>
              <w:rPr>
                <w:color w:val="auto"/>
                <w:sz w:val="24"/>
              </w:rPr>
            </w:pPr>
            <w:r>
              <w:rPr>
                <w:rFonts w:hint="eastAsia"/>
                <w:color w:val="auto"/>
                <w:sz w:val="24"/>
              </w:rPr>
              <w:t>按照“工程分析”核算的有害气体无组织排放量，根据《大气有害物质无组织排放卫生防护距离推导技术导则》（GB/T39499-2020）的有关规定，当目标企业无组织排放存在多种有毒有害污染物时，基于单个污染物的等标排放量（Q</w:t>
            </w:r>
            <w:r>
              <w:rPr>
                <w:rFonts w:hint="eastAsia"/>
                <w:color w:val="auto"/>
                <w:sz w:val="24"/>
                <w:vertAlign w:val="subscript"/>
              </w:rPr>
              <w:t>c</w:t>
            </w:r>
            <w:r>
              <w:rPr>
                <w:rFonts w:hint="eastAsia"/>
                <w:color w:val="auto"/>
                <w:sz w:val="24"/>
              </w:rPr>
              <w:t>/</w:t>
            </w:r>
            <w:r>
              <w:rPr>
                <w:rFonts w:hint="eastAsia"/>
                <w:color w:val="auto"/>
                <w:sz w:val="24"/>
                <w:vertAlign w:val="baseline"/>
              </w:rPr>
              <w:t>C</w:t>
            </w:r>
            <w:r>
              <w:rPr>
                <w:rFonts w:hint="eastAsia"/>
                <w:color w:val="auto"/>
                <w:sz w:val="24"/>
                <w:vertAlign w:val="subscript"/>
              </w:rPr>
              <w:t>m</w:t>
            </w:r>
            <w:r>
              <w:rPr>
                <w:rFonts w:hint="eastAsia"/>
                <w:color w:val="auto"/>
                <w:sz w:val="24"/>
              </w:rPr>
              <w:t>）计算结果，优先选择等标排放量最大的污染物1～2种为企业无组织排放的主要特征大气有害物质。当前两种污染物的等标排放量相差在10%以内时，需要同时选择这两种特征大气有害物质分别计算卫生防护距离初值，建设项目无组织污染物等标排放量详见表4-</w:t>
            </w:r>
            <w:r>
              <w:rPr>
                <w:rFonts w:hint="eastAsia"/>
                <w:color w:val="auto"/>
                <w:sz w:val="24"/>
                <w:lang w:val="en-US" w:eastAsia="zh-CN"/>
              </w:rPr>
              <w:t>9</w:t>
            </w:r>
            <w:r>
              <w:rPr>
                <w:rFonts w:hint="eastAsia"/>
                <w:color w:val="auto"/>
                <w:sz w:val="24"/>
              </w:rPr>
              <w:t>。</w:t>
            </w:r>
          </w:p>
          <w:p w14:paraId="5FC43163">
            <w:pPr>
              <w:adjustRightInd w:val="0"/>
              <w:snapToGrid w:val="0"/>
              <w:ind w:firstLine="482" w:firstLineChars="200"/>
              <w:jc w:val="center"/>
              <w:rPr>
                <w:b/>
                <w:bCs/>
                <w:color w:val="auto"/>
                <w:sz w:val="24"/>
              </w:rPr>
            </w:pPr>
            <w:r>
              <w:rPr>
                <w:rFonts w:hint="eastAsia"/>
                <w:b/>
                <w:bCs/>
                <w:color w:val="auto"/>
                <w:sz w:val="24"/>
              </w:rPr>
              <w:t>表4-</w:t>
            </w:r>
            <w:r>
              <w:rPr>
                <w:rFonts w:hint="eastAsia"/>
                <w:b/>
                <w:bCs/>
                <w:color w:val="auto"/>
                <w:sz w:val="24"/>
                <w:lang w:val="en-US" w:eastAsia="zh-CN"/>
              </w:rPr>
              <w:t>9</w:t>
            </w:r>
            <w:r>
              <w:rPr>
                <w:rFonts w:hint="eastAsia"/>
                <w:b/>
                <w:bCs/>
                <w:color w:val="auto"/>
                <w:sz w:val="24"/>
              </w:rPr>
              <w:t>建设项目无组织废气</w:t>
            </w:r>
            <w:r>
              <w:rPr>
                <w:rFonts w:hint="eastAsia"/>
                <w:b/>
                <w:bCs/>
                <w:color w:val="auto"/>
                <w:sz w:val="24"/>
                <w:lang w:eastAsia="zh-CN"/>
              </w:rPr>
              <w:t>达标</w:t>
            </w:r>
            <w:r>
              <w:rPr>
                <w:rFonts w:hint="eastAsia"/>
                <w:b/>
                <w:bCs/>
                <w:color w:val="auto"/>
                <w:sz w:val="24"/>
              </w:rPr>
              <w:t>排放量计算结果一览表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1692"/>
              <w:gridCol w:w="1692"/>
              <w:gridCol w:w="1692"/>
              <w:gridCol w:w="1692"/>
            </w:tblGrid>
            <w:tr w14:paraId="47FAE3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691" w:type="dxa"/>
                  <w:tcBorders>
                    <w:tl2br w:val="nil"/>
                    <w:tr2bl w:val="nil"/>
                  </w:tcBorders>
                  <w:vAlign w:val="center"/>
                </w:tcPr>
                <w:p w14:paraId="189F6B25">
                  <w:pPr>
                    <w:keepNext w:val="0"/>
                    <w:keepLines w:val="0"/>
                    <w:pageBreakBefore w:val="0"/>
                    <w:kinsoku/>
                    <w:wordWrap/>
                    <w:overflowPunct/>
                    <w:topLinePunct w:val="0"/>
                    <w:autoSpaceDE/>
                    <w:autoSpaceDN/>
                    <w:bidi w:val="0"/>
                    <w:adjustRightInd w:val="0"/>
                    <w:snapToGrid w:val="0"/>
                    <w:ind w:firstLine="0"/>
                    <w:jc w:val="center"/>
                    <w:rPr>
                      <w:b/>
                      <w:bCs/>
                      <w:color w:val="auto"/>
                      <w:szCs w:val="21"/>
                    </w:rPr>
                  </w:pPr>
                  <w:r>
                    <w:rPr>
                      <w:b/>
                      <w:bCs/>
                      <w:color w:val="auto"/>
                      <w:szCs w:val="21"/>
                    </w:rPr>
                    <w:t>面源</w:t>
                  </w:r>
                </w:p>
              </w:tc>
              <w:tc>
                <w:tcPr>
                  <w:tcW w:w="1692" w:type="dxa"/>
                  <w:tcBorders>
                    <w:tl2br w:val="nil"/>
                    <w:tr2bl w:val="nil"/>
                  </w:tcBorders>
                  <w:vAlign w:val="center"/>
                </w:tcPr>
                <w:p w14:paraId="333C9AA2">
                  <w:pPr>
                    <w:keepNext w:val="0"/>
                    <w:keepLines w:val="0"/>
                    <w:pageBreakBefore w:val="0"/>
                    <w:kinsoku/>
                    <w:wordWrap/>
                    <w:overflowPunct/>
                    <w:topLinePunct w:val="0"/>
                    <w:autoSpaceDE/>
                    <w:autoSpaceDN/>
                    <w:bidi w:val="0"/>
                    <w:adjustRightInd w:val="0"/>
                    <w:snapToGrid w:val="0"/>
                    <w:ind w:firstLine="0"/>
                    <w:jc w:val="center"/>
                    <w:rPr>
                      <w:b/>
                      <w:bCs/>
                      <w:color w:val="auto"/>
                      <w:szCs w:val="21"/>
                    </w:rPr>
                  </w:pPr>
                  <w:r>
                    <w:rPr>
                      <w:b/>
                      <w:bCs/>
                      <w:color w:val="auto"/>
                      <w:szCs w:val="21"/>
                    </w:rPr>
                    <w:t>污染物</w:t>
                  </w:r>
                </w:p>
              </w:tc>
              <w:tc>
                <w:tcPr>
                  <w:tcW w:w="1692" w:type="dxa"/>
                  <w:tcBorders>
                    <w:tl2br w:val="nil"/>
                    <w:tr2bl w:val="nil"/>
                  </w:tcBorders>
                  <w:vAlign w:val="center"/>
                </w:tcPr>
                <w:p w14:paraId="363B9AEF">
                  <w:pPr>
                    <w:keepNext w:val="0"/>
                    <w:keepLines w:val="0"/>
                    <w:pageBreakBefore w:val="0"/>
                    <w:kinsoku/>
                    <w:wordWrap/>
                    <w:overflowPunct/>
                    <w:topLinePunct w:val="0"/>
                    <w:autoSpaceDE/>
                    <w:autoSpaceDN/>
                    <w:bidi w:val="0"/>
                    <w:adjustRightInd w:val="0"/>
                    <w:snapToGrid w:val="0"/>
                    <w:ind w:firstLine="0"/>
                    <w:jc w:val="center"/>
                    <w:rPr>
                      <w:b/>
                      <w:bCs/>
                      <w:color w:val="auto"/>
                      <w:szCs w:val="21"/>
                    </w:rPr>
                  </w:pPr>
                  <w:r>
                    <w:rPr>
                      <w:b/>
                      <w:bCs/>
                      <w:color w:val="auto"/>
                      <w:szCs w:val="21"/>
                    </w:rPr>
                    <w:t>源强Qc（kg/h）</w:t>
                  </w:r>
                </w:p>
              </w:tc>
              <w:tc>
                <w:tcPr>
                  <w:tcW w:w="1692" w:type="dxa"/>
                  <w:tcBorders>
                    <w:tl2br w:val="nil"/>
                    <w:tr2bl w:val="nil"/>
                  </w:tcBorders>
                  <w:vAlign w:val="center"/>
                </w:tcPr>
                <w:p w14:paraId="2C3F307B">
                  <w:pPr>
                    <w:keepNext w:val="0"/>
                    <w:keepLines w:val="0"/>
                    <w:pageBreakBefore w:val="0"/>
                    <w:kinsoku/>
                    <w:wordWrap/>
                    <w:overflowPunct/>
                    <w:topLinePunct w:val="0"/>
                    <w:autoSpaceDE/>
                    <w:autoSpaceDN/>
                    <w:bidi w:val="0"/>
                    <w:adjustRightInd w:val="0"/>
                    <w:snapToGrid w:val="0"/>
                    <w:ind w:firstLine="0"/>
                    <w:jc w:val="center"/>
                    <w:rPr>
                      <w:b/>
                      <w:bCs/>
                      <w:color w:val="auto"/>
                      <w:szCs w:val="21"/>
                    </w:rPr>
                  </w:pPr>
                  <w:r>
                    <w:rPr>
                      <w:b/>
                      <w:bCs/>
                      <w:color w:val="auto"/>
                      <w:szCs w:val="21"/>
                    </w:rPr>
                    <w:t>标准限值C</w:t>
                  </w:r>
                  <w:r>
                    <w:rPr>
                      <w:b/>
                      <w:bCs/>
                      <w:color w:val="auto"/>
                      <w:szCs w:val="21"/>
                      <w:vertAlign w:val="subscript"/>
                    </w:rPr>
                    <w:t>m</w:t>
                  </w:r>
                  <w:r>
                    <w:rPr>
                      <w:b/>
                      <w:bCs/>
                      <w:color w:val="auto"/>
                      <w:szCs w:val="21"/>
                    </w:rPr>
                    <w:t>（mg/Nm</w:t>
                  </w:r>
                  <w:r>
                    <w:rPr>
                      <w:b/>
                      <w:bCs/>
                      <w:color w:val="auto"/>
                      <w:szCs w:val="21"/>
                      <w:vertAlign w:val="superscript"/>
                    </w:rPr>
                    <w:t>3</w:t>
                  </w:r>
                  <w:r>
                    <w:rPr>
                      <w:b/>
                      <w:bCs/>
                      <w:color w:val="auto"/>
                      <w:szCs w:val="21"/>
                    </w:rPr>
                    <w:t>）</w:t>
                  </w:r>
                </w:p>
              </w:tc>
              <w:tc>
                <w:tcPr>
                  <w:tcW w:w="1692" w:type="dxa"/>
                  <w:tcBorders>
                    <w:tl2br w:val="nil"/>
                    <w:tr2bl w:val="nil"/>
                  </w:tcBorders>
                  <w:vAlign w:val="center"/>
                </w:tcPr>
                <w:p w14:paraId="16050A35">
                  <w:pPr>
                    <w:keepNext w:val="0"/>
                    <w:keepLines w:val="0"/>
                    <w:pageBreakBefore w:val="0"/>
                    <w:kinsoku/>
                    <w:wordWrap/>
                    <w:overflowPunct/>
                    <w:topLinePunct w:val="0"/>
                    <w:autoSpaceDE/>
                    <w:autoSpaceDN/>
                    <w:bidi w:val="0"/>
                    <w:adjustRightInd w:val="0"/>
                    <w:snapToGrid w:val="0"/>
                    <w:ind w:firstLine="0"/>
                    <w:jc w:val="center"/>
                    <w:rPr>
                      <w:b/>
                      <w:bCs/>
                      <w:color w:val="auto"/>
                      <w:szCs w:val="21"/>
                    </w:rPr>
                  </w:pPr>
                  <w:r>
                    <w:rPr>
                      <w:b/>
                      <w:bCs/>
                      <w:color w:val="auto"/>
                      <w:szCs w:val="21"/>
                    </w:rPr>
                    <w:t>Q</w:t>
                  </w:r>
                  <w:r>
                    <w:rPr>
                      <w:b/>
                      <w:bCs/>
                      <w:color w:val="auto"/>
                      <w:szCs w:val="21"/>
                      <w:vertAlign w:val="subscript"/>
                    </w:rPr>
                    <w:t>c</w:t>
                  </w:r>
                  <w:r>
                    <w:rPr>
                      <w:b/>
                      <w:bCs/>
                      <w:color w:val="auto"/>
                      <w:szCs w:val="21"/>
                    </w:rPr>
                    <w:t>/</w:t>
                  </w:r>
                  <w:r>
                    <w:rPr>
                      <w:b/>
                      <w:bCs/>
                      <w:color w:val="auto"/>
                      <w:szCs w:val="21"/>
                      <w:vertAlign w:val="baseline"/>
                    </w:rPr>
                    <w:t>C</w:t>
                  </w:r>
                  <w:r>
                    <w:rPr>
                      <w:b/>
                      <w:bCs/>
                      <w:color w:val="auto"/>
                      <w:szCs w:val="21"/>
                      <w:vertAlign w:val="subscript"/>
                    </w:rPr>
                    <w:t>m</w:t>
                  </w:r>
                </w:p>
              </w:tc>
            </w:tr>
            <w:tr w14:paraId="05D801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1" w:type="dxa"/>
                  <w:vMerge w:val="restart"/>
                  <w:tcBorders>
                    <w:tl2br w:val="nil"/>
                    <w:tr2bl w:val="nil"/>
                  </w:tcBorders>
                  <w:vAlign w:val="center"/>
                </w:tcPr>
                <w:p w14:paraId="15D4CD62">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lang w:val="en-US" w:eastAsia="zh-CN"/>
                    </w:rPr>
                    <w:t>2</w:t>
                  </w:r>
                  <w:r>
                    <w:rPr>
                      <w:rFonts w:hint="eastAsia"/>
                      <w:color w:val="auto"/>
                      <w:szCs w:val="21"/>
                    </w:rPr>
                    <w:t>#</w:t>
                  </w:r>
                  <w:r>
                    <w:rPr>
                      <w:color w:val="auto"/>
                      <w:szCs w:val="21"/>
                    </w:rPr>
                    <w:t>生产</w:t>
                  </w:r>
                  <w:r>
                    <w:rPr>
                      <w:rFonts w:hint="eastAsia"/>
                      <w:color w:val="auto"/>
                      <w:szCs w:val="21"/>
                    </w:rPr>
                    <w:t>车间</w:t>
                  </w:r>
                </w:p>
              </w:tc>
              <w:tc>
                <w:tcPr>
                  <w:tcW w:w="1692" w:type="dxa"/>
                  <w:tcBorders>
                    <w:tl2br w:val="nil"/>
                    <w:tr2bl w:val="nil"/>
                  </w:tcBorders>
                  <w:vAlign w:val="center"/>
                </w:tcPr>
                <w:p w14:paraId="154119E4">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NMHC</w:t>
                  </w:r>
                </w:p>
              </w:tc>
              <w:tc>
                <w:tcPr>
                  <w:tcW w:w="1692" w:type="dxa"/>
                  <w:tcBorders>
                    <w:tl2br w:val="nil"/>
                    <w:tr2bl w:val="nil"/>
                  </w:tcBorders>
                  <w:shd w:val="clear" w:color="auto" w:fill="auto"/>
                  <w:vAlign w:val="center"/>
                </w:tcPr>
                <w:p w14:paraId="25F25C62">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default" w:eastAsia="宋体"/>
                      <w:color w:val="auto"/>
                      <w:kern w:val="0"/>
                      <w:szCs w:val="21"/>
                      <w:lang w:val="en-US" w:eastAsia="zh-CN"/>
                    </w:rPr>
                  </w:pPr>
                  <w:r>
                    <w:rPr>
                      <w:rFonts w:hint="eastAsia"/>
                      <w:color w:val="auto"/>
                      <w:kern w:val="0"/>
                      <w:szCs w:val="21"/>
                    </w:rPr>
                    <w:t>0.0032</w:t>
                  </w:r>
                  <w:r>
                    <w:rPr>
                      <w:rFonts w:hint="eastAsia"/>
                      <w:color w:val="auto"/>
                      <w:kern w:val="0"/>
                      <w:szCs w:val="21"/>
                      <w:lang w:val="en-US" w:eastAsia="zh-CN"/>
                    </w:rPr>
                    <w:t>-0.0112</w:t>
                  </w:r>
                </w:p>
              </w:tc>
              <w:tc>
                <w:tcPr>
                  <w:tcW w:w="1692" w:type="dxa"/>
                  <w:tcBorders>
                    <w:tl2br w:val="nil"/>
                    <w:tr2bl w:val="nil"/>
                  </w:tcBorders>
                  <w:vAlign w:val="center"/>
                </w:tcPr>
                <w:p w14:paraId="25E17947">
                  <w:pPr>
                    <w:keepNext w:val="0"/>
                    <w:keepLines w:val="0"/>
                    <w:pageBreakBefore w:val="0"/>
                    <w:kinsoku/>
                    <w:wordWrap/>
                    <w:overflowPunct/>
                    <w:topLinePunct w:val="0"/>
                    <w:autoSpaceDE/>
                    <w:autoSpaceDN/>
                    <w:bidi w:val="0"/>
                    <w:adjustRightInd w:val="0"/>
                    <w:snapToGrid w:val="0"/>
                    <w:ind w:firstLine="0"/>
                    <w:jc w:val="center"/>
                    <w:rPr>
                      <w:color w:val="auto"/>
                      <w:szCs w:val="21"/>
                    </w:rPr>
                  </w:pPr>
                  <w:r>
                    <w:rPr>
                      <w:color w:val="auto"/>
                      <w:szCs w:val="21"/>
                    </w:rPr>
                    <w:t>2</w:t>
                  </w:r>
                </w:p>
              </w:tc>
              <w:tc>
                <w:tcPr>
                  <w:tcW w:w="1692" w:type="dxa"/>
                  <w:tcBorders>
                    <w:tl2br w:val="nil"/>
                    <w:tr2bl w:val="nil"/>
                  </w:tcBorders>
                  <w:vAlign w:val="center"/>
                </w:tcPr>
                <w:p w14:paraId="2B8CC067">
                  <w:pPr>
                    <w:keepNext w:val="0"/>
                    <w:keepLines w:val="0"/>
                    <w:pageBreakBefore w:val="0"/>
                    <w:kinsoku/>
                    <w:wordWrap/>
                    <w:overflowPunct/>
                    <w:topLinePunct w:val="0"/>
                    <w:autoSpaceDE/>
                    <w:autoSpaceDN/>
                    <w:bidi w:val="0"/>
                    <w:adjustRightInd w:val="0"/>
                    <w:snapToGrid w:val="0"/>
                    <w:ind w:firstLine="0"/>
                    <w:jc w:val="center"/>
                    <w:rPr>
                      <w:rFonts w:hint="default" w:eastAsia="宋体"/>
                      <w:color w:val="auto"/>
                      <w:szCs w:val="21"/>
                      <w:lang w:val="en-US" w:eastAsia="zh-CN"/>
                    </w:rPr>
                  </w:pPr>
                  <w:r>
                    <w:rPr>
                      <w:rFonts w:hint="eastAsia"/>
                      <w:color w:val="auto"/>
                      <w:szCs w:val="21"/>
                    </w:rPr>
                    <w:t>0.0016</w:t>
                  </w:r>
                  <w:r>
                    <w:rPr>
                      <w:rFonts w:hint="eastAsia"/>
                      <w:color w:val="auto"/>
                      <w:szCs w:val="21"/>
                      <w:lang w:val="en-US" w:eastAsia="zh-CN"/>
                    </w:rPr>
                    <w:t>-0.0056</w:t>
                  </w:r>
                </w:p>
              </w:tc>
            </w:tr>
            <w:tr w14:paraId="4CB0FD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1" w:type="dxa"/>
                  <w:vMerge w:val="continue"/>
                  <w:tcBorders>
                    <w:tl2br w:val="nil"/>
                    <w:tr2bl w:val="nil"/>
                  </w:tcBorders>
                  <w:vAlign w:val="center"/>
                </w:tcPr>
                <w:p w14:paraId="5ADA7DF6">
                  <w:pPr>
                    <w:keepNext w:val="0"/>
                    <w:keepLines w:val="0"/>
                    <w:pageBreakBefore w:val="0"/>
                    <w:kinsoku/>
                    <w:wordWrap/>
                    <w:overflowPunct/>
                    <w:topLinePunct w:val="0"/>
                    <w:autoSpaceDE/>
                    <w:autoSpaceDN/>
                    <w:bidi w:val="0"/>
                    <w:adjustRightInd w:val="0"/>
                    <w:snapToGrid w:val="0"/>
                    <w:ind w:firstLine="0"/>
                    <w:jc w:val="center"/>
                    <w:rPr>
                      <w:color w:val="auto"/>
                      <w:szCs w:val="21"/>
                    </w:rPr>
                  </w:pPr>
                </w:p>
              </w:tc>
              <w:tc>
                <w:tcPr>
                  <w:tcW w:w="1692" w:type="dxa"/>
                  <w:tcBorders>
                    <w:tl2br w:val="nil"/>
                    <w:tr2bl w:val="nil"/>
                  </w:tcBorders>
                  <w:vAlign w:val="center"/>
                </w:tcPr>
                <w:p w14:paraId="237DA8A1">
                  <w:pPr>
                    <w:keepNext w:val="0"/>
                    <w:keepLines w:val="0"/>
                    <w:pageBreakBefore w:val="0"/>
                    <w:kinsoku/>
                    <w:wordWrap/>
                    <w:overflowPunct/>
                    <w:topLinePunct w:val="0"/>
                    <w:autoSpaceDE/>
                    <w:autoSpaceDN/>
                    <w:bidi w:val="0"/>
                    <w:adjustRightInd w:val="0"/>
                    <w:snapToGrid w:val="0"/>
                    <w:ind w:firstLine="0"/>
                    <w:jc w:val="center"/>
                    <w:rPr>
                      <w:color w:val="auto"/>
                      <w:szCs w:val="21"/>
                    </w:rPr>
                  </w:pPr>
                  <w:r>
                    <w:rPr>
                      <w:color w:val="auto"/>
                      <w:szCs w:val="21"/>
                    </w:rPr>
                    <w:t>颗粒物</w:t>
                  </w:r>
                </w:p>
              </w:tc>
              <w:tc>
                <w:tcPr>
                  <w:tcW w:w="1692" w:type="dxa"/>
                  <w:tcBorders>
                    <w:tl2br w:val="nil"/>
                    <w:tr2bl w:val="nil"/>
                  </w:tcBorders>
                  <w:shd w:val="clear" w:color="auto" w:fill="auto"/>
                  <w:vAlign w:val="center"/>
                </w:tcPr>
                <w:p w14:paraId="4C44079E">
                  <w:pPr>
                    <w:keepNext w:val="0"/>
                    <w:keepLines w:val="0"/>
                    <w:pageBreakBefore w:val="0"/>
                    <w:widowControl/>
                    <w:kinsoku/>
                    <w:wordWrap/>
                    <w:overflowPunct/>
                    <w:topLinePunct w:val="0"/>
                    <w:autoSpaceDE/>
                    <w:autoSpaceDN/>
                    <w:bidi w:val="0"/>
                    <w:adjustRightInd w:val="0"/>
                    <w:snapToGrid w:val="0"/>
                    <w:ind w:firstLine="0"/>
                    <w:jc w:val="center"/>
                    <w:textAlignment w:val="bottom"/>
                    <w:rPr>
                      <w:rFonts w:hint="default" w:eastAsia="宋体"/>
                      <w:color w:val="auto"/>
                      <w:kern w:val="0"/>
                      <w:szCs w:val="21"/>
                      <w:lang w:val="en-US" w:eastAsia="zh-CN"/>
                    </w:rPr>
                  </w:pPr>
                  <w:r>
                    <w:rPr>
                      <w:rFonts w:hint="eastAsia"/>
                      <w:color w:val="auto"/>
                      <w:kern w:val="0"/>
                      <w:szCs w:val="21"/>
                    </w:rPr>
                    <w:t>0.05</w:t>
                  </w:r>
                  <w:r>
                    <w:rPr>
                      <w:rFonts w:hint="eastAsia"/>
                      <w:color w:val="auto"/>
                      <w:kern w:val="0"/>
                      <w:szCs w:val="21"/>
                      <w:lang w:val="en-US" w:eastAsia="zh-CN"/>
                    </w:rPr>
                    <w:t>31</w:t>
                  </w:r>
                </w:p>
              </w:tc>
              <w:tc>
                <w:tcPr>
                  <w:tcW w:w="1692" w:type="dxa"/>
                  <w:tcBorders>
                    <w:tl2br w:val="nil"/>
                    <w:tr2bl w:val="nil"/>
                  </w:tcBorders>
                  <w:vAlign w:val="center"/>
                </w:tcPr>
                <w:p w14:paraId="2EBF9D16">
                  <w:pPr>
                    <w:keepNext w:val="0"/>
                    <w:keepLines w:val="0"/>
                    <w:pageBreakBefore w:val="0"/>
                    <w:kinsoku/>
                    <w:wordWrap/>
                    <w:overflowPunct/>
                    <w:topLinePunct w:val="0"/>
                    <w:autoSpaceDE/>
                    <w:autoSpaceDN/>
                    <w:bidi w:val="0"/>
                    <w:adjustRightInd w:val="0"/>
                    <w:snapToGrid w:val="0"/>
                    <w:ind w:firstLine="0"/>
                    <w:jc w:val="center"/>
                    <w:rPr>
                      <w:color w:val="auto"/>
                      <w:szCs w:val="21"/>
                    </w:rPr>
                  </w:pPr>
                  <w:r>
                    <w:rPr>
                      <w:color w:val="auto"/>
                      <w:szCs w:val="21"/>
                    </w:rPr>
                    <w:t>0.9</w:t>
                  </w:r>
                </w:p>
              </w:tc>
              <w:tc>
                <w:tcPr>
                  <w:tcW w:w="1692" w:type="dxa"/>
                  <w:tcBorders>
                    <w:tl2br w:val="nil"/>
                    <w:tr2bl w:val="nil"/>
                  </w:tcBorders>
                  <w:vAlign w:val="center"/>
                </w:tcPr>
                <w:p w14:paraId="3EEA9AD1">
                  <w:pPr>
                    <w:keepNext w:val="0"/>
                    <w:keepLines w:val="0"/>
                    <w:pageBreakBefore w:val="0"/>
                    <w:kinsoku/>
                    <w:wordWrap/>
                    <w:overflowPunct/>
                    <w:topLinePunct w:val="0"/>
                    <w:autoSpaceDE/>
                    <w:autoSpaceDN/>
                    <w:bidi w:val="0"/>
                    <w:adjustRightInd w:val="0"/>
                    <w:snapToGrid w:val="0"/>
                    <w:ind w:firstLine="0"/>
                    <w:jc w:val="center"/>
                    <w:rPr>
                      <w:rFonts w:hint="default" w:eastAsia="宋体"/>
                      <w:color w:val="auto"/>
                      <w:szCs w:val="21"/>
                      <w:lang w:val="en-US" w:eastAsia="zh-CN"/>
                    </w:rPr>
                  </w:pPr>
                  <w:r>
                    <w:rPr>
                      <w:rFonts w:hint="eastAsia"/>
                      <w:color w:val="auto"/>
                      <w:szCs w:val="21"/>
                    </w:rPr>
                    <w:t>0.0</w:t>
                  </w:r>
                  <w:r>
                    <w:rPr>
                      <w:rFonts w:hint="eastAsia"/>
                      <w:color w:val="auto"/>
                      <w:szCs w:val="21"/>
                      <w:lang w:val="en-US" w:eastAsia="zh-CN"/>
                    </w:rPr>
                    <w:t>59</w:t>
                  </w:r>
                </w:p>
              </w:tc>
            </w:tr>
          </w:tbl>
          <w:p w14:paraId="5045E644">
            <w:pPr>
              <w:adjustRightInd w:val="0"/>
              <w:snapToGrid w:val="0"/>
              <w:spacing w:before="120" w:beforeLines="50" w:line="360" w:lineRule="auto"/>
              <w:ind w:firstLine="480" w:firstLineChars="200"/>
              <w:rPr>
                <w:color w:val="auto"/>
                <w:sz w:val="24"/>
              </w:rPr>
            </w:pPr>
            <w:r>
              <w:rPr>
                <w:rFonts w:hint="eastAsia"/>
                <w:color w:val="auto"/>
                <w:sz w:val="24"/>
              </w:rPr>
              <w:t>由上表可知，建设项目</w:t>
            </w:r>
            <w:r>
              <w:rPr>
                <w:rFonts w:hint="eastAsia"/>
                <w:color w:val="auto"/>
                <w:sz w:val="24"/>
                <w:lang w:val="en-US" w:eastAsia="zh-CN"/>
              </w:rPr>
              <w:t>2</w:t>
            </w:r>
            <w:r>
              <w:rPr>
                <w:rFonts w:hint="eastAsia"/>
                <w:color w:val="auto"/>
                <w:sz w:val="24"/>
              </w:rPr>
              <w:t>#生产车间无组织废气涉及NMHC、颗粒物，两者等标排放量相差超过10%，故选择相对等标排放量较大的颗粒物进行计算卫生防护距离。</w:t>
            </w:r>
          </w:p>
          <w:p w14:paraId="7F740DFD">
            <w:pPr>
              <w:adjustRightInd w:val="0"/>
              <w:snapToGrid w:val="0"/>
              <w:spacing w:line="360" w:lineRule="auto"/>
              <w:ind w:firstLine="480" w:firstLineChars="200"/>
              <w:rPr>
                <w:color w:val="auto"/>
                <w:sz w:val="24"/>
              </w:rPr>
            </w:pPr>
            <w:r>
              <w:rPr>
                <w:color w:val="auto"/>
                <w:sz w:val="24"/>
              </w:rPr>
              <w:t>本次评价根据《大气有害物质无组织排放卫生防护距离推导技术导则》</w:t>
            </w:r>
            <w:r>
              <w:rPr>
                <w:rFonts w:hint="eastAsia"/>
                <w:color w:val="auto"/>
                <w:sz w:val="24"/>
              </w:rPr>
              <w:t>（</w:t>
            </w:r>
            <w:r>
              <w:rPr>
                <w:color w:val="auto"/>
                <w:sz w:val="24"/>
              </w:rPr>
              <w:t>GB/T39499-2020</w:t>
            </w:r>
            <w:r>
              <w:rPr>
                <w:rFonts w:hint="eastAsia"/>
                <w:color w:val="auto"/>
                <w:sz w:val="24"/>
              </w:rPr>
              <w:t>）</w:t>
            </w:r>
            <w:r>
              <w:rPr>
                <w:color w:val="auto"/>
                <w:sz w:val="24"/>
              </w:rPr>
              <w:t>的有关规定核算卫生防护距离。</w:t>
            </w:r>
          </w:p>
          <w:p w14:paraId="2784C780">
            <w:pPr>
              <w:adjustRightInd w:val="0"/>
              <w:snapToGrid w:val="0"/>
              <w:spacing w:line="360" w:lineRule="auto"/>
              <w:ind w:firstLine="480" w:firstLineChars="200"/>
              <w:rPr>
                <w:color w:val="auto"/>
                <w:sz w:val="24"/>
              </w:rPr>
            </w:pPr>
            <w:r>
              <w:rPr>
                <w:color w:val="auto"/>
                <w:sz w:val="24"/>
              </w:rPr>
              <w:t>根据《大气有害物质无组织排放卫生防护距离推导技术导则》</w:t>
            </w:r>
            <w:r>
              <w:rPr>
                <w:rFonts w:hint="eastAsia"/>
                <w:color w:val="auto"/>
                <w:sz w:val="24"/>
              </w:rPr>
              <w:t>（</w:t>
            </w:r>
            <w:r>
              <w:rPr>
                <w:color w:val="auto"/>
                <w:sz w:val="24"/>
              </w:rPr>
              <w:t>GB/T39499-2020</w:t>
            </w:r>
            <w:r>
              <w:rPr>
                <w:rFonts w:hint="eastAsia"/>
                <w:color w:val="auto"/>
                <w:sz w:val="24"/>
              </w:rPr>
              <w:t>）</w:t>
            </w:r>
            <w:r>
              <w:rPr>
                <w:color w:val="auto"/>
                <w:sz w:val="24"/>
              </w:rPr>
              <w:t>，卫生防护距离计算公式如下：</w:t>
            </w:r>
          </w:p>
          <w:p w14:paraId="5A7E8847">
            <w:pPr>
              <w:adjustRightInd w:val="0"/>
              <w:snapToGrid w:val="0"/>
              <w:spacing w:line="360" w:lineRule="auto"/>
              <w:ind w:firstLine="480" w:firstLineChars="200"/>
              <w:jc w:val="center"/>
              <w:rPr>
                <w:color w:val="auto"/>
                <w:sz w:val="24"/>
              </w:rPr>
            </w:pPr>
            <w:r>
              <w:rPr>
                <w:color w:val="auto"/>
                <w:position w:val="-30"/>
                <w:sz w:val="24"/>
              </w:rPr>
              <w:object>
                <v:shape id="_x0000_i1028" o:spt="75" type="#_x0000_t75" style="height:33.75pt;width:138.75pt;" o:ole="t" filled="f" o:preferrelative="t" stroked="f" coordsize="21600,21600">
                  <v:path/>
                  <v:fill on="f" focussize="0,0"/>
                  <v:stroke on="f" joinstyle="miter"/>
                  <v:imagedata r:id="rId19" o:title=""/>
                  <o:lock v:ext="edit" aspectratio="f"/>
                  <w10:wrap type="none"/>
                  <w10:anchorlock/>
                </v:shape>
                <o:OLEObject Type="Embed" ProgID="Equation.3" ShapeID="_x0000_i1028" DrawAspect="Content" ObjectID="_1468075728" r:id="rId18">
                  <o:LockedField>false</o:LockedField>
                </o:OLEObject>
              </w:object>
            </w:r>
          </w:p>
          <w:p w14:paraId="6EB6269A">
            <w:pPr>
              <w:adjustRightInd w:val="0"/>
              <w:snapToGrid w:val="0"/>
              <w:spacing w:line="360" w:lineRule="auto"/>
              <w:ind w:firstLine="480" w:firstLineChars="200"/>
              <w:rPr>
                <w:color w:val="auto"/>
                <w:sz w:val="24"/>
              </w:rPr>
            </w:pPr>
            <w:r>
              <w:rPr>
                <w:color w:val="auto"/>
                <w:sz w:val="24"/>
              </w:rPr>
              <w:t>式中：Qc</w:t>
            </w:r>
            <w:r>
              <w:rPr>
                <w:rFonts w:hint="eastAsia"/>
                <w:color w:val="auto"/>
                <w:sz w:val="24"/>
              </w:rPr>
              <w:t>--</w:t>
            </w:r>
            <w:r>
              <w:rPr>
                <w:color w:val="auto"/>
                <w:sz w:val="24"/>
              </w:rPr>
              <w:t>大气有害物质的无组织排放量，单位为千克每小时（kg/h）；</w:t>
            </w:r>
          </w:p>
          <w:p w14:paraId="61D87CCC">
            <w:pPr>
              <w:adjustRightInd w:val="0"/>
              <w:snapToGrid w:val="0"/>
              <w:spacing w:line="360" w:lineRule="auto"/>
              <w:ind w:firstLine="480" w:firstLineChars="200"/>
              <w:rPr>
                <w:color w:val="auto"/>
                <w:sz w:val="24"/>
              </w:rPr>
            </w:pPr>
            <w:r>
              <w:rPr>
                <w:color w:val="auto"/>
                <w:sz w:val="24"/>
              </w:rPr>
              <w:tab/>
            </w:r>
            <w:r>
              <w:rPr>
                <w:color w:val="auto"/>
                <w:sz w:val="24"/>
              </w:rPr>
              <w:t>C</w:t>
            </w:r>
            <w:r>
              <w:rPr>
                <w:color w:val="auto"/>
                <w:sz w:val="24"/>
                <w:vertAlign w:val="subscript"/>
              </w:rPr>
              <w:t>m</w:t>
            </w:r>
            <w:r>
              <w:rPr>
                <w:rFonts w:hint="eastAsia"/>
                <w:color w:val="auto"/>
                <w:sz w:val="24"/>
              </w:rPr>
              <w:t>--</w:t>
            </w:r>
            <w:r>
              <w:rPr>
                <w:color w:val="auto"/>
                <w:sz w:val="24"/>
              </w:rPr>
              <w:t>大气有害物质环境空气质量的标准限值，单位为毫克每立方米（mg/m</w:t>
            </w:r>
            <w:r>
              <w:rPr>
                <w:color w:val="auto"/>
                <w:sz w:val="24"/>
                <w:vertAlign w:val="superscript"/>
              </w:rPr>
              <w:t>3</w:t>
            </w:r>
            <w:r>
              <w:rPr>
                <w:color w:val="auto"/>
                <w:sz w:val="24"/>
              </w:rPr>
              <w:t>）；</w:t>
            </w:r>
          </w:p>
          <w:p w14:paraId="1AC72CD4">
            <w:pPr>
              <w:adjustRightInd w:val="0"/>
              <w:snapToGrid w:val="0"/>
              <w:spacing w:line="360" w:lineRule="auto"/>
              <w:ind w:firstLine="480" w:firstLineChars="200"/>
              <w:rPr>
                <w:color w:val="auto"/>
                <w:sz w:val="24"/>
              </w:rPr>
            </w:pPr>
            <w:r>
              <w:rPr>
                <w:color w:val="auto"/>
                <w:sz w:val="24"/>
              </w:rPr>
              <w:tab/>
            </w:r>
            <w:r>
              <w:rPr>
                <w:color w:val="auto"/>
                <w:sz w:val="24"/>
              </w:rPr>
              <w:t>L</w:t>
            </w:r>
            <w:r>
              <w:rPr>
                <w:rFonts w:hint="eastAsia"/>
                <w:color w:val="auto"/>
                <w:sz w:val="24"/>
              </w:rPr>
              <w:t>--</w:t>
            </w:r>
            <w:r>
              <w:rPr>
                <w:color w:val="auto"/>
                <w:sz w:val="24"/>
              </w:rPr>
              <w:t>大气有害物质卫生防护距离初值，单位为米（m）；</w:t>
            </w:r>
          </w:p>
          <w:p w14:paraId="72D01E48">
            <w:pPr>
              <w:adjustRightInd w:val="0"/>
              <w:snapToGrid w:val="0"/>
              <w:spacing w:line="360" w:lineRule="auto"/>
              <w:ind w:firstLine="480" w:firstLineChars="200"/>
              <w:rPr>
                <w:color w:val="auto"/>
                <w:sz w:val="24"/>
              </w:rPr>
            </w:pPr>
            <w:r>
              <w:rPr>
                <w:color w:val="auto"/>
                <w:sz w:val="24"/>
              </w:rPr>
              <w:tab/>
            </w:r>
            <w:r>
              <w:rPr>
                <w:color w:val="auto"/>
                <w:sz w:val="24"/>
              </w:rPr>
              <w:t>r</w:t>
            </w:r>
            <w:r>
              <w:rPr>
                <w:rFonts w:hint="eastAsia"/>
                <w:color w:val="auto"/>
                <w:sz w:val="24"/>
              </w:rPr>
              <w:t>--</w:t>
            </w:r>
            <w:r>
              <w:rPr>
                <w:color w:val="auto"/>
                <w:sz w:val="24"/>
              </w:rPr>
              <w:t>大气有害物质无组织排放源所在生产单元的等效半径，单位为米（m），r=</w:t>
            </w:r>
            <w:r>
              <w:rPr>
                <w:rFonts w:hint="eastAsia"/>
                <w:color w:val="auto"/>
                <w:sz w:val="24"/>
              </w:rPr>
              <w:t>（</w:t>
            </w:r>
            <w:r>
              <w:rPr>
                <w:color w:val="auto"/>
                <w:sz w:val="24"/>
              </w:rPr>
              <w:t>S/p</w:t>
            </w:r>
            <w:r>
              <w:rPr>
                <w:rFonts w:hint="eastAsia"/>
                <w:color w:val="auto"/>
                <w:sz w:val="24"/>
              </w:rPr>
              <w:t>）</w:t>
            </w:r>
            <w:r>
              <w:rPr>
                <w:color w:val="auto"/>
                <w:sz w:val="24"/>
                <w:vertAlign w:val="superscript"/>
              </w:rPr>
              <w:t>0.5</w:t>
            </w:r>
            <w:r>
              <w:rPr>
                <w:color w:val="auto"/>
                <w:sz w:val="24"/>
              </w:rPr>
              <w:t>；</w:t>
            </w:r>
          </w:p>
          <w:p w14:paraId="6F81C082">
            <w:pPr>
              <w:adjustRightInd w:val="0"/>
              <w:snapToGrid w:val="0"/>
              <w:spacing w:line="360" w:lineRule="auto"/>
              <w:ind w:firstLine="1080" w:firstLineChars="450"/>
              <w:rPr>
                <w:b/>
                <w:bCs/>
                <w:color w:val="auto"/>
                <w:sz w:val="24"/>
              </w:rPr>
            </w:pPr>
            <w:r>
              <w:rPr>
                <w:i/>
                <w:iCs/>
                <w:color w:val="auto"/>
                <w:sz w:val="24"/>
              </w:rPr>
              <w:t>A</w:t>
            </w:r>
            <w:r>
              <w:rPr>
                <w:rFonts w:hint="eastAsia"/>
                <w:i/>
                <w:iCs/>
                <w:color w:val="auto"/>
                <w:sz w:val="24"/>
                <w:lang w:eastAsia="zh-CN"/>
              </w:rPr>
              <w:t>.</w:t>
            </w:r>
            <w:r>
              <w:rPr>
                <w:i/>
                <w:iCs/>
                <w:color w:val="auto"/>
                <w:sz w:val="24"/>
              </w:rPr>
              <w:t>B、C、D</w:t>
            </w:r>
            <w:r>
              <w:rPr>
                <w:rFonts w:hint="eastAsia"/>
                <w:color w:val="auto"/>
                <w:sz w:val="24"/>
              </w:rPr>
              <w:t>--</w:t>
            </w:r>
            <w:r>
              <w:rPr>
                <w:color w:val="auto"/>
                <w:sz w:val="24"/>
              </w:rPr>
              <w:t>卫生防护距离初值计算系数，无因次，根据工业企业所在地区近5年平均风速及大气污染源构成类别从下表查取，项目所在地年均风速为2.56m/s。</w:t>
            </w:r>
          </w:p>
          <w:p w14:paraId="631153FD">
            <w:pPr>
              <w:adjustRightInd w:val="0"/>
              <w:snapToGrid w:val="0"/>
              <w:ind w:firstLine="482"/>
              <w:jc w:val="center"/>
              <w:rPr>
                <w:b/>
                <w:bCs/>
                <w:color w:val="auto"/>
                <w:sz w:val="24"/>
              </w:rPr>
            </w:pPr>
            <w:r>
              <w:rPr>
                <w:b/>
                <w:bCs/>
                <w:color w:val="auto"/>
                <w:sz w:val="24"/>
              </w:rPr>
              <w:t>表4-</w:t>
            </w:r>
            <w:r>
              <w:rPr>
                <w:rFonts w:hint="eastAsia"/>
                <w:b/>
                <w:bCs/>
                <w:color w:val="auto"/>
                <w:sz w:val="24"/>
                <w:lang w:val="en-US" w:eastAsia="zh-CN"/>
              </w:rPr>
              <w:t>10</w:t>
            </w:r>
            <w:r>
              <w:rPr>
                <w:b/>
                <w:bCs/>
                <w:color w:val="auto"/>
                <w:sz w:val="24"/>
              </w:rPr>
              <w:t>卫生防护距离计算系数</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924"/>
              <w:gridCol w:w="946"/>
              <w:gridCol w:w="734"/>
              <w:gridCol w:w="738"/>
              <w:gridCol w:w="734"/>
              <w:gridCol w:w="734"/>
              <w:gridCol w:w="734"/>
              <w:gridCol w:w="736"/>
              <w:gridCol w:w="734"/>
              <w:gridCol w:w="734"/>
              <w:gridCol w:w="711"/>
            </w:tblGrid>
            <w:tr w14:paraId="1946823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546" w:type="pct"/>
                  <w:vMerge w:val="restart"/>
                  <w:vAlign w:val="center"/>
                </w:tcPr>
                <w:p w14:paraId="041ACC27">
                  <w:pPr>
                    <w:keepNext w:val="0"/>
                    <w:keepLines w:val="0"/>
                    <w:pageBreakBefore w:val="0"/>
                    <w:kinsoku/>
                    <w:wordWrap/>
                    <w:overflowPunct/>
                    <w:topLinePunct w:val="0"/>
                    <w:autoSpaceDE/>
                    <w:autoSpaceDN/>
                    <w:bidi w:val="0"/>
                    <w:adjustRightInd w:val="0"/>
                    <w:snapToGrid w:val="0"/>
                    <w:ind w:firstLine="0" w:firstLineChars="0"/>
                    <w:jc w:val="center"/>
                    <w:textAlignment w:val="auto"/>
                    <w:rPr>
                      <w:b/>
                      <w:bCs/>
                      <w:color w:val="auto"/>
                      <w:szCs w:val="21"/>
                    </w:rPr>
                  </w:pPr>
                  <w:r>
                    <w:rPr>
                      <w:b/>
                      <w:bCs/>
                      <w:color w:val="auto"/>
                      <w:szCs w:val="21"/>
                    </w:rPr>
                    <w:t>卫生防护距离初值计算系数</w:t>
                  </w:r>
                </w:p>
              </w:tc>
              <w:tc>
                <w:tcPr>
                  <w:tcW w:w="559" w:type="pct"/>
                  <w:vMerge w:val="restart"/>
                  <w:vAlign w:val="center"/>
                </w:tcPr>
                <w:p w14:paraId="6A1CD31F">
                  <w:pPr>
                    <w:keepNext w:val="0"/>
                    <w:keepLines w:val="0"/>
                    <w:pageBreakBefore w:val="0"/>
                    <w:kinsoku/>
                    <w:wordWrap/>
                    <w:overflowPunct/>
                    <w:topLinePunct w:val="0"/>
                    <w:autoSpaceDE/>
                    <w:autoSpaceDN/>
                    <w:bidi w:val="0"/>
                    <w:adjustRightInd w:val="0"/>
                    <w:snapToGrid w:val="0"/>
                    <w:ind w:firstLine="0" w:firstLineChars="0"/>
                    <w:jc w:val="center"/>
                    <w:textAlignment w:val="auto"/>
                    <w:rPr>
                      <w:b/>
                      <w:bCs/>
                      <w:color w:val="auto"/>
                      <w:szCs w:val="21"/>
                    </w:rPr>
                  </w:pPr>
                  <w:r>
                    <w:rPr>
                      <w:b/>
                      <w:bCs/>
                      <w:color w:val="auto"/>
                      <w:szCs w:val="21"/>
                    </w:rPr>
                    <w:t>工业企业所在地区近5年平均风速</w:t>
                  </w:r>
                  <w:r>
                    <w:rPr>
                      <w:rFonts w:hint="eastAsia"/>
                      <w:b/>
                      <w:bCs/>
                      <w:color w:val="auto"/>
                      <w:szCs w:val="21"/>
                    </w:rPr>
                    <w:t>（</w:t>
                  </w:r>
                  <w:r>
                    <w:rPr>
                      <w:b/>
                      <w:bCs/>
                      <w:color w:val="auto"/>
                      <w:szCs w:val="21"/>
                    </w:rPr>
                    <w:t>m/s</w:t>
                  </w:r>
                  <w:r>
                    <w:rPr>
                      <w:rFonts w:hint="eastAsia"/>
                      <w:b/>
                      <w:bCs/>
                      <w:color w:val="auto"/>
                      <w:szCs w:val="21"/>
                    </w:rPr>
                    <w:t>）</w:t>
                  </w:r>
                </w:p>
              </w:tc>
              <w:tc>
                <w:tcPr>
                  <w:tcW w:w="3895" w:type="pct"/>
                  <w:gridSpan w:val="9"/>
                  <w:vAlign w:val="center"/>
                </w:tcPr>
                <w:p w14:paraId="01CE583E">
                  <w:pPr>
                    <w:keepNext w:val="0"/>
                    <w:keepLines w:val="0"/>
                    <w:pageBreakBefore w:val="0"/>
                    <w:kinsoku/>
                    <w:wordWrap/>
                    <w:overflowPunct/>
                    <w:topLinePunct w:val="0"/>
                    <w:autoSpaceDE/>
                    <w:autoSpaceDN/>
                    <w:bidi w:val="0"/>
                    <w:adjustRightInd w:val="0"/>
                    <w:snapToGrid w:val="0"/>
                    <w:ind w:firstLine="0" w:firstLineChars="0"/>
                    <w:jc w:val="center"/>
                    <w:textAlignment w:val="auto"/>
                    <w:rPr>
                      <w:b/>
                      <w:bCs/>
                      <w:color w:val="auto"/>
                      <w:szCs w:val="21"/>
                    </w:rPr>
                  </w:pPr>
                  <w:r>
                    <w:rPr>
                      <w:b/>
                      <w:bCs/>
                      <w:color w:val="auto"/>
                      <w:szCs w:val="21"/>
                    </w:rPr>
                    <w:t>卫生防护距离L/m</w:t>
                  </w:r>
                </w:p>
              </w:tc>
            </w:tr>
            <w:tr w14:paraId="40B246A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84" w:type="dxa"/>
                  <w:vMerge w:val="continue"/>
                  <w:vAlign w:val="center"/>
                </w:tcPr>
                <w:p w14:paraId="1E0464C6">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b/>
                      <w:bCs/>
                      <w:color w:val="auto"/>
                      <w:szCs w:val="21"/>
                    </w:rPr>
                  </w:pPr>
                </w:p>
              </w:tc>
              <w:tc>
                <w:tcPr>
                  <w:tcW w:w="1007" w:type="dxa"/>
                  <w:vMerge w:val="continue"/>
                  <w:vAlign w:val="center"/>
                </w:tcPr>
                <w:p w14:paraId="41E9E4A0">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b/>
                      <w:bCs/>
                      <w:color w:val="auto"/>
                      <w:szCs w:val="21"/>
                    </w:rPr>
                  </w:pPr>
                </w:p>
              </w:tc>
              <w:tc>
                <w:tcPr>
                  <w:tcW w:w="1304" w:type="pct"/>
                  <w:gridSpan w:val="3"/>
                  <w:vAlign w:val="center"/>
                </w:tcPr>
                <w:p w14:paraId="34D37EB9">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L≤1000</w:t>
                  </w:r>
                </w:p>
              </w:tc>
              <w:tc>
                <w:tcPr>
                  <w:tcW w:w="1303" w:type="pct"/>
                  <w:gridSpan w:val="3"/>
                  <w:vAlign w:val="center"/>
                </w:tcPr>
                <w:p w14:paraId="32C81113">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1000＜L≤2000</w:t>
                  </w:r>
                </w:p>
              </w:tc>
              <w:tc>
                <w:tcPr>
                  <w:tcW w:w="1288" w:type="pct"/>
                  <w:gridSpan w:val="3"/>
                  <w:vAlign w:val="center"/>
                </w:tcPr>
                <w:p w14:paraId="108A05AE">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L＞2000</w:t>
                  </w:r>
                </w:p>
              </w:tc>
            </w:tr>
            <w:tr w14:paraId="6D56EC3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84" w:type="dxa"/>
                  <w:vMerge w:val="continue"/>
                  <w:vAlign w:val="center"/>
                </w:tcPr>
                <w:p w14:paraId="449615C2">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b/>
                      <w:bCs/>
                      <w:color w:val="auto"/>
                      <w:szCs w:val="21"/>
                    </w:rPr>
                  </w:pPr>
                </w:p>
              </w:tc>
              <w:tc>
                <w:tcPr>
                  <w:tcW w:w="1007" w:type="dxa"/>
                  <w:vMerge w:val="continue"/>
                  <w:vAlign w:val="center"/>
                </w:tcPr>
                <w:p w14:paraId="2E08BC24">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b/>
                      <w:bCs/>
                      <w:color w:val="auto"/>
                      <w:szCs w:val="21"/>
                    </w:rPr>
                  </w:pPr>
                </w:p>
              </w:tc>
              <w:tc>
                <w:tcPr>
                  <w:tcW w:w="3895" w:type="pct"/>
                  <w:gridSpan w:val="9"/>
                  <w:vAlign w:val="center"/>
                </w:tcPr>
                <w:p w14:paraId="41365725">
                  <w:pPr>
                    <w:keepNext w:val="0"/>
                    <w:keepLines w:val="0"/>
                    <w:pageBreakBefore w:val="0"/>
                    <w:kinsoku/>
                    <w:wordWrap/>
                    <w:overflowPunct/>
                    <w:topLinePunct w:val="0"/>
                    <w:autoSpaceDE/>
                    <w:autoSpaceDN/>
                    <w:bidi w:val="0"/>
                    <w:adjustRightInd w:val="0"/>
                    <w:snapToGrid w:val="0"/>
                    <w:ind w:firstLine="0" w:firstLineChars="0"/>
                    <w:jc w:val="center"/>
                    <w:textAlignment w:val="auto"/>
                    <w:rPr>
                      <w:b/>
                      <w:bCs/>
                      <w:color w:val="auto"/>
                      <w:szCs w:val="21"/>
                    </w:rPr>
                  </w:pPr>
                  <w:r>
                    <w:rPr>
                      <w:b/>
                      <w:bCs/>
                      <w:color w:val="auto"/>
                      <w:szCs w:val="21"/>
                    </w:rPr>
                    <w:t>工业企业大气污染源构成类别</w:t>
                  </w:r>
                </w:p>
              </w:tc>
            </w:tr>
            <w:tr w14:paraId="3135699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84" w:type="dxa"/>
                  <w:vMerge w:val="continue"/>
                  <w:vAlign w:val="center"/>
                </w:tcPr>
                <w:p w14:paraId="406AE589">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b/>
                      <w:bCs/>
                      <w:color w:val="auto"/>
                      <w:szCs w:val="21"/>
                    </w:rPr>
                  </w:pPr>
                </w:p>
              </w:tc>
              <w:tc>
                <w:tcPr>
                  <w:tcW w:w="1007" w:type="dxa"/>
                  <w:vMerge w:val="continue"/>
                  <w:vAlign w:val="center"/>
                </w:tcPr>
                <w:p w14:paraId="1E0D4DA7">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b/>
                      <w:bCs/>
                      <w:color w:val="auto"/>
                      <w:szCs w:val="21"/>
                    </w:rPr>
                  </w:pPr>
                </w:p>
              </w:tc>
              <w:tc>
                <w:tcPr>
                  <w:tcW w:w="434" w:type="pct"/>
                  <w:vAlign w:val="center"/>
                </w:tcPr>
                <w:p w14:paraId="4FBC3129">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ascii="宋体" w:hAnsi="宋体" w:cs="宋体"/>
                      <w:color w:val="auto"/>
                      <w:szCs w:val="21"/>
                    </w:rPr>
                    <w:t>Ⅰ</w:t>
                  </w:r>
                </w:p>
              </w:tc>
              <w:tc>
                <w:tcPr>
                  <w:tcW w:w="436" w:type="pct"/>
                  <w:vAlign w:val="center"/>
                </w:tcPr>
                <w:p w14:paraId="56D7C3E2">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ascii="宋体" w:hAnsi="宋体" w:cs="宋体"/>
                      <w:color w:val="auto"/>
                      <w:szCs w:val="21"/>
                    </w:rPr>
                    <w:t>Ⅱ</w:t>
                  </w:r>
                </w:p>
              </w:tc>
              <w:tc>
                <w:tcPr>
                  <w:tcW w:w="434" w:type="pct"/>
                  <w:vAlign w:val="center"/>
                </w:tcPr>
                <w:p w14:paraId="2ED2C4CE">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ascii="宋体" w:hAnsi="宋体" w:cs="宋体"/>
                      <w:color w:val="auto"/>
                      <w:szCs w:val="21"/>
                    </w:rPr>
                    <w:t>Ⅲ</w:t>
                  </w:r>
                </w:p>
              </w:tc>
              <w:tc>
                <w:tcPr>
                  <w:tcW w:w="434" w:type="pct"/>
                  <w:vAlign w:val="center"/>
                </w:tcPr>
                <w:p w14:paraId="62EC397E">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ascii="宋体" w:hAnsi="宋体" w:cs="宋体"/>
                      <w:color w:val="auto"/>
                      <w:szCs w:val="21"/>
                    </w:rPr>
                    <w:t>Ⅰ</w:t>
                  </w:r>
                </w:p>
              </w:tc>
              <w:tc>
                <w:tcPr>
                  <w:tcW w:w="434" w:type="pct"/>
                  <w:vAlign w:val="center"/>
                </w:tcPr>
                <w:p w14:paraId="1B4582E5">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ascii="宋体" w:hAnsi="宋体" w:cs="宋体"/>
                      <w:color w:val="auto"/>
                      <w:szCs w:val="21"/>
                    </w:rPr>
                    <w:t>Ⅱ</w:t>
                  </w:r>
                </w:p>
              </w:tc>
              <w:tc>
                <w:tcPr>
                  <w:tcW w:w="435" w:type="pct"/>
                  <w:vAlign w:val="center"/>
                </w:tcPr>
                <w:p w14:paraId="7B7CDCC3">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ascii="宋体" w:hAnsi="宋体" w:cs="宋体"/>
                      <w:color w:val="auto"/>
                      <w:szCs w:val="21"/>
                    </w:rPr>
                    <w:t>Ⅲ</w:t>
                  </w:r>
                </w:p>
              </w:tc>
              <w:tc>
                <w:tcPr>
                  <w:tcW w:w="434" w:type="pct"/>
                  <w:vAlign w:val="center"/>
                </w:tcPr>
                <w:p w14:paraId="7802A36D">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ascii="宋体" w:hAnsi="宋体" w:cs="宋体"/>
                      <w:color w:val="auto"/>
                      <w:szCs w:val="21"/>
                    </w:rPr>
                    <w:t>Ⅰ</w:t>
                  </w:r>
                </w:p>
              </w:tc>
              <w:tc>
                <w:tcPr>
                  <w:tcW w:w="434" w:type="pct"/>
                  <w:vAlign w:val="center"/>
                </w:tcPr>
                <w:p w14:paraId="3B6C6986">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ascii="宋体" w:hAnsi="宋体" w:cs="宋体"/>
                      <w:color w:val="auto"/>
                      <w:szCs w:val="21"/>
                    </w:rPr>
                    <w:t>Ⅱ</w:t>
                  </w:r>
                </w:p>
              </w:tc>
              <w:tc>
                <w:tcPr>
                  <w:tcW w:w="420" w:type="pct"/>
                  <w:vAlign w:val="center"/>
                </w:tcPr>
                <w:p w14:paraId="73790A29">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ascii="宋体" w:hAnsi="宋体" w:cs="宋体"/>
                      <w:color w:val="auto"/>
                      <w:szCs w:val="21"/>
                    </w:rPr>
                    <w:t>Ⅲ</w:t>
                  </w:r>
                </w:p>
              </w:tc>
            </w:tr>
            <w:tr w14:paraId="07F86E9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546" w:type="pct"/>
                  <w:vMerge w:val="restart"/>
                  <w:vAlign w:val="center"/>
                </w:tcPr>
                <w:p w14:paraId="04B5C976">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A</w:t>
                  </w:r>
                </w:p>
              </w:tc>
              <w:tc>
                <w:tcPr>
                  <w:tcW w:w="559" w:type="pct"/>
                  <w:vAlign w:val="center"/>
                </w:tcPr>
                <w:p w14:paraId="302D6DD3">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&lt;2</w:t>
                  </w:r>
                </w:p>
              </w:tc>
              <w:tc>
                <w:tcPr>
                  <w:tcW w:w="434" w:type="pct"/>
                  <w:vAlign w:val="center"/>
                </w:tcPr>
                <w:p w14:paraId="1CAA9D55">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400</w:t>
                  </w:r>
                </w:p>
              </w:tc>
              <w:tc>
                <w:tcPr>
                  <w:tcW w:w="436" w:type="pct"/>
                  <w:vAlign w:val="center"/>
                </w:tcPr>
                <w:p w14:paraId="2D3E3713">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400</w:t>
                  </w:r>
                </w:p>
              </w:tc>
              <w:tc>
                <w:tcPr>
                  <w:tcW w:w="434" w:type="pct"/>
                  <w:vAlign w:val="center"/>
                </w:tcPr>
                <w:p w14:paraId="56B1C105">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400</w:t>
                  </w:r>
                </w:p>
              </w:tc>
              <w:tc>
                <w:tcPr>
                  <w:tcW w:w="434" w:type="pct"/>
                  <w:vAlign w:val="center"/>
                </w:tcPr>
                <w:p w14:paraId="3ADE2A65">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400</w:t>
                  </w:r>
                </w:p>
              </w:tc>
              <w:tc>
                <w:tcPr>
                  <w:tcW w:w="434" w:type="pct"/>
                  <w:vAlign w:val="center"/>
                </w:tcPr>
                <w:p w14:paraId="773BD7AD">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400</w:t>
                  </w:r>
                </w:p>
              </w:tc>
              <w:tc>
                <w:tcPr>
                  <w:tcW w:w="435" w:type="pct"/>
                  <w:vAlign w:val="center"/>
                </w:tcPr>
                <w:p w14:paraId="3E3D18A0">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400</w:t>
                  </w:r>
                </w:p>
              </w:tc>
              <w:tc>
                <w:tcPr>
                  <w:tcW w:w="434" w:type="pct"/>
                  <w:vAlign w:val="center"/>
                </w:tcPr>
                <w:p w14:paraId="621543D2">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80</w:t>
                  </w:r>
                </w:p>
              </w:tc>
              <w:tc>
                <w:tcPr>
                  <w:tcW w:w="434" w:type="pct"/>
                  <w:vAlign w:val="center"/>
                </w:tcPr>
                <w:p w14:paraId="333C2E8A">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80</w:t>
                  </w:r>
                </w:p>
              </w:tc>
              <w:tc>
                <w:tcPr>
                  <w:tcW w:w="420" w:type="pct"/>
                  <w:vAlign w:val="center"/>
                </w:tcPr>
                <w:p w14:paraId="2A06A725">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80</w:t>
                  </w:r>
                </w:p>
              </w:tc>
            </w:tr>
            <w:tr w14:paraId="7F4BADB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84" w:type="dxa"/>
                  <w:vMerge w:val="continue"/>
                  <w:shd w:val="clear" w:color="auto" w:fill="auto"/>
                  <w:vAlign w:val="center"/>
                </w:tcPr>
                <w:p w14:paraId="7121C7E6">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color w:val="auto"/>
                      <w:szCs w:val="21"/>
                    </w:rPr>
                  </w:pPr>
                </w:p>
              </w:tc>
              <w:tc>
                <w:tcPr>
                  <w:tcW w:w="559" w:type="pct"/>
                  <w:shd w:val="clear" w:color="auto" w:fill="auto"/>
                  <w:vAlign w:val="center"/>
                </w:tcPr>
                <w:p w14:paraId="0C8BE23D">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2~4</w:t>
                  </w:r>
                </w:p>
              </w:tc>
              <w:tc>
                <w:tcPr>
                  <w:tcW w:w="434" w:type="pct"/>
                  <w:shd w:val="clear" w:color="auto" w:fill="auto"/>
                  <w:vAlign w:val="center"/>
                </w:tcPr>
                <w:p w14:paraId="0E91097D">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700</w:t>
                  </w:r>
                </w:p>
              </w:tc>
              <w:tc>
                <w:tcPr>
                  <w:tcW w:w="436" w:type="pct"/>
                  <w:shd w:val="clear" w:color="auto" w:fill="D8D8D8"/>
                  <w:vAlign w:val="center"/>
                </w:tcPr>
                <w:p w14:paraId="38B9EA67">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470</w:t>
                  </w:r>
                </w:p>
              </w:tc>
              <w:tc>
                <w:tcPr>
                  <w:tcW w:w="434" w:type="pct"/>
                  <w:vAlign w:val="center"/>
                </w:tcPr>
                <w:p w14:paraId="20765BC0">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350</w:t>
                  </w:r>
                </w:p>
              </w:tc>
              <w:tc>
                <w:tcPr>
                  <w:tcW w:w="434" w:type="pct"/>
                  <w:vAlign w:val="center"/>
                </w:tcPr>
                <w:p w14:paraId="23C2AF16">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700</w:t>
                  </w:r>
                </w:p>
              </w:tc>
              <w:tc>
                <w:tcPr>
                  <w:tcW w:w="434" w:type="pct"/>
                  <w:vAlign w:val="center"/>
                </w:tcPr>
                <w:p w14:paraId="53A22068">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470</w:t>
                  </w:r>
                </w:p>
              </w:tc>
              <w:tc>
                <w:tcPr>
                  <w:tcW w:w="435" w:type="pct"/>
                  <w:vAlign w:val="center"/>
                </w:tcPr>
                <w:p w14:paraId="2A2A3DD9">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350</w:t>
                  </w:r>
                </w:p>
              </w:tc>
              <w:tc>
                <w:tcPr>
                  <w:tcW w:w="434" w:type="pct"/>
                  <w:vAlign w:val="center"/>
                </w:tcPr>
                <w:p w14:paraId="3F5E01AA">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380</w:t>
                  </w:r>
                </w:p>
              </w:tc>
              <w:tc>
                <w:tcPr>
                  <w:tcW w:w="434" w:type="pct"/>
                  <w:vAlign w:val="center"/>
                </w:tcPr>
                <w:p w14:paraId="478072BC">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250</w:t>
                  </w:r>
                </w:p>
              </w:tc>
              <w:tc>
                <w:tcPr>
                  <w:tcW w:w="420" w:type="pct"/>
                  <w:vAlign w:val="center"/>
                </w:tcPr>
                <w:p w14:paraId="27A4C6AC">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190</w:t>
                  </w:r>
                </w:p>
              </w:tc>
            </w:tr>
            <w:tr w14:paraId="548049E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84" w:type="dxa"/>
                  <w:vMerge w:val="continue"/>
                  <w:vAlign w:val="center"/>
                </w:tcPr>
                <w:p w14:paraId="18ED4D8B">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color w:val="auto"/>
                      <w:szCs w:val="21"/>
                    </w:rPr>
                  </w:pPr>
                </w:p>
              </w:tc>
              <w:tc>
                <w:tcPr>
                  <w:tcW w:w="559" w:type="pct"/>
                  <w:vAlign w:val="center"/>
                </w:tcPr>
                <w:p w14:paraId="4650BE76">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&gt;4</w:t>
                  </w:r>
                </w:p>
              </w:tc>
              <w:tc>
                <w:tcPr>
                  <w:tcW w:w="434" w:type="pct"/>
                  <w:vAlign w:val="center"/>
                </w:tcPr>
                <w:p w14:paraId="34491130">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530</w:t>
                  </w:r>
                </w:p>
              </w:tc>
              <w:tc>
                <w:tcPr>
                  <w:tcW w:w="436" w:type="pct"/>
                  <w:vAlign w:val="center"/>
                </w:tcPr>
                <w:p w14:paraId="2C21F31E">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350</w:t>
                  </w:r>
                </w:p>
              </w:tc>
              <w:tc>
                <w:tcPr>
                  <w:tcW w:w="434" w:type="pct"/>
                  <w:vAlign w:val="center"/>
                </w:tcPr>
                <w:p w14:paraId="4F87E441">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260</w:t>
                  </w:r>
                </w:p>
              </w:tc>
              <w:tc>
                <w:tcPr>
                  <w:tcW w:w="434" w:type="pct"/>
                  <w:vAlign w:val="center"/>
                </w:tcPr>
                <w:p w14:paraId="4195CA23">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530</w:t>
                  </w:r>
                </w:p>
              </w:tc>
              <w:tc>
                <w:tcPr>
                  <w:tcW w:w="434" w:type="pct"/>
                  <w:vAlign w:val="center"/>
                </w:tcPr>
                <w:p w14:paraId="3DACFC42">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350</w:t>
                  </w:r>
                </w:p>
              </w:tc>
              <w:tc>
                <w:tcPr>
                  <w:tcW w:w="435" w:type="pct"/>
                  <w:vAlign w:val="center"/>
                </w:tcPr>
                <w:p w14:paraId="6A96F836">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260</w:t>
                  </w:r>
                </w:p>
              </w:tc>
              <w:tc>
                <w:tcPr>
                  <w:tcW w:w="434" w:type="pct"/>
                  <w:vAlign w:val="center"/>
                </w:tcPr>
                <w:p w14:paraId="40359956">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290</w:t>
                  </w:r>
                </w:p>
              </w:tc>
              <w:tc>
                <w:tcPr>
                  <w:tcW w:w="434" w:type="pct"/>
                  <w:vAlign w:val="center"/>
                </w:tcPr>
                <w:p w14:paraId="3F2AE00C">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190</w:t>
                  </w:r>
                </w:p>
              </w:tc>
              <w:tc>
                <w:tcPr>
                  <w:tcW w:w="420" w:type="pct"/>
                  <w:vAlign w:val="center"/>
                </w:tcPr>
                <w:p w14:paraId="44634907">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110</w:t>
                  </w:r>
                </w:p>
              </w:tc>
            </w:tr>
            <w:tr w14:paraId="18FE329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546" w:type="pct"/>
                  <w:vMerge w:val="restart"/>
                  <w:vAlign w:val="center"/>
                </w:tcPr>
                <w:p w14:paraId="1D1E101B">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B</w:t>
                  </w:r>
                </w:p>
              </w:tc>
              <w:tc>
                <w:tcPr>
                  <w:tcW w:w="559" w:type="pct"/>
                  <w:vAlign w:val="center"/>
                </w:tcPr>
                <w:p w14:paraId="11FBC32F">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&lt;2</w:t>
                  </w:r>
                </w:p>
              </w:tc>
              <w:tc>
                <w:tcPr>
                  <w:tcW w:w="1304" w:type="pct"/>
                  <w:gridSpan w:val="3"/>
                  <w:vAlign w:val="center"/>
                </w:tcPr>
                <w:p w14:paraId="3BEA4160">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0.01</w:t>
                  </w:r>
                </w:p>
              </w:tc>
              <w:tc>
                <w:tcPr>
                  <w:tcW w:w="1303" w:type="pct"/>
                  <w:gridSpan w:val="3"/>
                  <w:vAlign w:val="center"/>
                </w:tcPr>
                <w:p w14:paraId="674E89B8">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0.015</w:t>
                  </w:r>
                </w:p>
              </w:tc>
              <w:tc>
                <w:tcPr>
                  <w:tcW w:w="1288" w:type="pct"/>
                  <w:gridSpan w:val="3"/>
                  <w:vAlign w:val="center"/>
                </w:tcPr>
                <w:p w14:paraId="3E556A18">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0.015</w:t>
                  </w:r>
                </w:p>
              </w:tc>
            </w:tr>
            <w:tr w14:paraId="66D8D3C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84" w:type="dxa"/>
                  <w:vMerge w:val="continue"/>
                  <w:shd w:val="clear" w:color="auto" w:fill="auto"/>
                  <w:vAlign w:val="center"/>
                </w:tcPr>
                <w:p w14:paraId="514E986A">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color w:val="auto"/>
                      <w:szCs w:val="21"/>
                    </w:rPr>
                  </w:pPr>
                </w:p>
              </w:tc>
              <w:tc>
                <w:tcPr>
                  <w:tcW w:w="559" w:type="pct"/>
                  <w:shd w:val="clear" w:color="auto" w:fill="auto"/>
                  <w:vAlign w:val="center"/>
                </w:tcPr>
                <w:p w14:paraId="3F0D6FA4">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&gt;2</w:t>
                  </w:r>
                </w:p>
              </w:tc>
              <w:tc>
                <w:tcPr>
                  <w:tcW w:w="1304" w:type="pct"/>
                  <w:gridSpan w:val="3"/>
                  <w:shd w:val="clear" w:color="auto" w:fill="D8D8D8"/>
                  <w:vAlign w:val="center"/>
                </w:tcPr>
                <w:p w14:paraId="6272C4F2">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0.021</w:t>
                  </w:r>
                </w:p>
              </w:tc>
              <w:tc>
                <w:tcPr>
                  <w:tcW w:w="1303" w:type="pct"/>
                  <w:gridSpan w:val="3"/>
                  <w:vAlign w:val="center"/>
                </w:tcPr>
                <w:p w14:paraId="30A80566">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0.036</w:t>
                  </w:r>
                </w:p>
              </w:tc>
              <w:tc>
                <w:tcPr>
                  <w:tcW w:w="1288" w:type="pct"/>
                  <w:gridSpan w:val="3"/>
                  <w:vAlign w:val="center"/>
                </w:tcPr>
                <w:p w14:paraId="03DD1A49">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0.036</w:t>
                  </w:r>
                </w:p>
              </w:tc>
            </w:tr>
            <w:tr w14:paraId="656F47B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546" w:type="pct"/>
                  <w:vMerge w:val="restart"/>
                  <w:vAlign w:val="center"/>
                </w:tcPr>
                <w:p w14:paraId="3312CF90">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C</w:t>
                  </w:r>
                </w:p>
              </w:tc>
              <w:tc>
                <w:tcPr>
                  <w:tcW w:w="559" w:type="pct"/>
                  <w:vAlign w:val="center"/>
                </w:tcPr>
                <w:p w14:paraId="069524B6">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&lt;2</w:t>
                  </w:r>
                </w:p>
              </w:tc>
              <w:tc>
                <w:tcPr>
                  <w:tcW w:w="1304" w:type="pct"/>
                  <w:gridSpan w:val="3"/>
                  <w:vAlign w:val="center"/>
                </w:tcPr>
                <w:p w14:paraId="47472670">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1.85</w:t>
                  </w:r>
                </w:p>
              </w:tc>
              <w:tc>
                <w:tcPr>
                  <w:tcW w:w="1303" w:type="pct"/>
                  <w:gridSpan w:val="3"/>
                  <w:vAlign w:val="center"/>
                </w:tcPr>
                <w:p w14:paraId="3D444D8D">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1.79</w:t>
                  </w:r>
                </w:p>
              </w:tc>
              <w:tc>
                <w:tcPr>
                  <w:tcW w:w="1288" w:type="pct"/>
                  <w:gridSpan w:val="3"/>
                  <w:vAlign w:val="center"/>
                </w:tcPr>
                <w:p w14:paraId="0C404D04">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1.79</w:t>
                  </w:r>
                </w:p>
              </w:tc>
            </w:tr>
            <w:tr w14:paraId="72172CC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84" w:type="dxa"/>
                  <w:vMerge w:val="continue"/>
                  <w:shd w:val="clear" w:color="auto" w:fill="auto"/>
                  <w:vAlign w:val="center"/>
                </w:tcPr>
                <w:p w14:paraId="1C48BA0D">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color w:val="auto"/>
                      <w:szCs w:val="21"/>
                    </w:rPr>
                  </w:pPr>
                </w:p>
              </w:tc>
              <w:tc>
                <w:tcPr>
                  <w:tcW w:w="559" w:type="pct"/>
                  <w:shd w:val="clear" w:color="auto" w:fill="auto"/>
                  <w:vAlign w:val="center"/>
                </w:tcPr>
                <w:p w14:paraId="0C41CCE4">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&gt;2</w:t>
                  </w:r>
                </w:p>
              </w:tc>
              <w:tc>
                <w:tcPr>
                  <w:tcW w:w="1304" w:type="pct"/>
                  <w:gridSpan w:val="3"/>
                  <w:shd w:val="clear" w:color="auto" w:fill="D8D8D8"/>
                  <w:vAlign w:val="center"/>
                </w:tcPr>
                <w:p w14:paraId="6C5A0A24">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1.85</w:t>
                  </w:r>
                </w:p>
              </w:tc>
              <w:tc>
                <w:tcPr>
                  <w:tcW w:w="1303" w:type="pct"/>
                  <w:gridSpan w:val="3"/>
                  <w:vAlign w:val="center"/>
                </w:tcPr>
                <w:p w14:paraId="03B8A0FC">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1.77</w:t>
                  </w:r>
                </w:p>
              </w:tc>
              <w:tc>
                <w:tcPr>
                  <w:tcW w:w="1288" w:type="pct"/>
                  <w:gridSpan w:val="3"/>
                  <w:vAlign w:val="center"/>
                </w:tcPr>
                <w:p w14:paraId="07B0CF9A">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1.77</w:t>
                  </w:r>
                </w:p>
              </w:tc>
            </w:tr>
            <w:tr w14:paraId="0E55ECE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546" w:type="pct"/>
                  <w:vMerge w:val="restart"/>
                  <w:vAlign w:val="center"/>
                </w:tcPr>
                <w:p w14:paraId="1947C63D">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D</w:t>
                  </w:r>
                </w:p>
              </w:tc>
              <w:tc>
                <w:tcPr>
                  <w:tcW w:w="559" w:type="pct"/>
                  <w:vAlign w:val="center"/>
                </w:tcPr>
                <w:p w14:paraId="30B2F754">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&lt;2</w:t>
                  </w:r>
                </w:p>
              </w:tc>
              <w:tc>
                <w:tcPr>
                  <w:tcW w:w="1304" w:type="pct"/>
                  <w:gridSpan w:val="3"/>
                  <w:vAlign w:val="center"/>
                </w:tcPr>
                <w:p w14:paraId="5676FF9D">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0.78</w:t>
                  </w:r>
                </w:p>
              </w:tc>
              <w:tc>
                <w:tcPr>
                  <w:tcW w:w="1303" w:type="pct"/>
                  <w:gridSpan w:val="3"/>
                  <w:vAlign w:val="center"/>
                </w:tcPr>
                <w:p w14:paraId="5DF07813">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0.78</w:t>
                  </w:r>
                </w:p>
              </w:tc>
              <w:tc>
                <w:tcPr>
                  <w:tcW w:w="1288" w:type="pct"/>
                  <w:gridSpan w:val="3"/>
                  <w:vAlign w:val="center"/>
                </w:tcPr>
                <w:p w14:paraId="284FDE24">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0.57</w:t>
                  </w:r>
                </w:p>
              </w:tc>
            </w:tr>
            <w:tr w14:paraId="4261D17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84" w:type="dxa"/>
                  <w:vMerge w:val="continue"/>
                  <w:shd w:val="clear" w:color="auto" w:fill="auto"/>
                  <w:vAlign w:val="center"/>
                </w:tcPr>
                <w:p w14:paraId="0A7118B9">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color w:val="auto"/>
                      <w:szCs w:val="21"/>
                    </w:rPr>
                  </w:pPr>
                </w:p>
              </w:tc>
              <w:tc>
                <w:tcPr>
                  <w:tcW w:w="559" w:type="pct"/>
                  <w:shd w:val="clear" w:color="auto" w:fill="auto"/>
                  <w:vAlign w:val="center"/>
                </w:tcPr>
                <w:p w14:paraId="14CFF286">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&gt;2</w:t>
                  </w:r>
                </w:p>
              </w:tc>
              <w:tc>
                <w:tcPr>
                  <w:tcW w:w="1304" w:type="pct"/>
                  <w:gridSpan w:val="3"/>
                  <w:shd w:val="clear" w:color="auto" w:fill="D8D8D8"/>
                  <w:vAlign w:val="center"/>
                </w:tcPr>
                <w:p w14:paraId="7AE5035D">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0.84</w:t>
                  </w:r>
                </w:p>
              </w:tc>
              <w:tc>
                <w:tcPr>
                  <w:tcW w:w="1303" w:type="pct"/>
                  <w:gridSpan w:val="3"/>
                  <w:vAlign w:val="center"/>
                </w:tcPr>
                <w:p w14:paraId="13533435">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0.84</w:t>
                  </w:r>
                </w:p>
              </w:tc>
              <w:tc>
                <w:tcPr>
                  <w:tcW w:w="1288" w:type="pct"/>
                  <w:gridSpan w:val="3"/>
                  <w:vAlign w:val="center"/>
                </w:tcPr>
                <w:p w14:paraId="443D1715">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rPr>
                    <w:t>0.76</w:t>
                  </w:r>
                </w:p>
              </w:tc>
            </w:tr>
            <w:tr w14:paraId="47925A2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5000" w:type="pct"/>
                  <w:gridSpan w:val="11"/>
                  <w:vAlign w:val="center"/>
                </w:tcPr>
                <w:p w14:paraId="33DE0BF2">
                  <w:pPr>
                    <w:keepNext w:val="0"/>
                    <w:keepLines w:val="0"/>
                    <w:pageBreakBefore w:val="0"/>
                    <w:kinsoku/>
                    <w:wordWrap/>
                    <w:overflowPunct/>
                    <w:topLinePunct w:val="0"/>
                    <w:autoSpaceDE/>
                    <w:autoSpaceDN/>
                    <w:bidi w:val="0"/>
                    <w:adjustRightInd w:val="0"/>
                    <w:snapToGrid w:val="0"/>
                    <w:ind w:firstLine="0" w:firstLineChars="0"/>
                    <w:jc w:val="left"/>
                    <w:textAlignment w:val="auto"/>
                    <w:rPr>
                      <w:color w:val="auto"/>
                      <w:szCs w:val="21"/>
                    </w:rPr>
                  </w:pPr>
                  <w:r>
                    <w:rPr>
                      <w:color w:val="auto"/>
                      <w:szCs w:val="21"/>
                    </w:rPr>
                    <w:t>注：Ⅰ类：与无组织排放源共存的排放同种有害气体的排气筒的排放量，大于或等于标准规定的允许排放量的1/3者。</w:t>
                  </w:r>
                </w:p>
                <w:p w14:paraId="574A3E6E">
                  <w:pPr>
                    <w:keepNext w:val="0"/>
                    <w:keepLines w:val="0"/>
                    <w:pageBreakBefore w:val="0"/>
                    <w:kinsoku/>
                    <w:wordWrap/>
                    <w:overflowPunct/>
                    <w:topLinePunct w:val="0"/>
                    <w:autoSpaceDE/>
                    <w:autoSpaceDN/>
                    <w:bidi w:val="0"/>
                    <w:adjustRightInd w:val="0"/>
                    <w:snapToGrid w:val="0"/>
                    <w:ind w:firstLine="0" w:firstLineChars="0"/>
                    <w:jc w:val="left"/>
                    <w:textAlignment w:val="auto"/>
                    <w:rPr>
                      <w:color w:val="auto"/>
                      <w:szCs w:val="21"/>
                    </w:rPr>
                  </w:pPr>
                  <w:r>
                    <w:rPr>
                      <w:rFonts w:hint="eastAsia" w:ascii="宋体" w:hAnsi="宋体" w:cs="宋体"/>
                      <w:color w:val="auto"/>
                      <w:szCs w:val="21"/>
                    </w:rPr>
                    <w:t>Ⅱ</w:t>
                  </w:r>
                  <w:r>
                    <w:rPr>
                      <w:color w:val="auto"/>
                      <w:szCs w:val="21"/>
                    </w:rPr>
                    <w:t>类：与无组织排放源共存的排放同种有害气体的排气筒的排放量，小于标准规定的允许排放量的1/3，或虽无排放同种大气污染物之排气筒共存，但无组织排放的有害物质的容许浓度指标是按急性反应指标确定者。</w:t>
                  </w:r>
                </w:p>
                <w:p w14:paraId="225085AC">
                  <w:pPr>
                    <w:keepNext w:val="0"/>
                    <w:keepLines w:val="0"/>
                    <w:pageBreakBefore w:val="0"/>
                    <w:kinsoku/>
                    <w:wordWrap/>
                    <w:overflowPunct/>
                    <w:topLinePunct w:val="0"/>
                    <w:autoSpaceDE/>
                    <w:autoSpaceDN/>
                    <w:bidi w:val="0"/>
                    <w:adjustRightInd w:val="0"/>
                    <w:snapToGrid w:val="0"/>
                    <w:ind w:firstLine="0" w:firstLineChars="0"/>
                    <w:jc w:val="left"/>
                    <w:textAlignment w:val="auto"/>
                    <w:rPr>
                      <w:color w:val="auto"/>
                      <w:szCs w:val="21"/>
                    </w:rPr>
                  </w:pPr>
                  <w:r>
                    <w:rPr>
                      <w:rFonts w:hint="eastAsia" w:ascii="宋体" w:hAnsi="宋体" w:cs="宋体"/>
                      <w:color w:val="auto"/>
                      <w:szCs w:val="21"/>
                    </w:rPr>
                    <w:t>Ⅲ</w:t>
                  </w:r>
                  <w:r>
                    <w:rPr>
                      <w:color w:val="auto"/>
                      <w:szCs w:val="21"/>
                    </w:rPr>
                    <w:t>类：无排放同种有害物质的排气筒与无组织排放源共存，但无组织排放的有害物质的容许排放是按慢性反应指标确定者。</w:t>
                  </w:r>
                </w:p>
              </w:tc>
            </w:tr>
          </w:tbl>
          <w:p w14:paraId="0A58A127">
            <w:pPr>
              <w:adjustRightInd w:val="0"/>
              <w:snapToGrid w:val="0"/>
              <w:spacing w:before="120" w:beforeLines="50" w:line="360" w:lineRule="auto"/>
              <w:ind w:firstLine="480" w:firstLineChars="200"/>
              <w:rPr>
                <w:color w:val="auto"/>
                <w:sz w:val="24"/>
              </w:rPr>
            </w:pPr>
            <w:r>
              <w:rPr>
                <w:color w:val="auto"/>
                <w:sz w:val="24"/>
              </w:rPr>
              <w:t>本项目卫生防护距离计算结果见下表。</w:t>
            </w:r>
          </w:p>
          <w:p w14:paraId="4C8E4650">
            <w:pPr>
              <w:adjustRightInd w:val="0"/>
              <w:snapToGrid w:val="0"/>
              <w:ind w:firstLine="482"/>
              <w:jc w:val="center"/>
              <w:rPr>
                <w:b/>
                <w:bCs/>
                <w:color w:val="auto"/>
                <w:sz w:val="24"/>
              </w:rPr>
            </w:pPr>
            <w:r>
              <w:rPr>
                <w:b/>
                <w:bCs/>
                <w:color w:val="auto"/>
                <w:sz w:val="24"/>
              </w:rPr>
              <w:t>表4-</w:t>
            </w:r>
            <w:r>
              <w:rPr>
                <w:rFonts w:hint="eastAsia"/>
                <w:b/>
                <w:bCs/>
                <w:color w:val="auto"/>
                <w:sz w:val="24"/>
              </w:rPr>
              <w:t>1</w:t>
            </w:r>
            <w:r>
              <w:rPr>
                <w:rFonts w:hint="eastAsia"/>
                <w:b/>
                <w:bCs/>
                <w:color w:val="auto"/>
                <w:sz w:val="24"/>
                <w:lang w:val="en-US" w:eastAsia="zh-CN"/>
              </w:rPr>
              <w:t>1</w:t>
            </w:r>
            <w:r>
              <w:rPr>
                <w:b/>
                <w:bCs/>
                <w:color w:val="auto"/>
                <w:sz w:val="24"/>
              </w:rPr>
              <w:t>本项目卫生防护距离计算结果</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1251"/>
              <w:gridCol w:w="916"/>
              <w:gridCol w:w="980"/>
              <w:gridCol w:w="1078"/>
              <w:gridCol w:w="1254"/>
              <w:gridCol w:w="1022"/>
              <w:gridCol w:w="941"/>
              <w:gridCol w:w="1017"/>
            </w:tblGrid>
            <w:tr w14:paraId="0D419A1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1280" w:type="pct"/>
                  <w:gridSpan w:val="2"/>
                  <w:vMerge w:val="restart"/>
                  <w:vAlign w:val="center"/>
                </w:tcPr>
                <w:p w14:paraId="55B0C0BB">
                  <w:pPr>
                    <w:keepNext w:val="0"/>
                    <w:keepLines w:val="0"/>
                    <w:pageBreakBefore w:val="0"/>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污染物</w:t>
                  </w:r>
                </w:p>
              </w:tc>
              <w:tc>
                <w:tcPr>
                  <w:tcW w:w="579" w:type="pct"/>
                  <w:vMerge w:val="restart"/>
                  <w:vAlign w:val="center"/>
                </w:tcPr>
                <w:p w14:paraId="0245D525">
                  <w:pPr>
                    <w:keepNext w:val="0"/>
                    <w:keepLines w:val="0"/>
                    <w:pageBreakBefore w:val="0"/>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源强Q</w:t>
                  </w:r>
                  <w:r>
                    <w:rPr>
                      <w:b/>
                      <w:bCs/>
                      <w:color w:val="auto"/>
                      <w:szCs w:val="21"/>
                      <w:vertAlign w:val="subscript"/>
                    </w:rPr>
                    <w:t>c</w:t>
                  </w:r>
                  <w:r>
                    <w:rPr>
                      <w:b/>
                      <w:bCs/>
                      <w:color w:val="auto"/>
                      <w:szCs w:val="21"/>
                    </w:rPr>
                    <w:t>（kg/h）</w:t>
                  </w:r>
                </w:p>
              </w:tc>
              <w:tc>
                <w:tcPr>
                  <w:tcW w:w="637" w:type="pct"/>
                  <w:vMerge w:val="restart"/>
                  <w:vAlign w:val="center"/>
                </w:tcPr>
                <w:p w14:paraId="6EF2F3EB">
                  <w:pPr>
                    <w:keepNext w:val="0"/>
                    <w:keepLines w:val="0"/>
                    <w:pageBreakBefore w:val="0"/>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排放源面积（m</w:t>
                  </w:r>
                  <w:r>
                    <w:rPr>
                      <w:b/>
                      <w:bCs/>
                      <w:color w:val="auto"/>
                      <w:szCs w:val="21"/>
                      <w:vertAlign w:val="superscript"/>
                    </w:rPr>
                    <w:t>2</w:t>
                  </w:r>
                  <w:r>
                    <w:rPr>
                      <w:b/>
                      <w:bCs/>
                      <w:color w:val="auto"/>
                      <w:szCs w:val="21"/>
                    </w:rPr>
                    <w:t>）</w:t>
                  </w:r>
                </w:p>
              </w:tc>
              <w:tc>
                <w:tcPr>
                  <w:tcW w:w="741" w:type="pct"/>
                  <w:vMerge w:val="restart"/>
                  <w:vAlign w:val="center"/>
                </w:tcPr>
                <w:p w14:paraId="33E8A255">
                  <w:pPr>
                    <w:keepNext w:val="0"/>
                    <w:keepLines w:val="0"/>
                    <w:pageBreakBefore w:val="0"/>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标准限值C</w:t>
                  </w:r>
                  <w:r>
                    <w:rPr>
                      <w:b/>
                      <w:bCs/>
                      <w:color w:val="auto"/>
                      <w:szCs w:val="21"/>
                      <w:vertAlign w:val="subscript"/>
                    </w:rPr>
                    <w:t>m</w:t>
                  </w:r>
                </w:p>
                <w:p w14:paraId="37AB5899">
                  <w:pPr>
                    <w:keepNext w:val="0"/>
                    <w:keepLines w:val="0"/>
                    <w:pageBreakBefore w:val="0"/>
                    <w:kinsoku/>
                    <w:wordWrap/>
                    <w:overflowPunct/>
                    <w:topLinePunct w:val="0"/>
                    <w:autoSpaceDE/>
                    <w:autoSpaceDN/>
                    <w:bidi w:val="0"/>
                    <w:adjustRightInd w:val="0"/>
                    <w:snapToGrid w:val="0"/>
                    <w:ind w:firstLine="0"/>
                    <w:jc w:val="center"/>
                    <w:textAlignment w:val="auto"/>
                    <w:rPr>
                      <w:b/>
                      <w:bCs/>
                      <w:color w:val="auto"/>
                      <w:szCs w:val="21"/>
                    </w:rPr>
                  </w:pPr>
                  <w:r>
                    <w:rPr>
                      <w:rFonts w:hint="eastAsia"/>
                      <w:b/>
                      <w:bCs/>
                      <w:color w:val="auto"/>
                      <w:szCs w:val="21"/>
                      <w:lang w:eastAsia="zh-CN"/>
                    </w:rPr>
                    <w:t>(</w:t>
                  </w:r>
                  <w:r>
                    <w:rPr>
                      <w:b/>
                      <w:bCs/>
                      <w:color w:val="auto"/>
                      <w:szCs w:val="21"/>
                    </w:rPr>
                    <w:t>mg/Nm</w:t>
                  </w:r>
                  <w:r>
                    <w:rPr>
                      <w:b/>
                      <w:bCs/>
                      <w:color w:val="auto"/>
                      <w:szCs w:val="21"/>
                      <w:vertAlign w:val="superscript"/>
                    </w:rPr>
                    <w:t>3</w:t>
                  </w:r>
                  <w:r>
                    <w:rPr>
                      <w:rFonts w:hint="eastAsia"/>
                      <w:b/>
                      <w:bCs/>
                      <w:color w:val="auto"/>
                      <w:szCs w:val="21"/>
                      <w:vertAlign w:val="baseline"/>
                      <w:lang w:eastAsia="zh-CN"/>
                    </w:rPr>
                    <w:t>)</w:t>
                  </w:r>
                </w:p>
              </w:tc>
              <w:tc>
                <w:tcPr>
                  <w:tcW w:w="1160" w:type="pct"/>
                  <w:gridSpan w:val="2"/>
                  <w:vAlign w:val="center"/>
                </w:tcPr>
                <w:p w14:paraId="4D1B4BAD">
                  <w:pPr>
                    <w:keepNext w:val="0"/>
                    <w:keepLines w:val="0"/>
                    <w:pageBreakBefore w:val="0"/>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卫生防护距离L（m）</w:t>
                  </w:r>
                </w:p>
              </w:tc>
              <w:tc>
                <w:tcPr>
                  <w:tcW w:w="601" w:type="pct"/>
                  <w:vMerge w:val="restart"/>
                  <w:vAlign w:val="center"/>
                </w:tcPr>
                <w:p w14:paraId="5A808925">
                  <w:pPr>
                    <w:keepNext w:val="0"/>
                    <w:keepLines w:val="0"/>
                    <w:pageBreakBefore w:val="0"/>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最终取值L（m）</w:t>
                  </w:r>
                </w:p>
              </w:tc>
            </w:tr>
            <w:tr w14:paraId="40FC281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280" w:type="pct"/>
                  <w:gridSpan w:val="2"/>
                  <w:vMerge w:val="continue"/>
                  <w:vAlign w:val="center"/>
                </w:tcPr>
                <w:p w14:paraId="19406B50">
                  <w:pPr>
                    <w:keepNext w:val="0"/>
                    <w:keepLines w:val="0"/>
                    <w:pageBreakBefore w:val="0"/>
                    <w:widowControl/>
                    <w:kinsoku/>
                    <w:wordWrap/>
                    <w:overflowPunct/>
                    <w:topLinePunct w:val="0"/>
                    <w:autoSpaceDE/>
                    <w:autoSpaceDN/>
                    <w:bidi w:val="0"/>
                    <w:adjustRightInd w:val="0"/>
                    <w:snapToGrid w:val="0"/>
                    <w:ind w:firstLine="0"/>
                    <w:jc w:val="center"/>
                    <w:textAlignment w:val="auto"/>
                    <w:rPr>
                      <w:b/>
                      <w:bCs/>
                      <w:color w:val="auto"/>
                      <w:szCs w:val="21"/>
                    </w:rPr>
                  </w:pPr>
                </w:p>
              </w:tc>
              <w:tc>
                <w:tcPr>
                  <w:tcW w:w="579" w:type="pct"/>
                  <w:vMerge w:val="continue"/>
                  <w:vAlign w:val="center"/>
                </w:tcPr>
                <w:p w14:paraId="346876C1">
                  <w:pPr>
                    <w:keepNext w:val="0"/>
                    <w:keepLines w:val="0"/>
                    <w:pageBreakBefore w:val="0"/>
                    <w:widowControl/>
                    <w:kinsoku/>
                    <w:wordWrap/>
                    <w:overflowPunct/>
                    <w:topLinePunct w:val="0"/>
                    <w:autoSpaceDE/>
                    <w:autoSpaceDN/>
                    <w:bidi w:val="0"/>
                    <w:adjustRightInd w:val="0"/>
                    <w:snapToGrid w:val="0"/>
                    <w:ind w:firstLine="0"/>
                    <w:jc w:val="center"/>
                    <w:textAlignment w:val="auto"/>
                    <w:rPr>
                      <w:b/>
                      <w:bCs/>
                      <w:color w:val="auto"/>
                      <w:szCs w:val="21"/>
                    </w:rPr>
                  </w:pPr>
                </w:p>
              </w:tc>
              <w:tc>
                <w:tcPr>
                  <w:tcW w:w="637" w:type="pct"/>
                  <w:vMerge w:val="continue"/>
                  <w:vAlign w:val="center"/>
                </w:tcPr>
                <w:p w14:paraId="63BCF4A2">
                  <w:pPr>
                    <w:keepNext w:val="0"/>
                    <w:keepLines w:val="0"/>
                    <w:pageBreakBefore w:val="0"/>
                    <w:widowControl/>
                    <w:kinsoku/>
                    <w:wordWrap/>
                    <w:overflowPunct/>
                    <w:topLinePunct w:val="0"/>
                    <w:autoSpaceDE/>
                    <w:autoSpaceDN/>
                    <w:bidi w:val="0"/>
                    <w:adjustRightInd w:val="0"/>
                    <w:snapToGrid w:val="0"/>
                    <w:ind w:firstLine="0"/>
                    <w:jc w:val="center"/>
                    <w:textAlignment w:val="auto"/>
                    <w:rPr>
                      <w:b/>
                      <w:bCs/>
                      <w:color w:val="auto"/>
                      <w:szCs w:val="21"/>
                    </w:rPr>
                  </w:pPr>
                </w:p>
              </w:tc>
              <w:tc>
                <w:tcPr>
                  <w:tcW w:w="741" w:type="pct"/>
                  <w:vMerge w:val="continue"/>
                  <w:vAlign w:val="center"/>
                </w:tcPr>
                <w:p w14:paraId="437B0C33">
                  <w:pPr>
                    <w:keepNext w:val="0"/>
                    <w:keepLines w:val="0"/>
                    <w:pageBreakBefore w:val="0"/>
                    <w:widowControl/>
                    <w:kinsoku/>
                    <w:wordWrap/>
                    <w:overflowPunct/>
                    <w:topLinePunct w:val="0"/>
                    <w:autoSpaceDE/>
                    <w:autoSpaceDN/>
                    <w:bidi w:val="0"/>
                    <w:adjustRightInd w:val="0"/>
                    <w:snapToGrid w:val="0"/>
                    <w:ind w:firstLine="0"/>
                    <w:jc w:val="center"/>
                    <w:textAlignment w:val="auto"/>
                    <w:rPr>
                      <w:b/>
                      <w:bCs/>
                      <w:color w:val="auto"/>
                      <w:szCs w:val="21"/>
                    </w:rPr>
                  </w:pPr>
                </w:p>
              </w:tc>
              <w:tc>
                <w:tcPr>
                  <w:tcW w:w="604" w:type="pct"/>
                  <w:vAlign w:val="center"/>
                </w:tcPr>
                <w:p w14:paraId="26C4C5E6">
                  <w:pPr>
                    <w:keepNext w:val="0"/>
                    <w:keepLines w:val="0"/>
                    <w:pageBreakBefore w:val="0"/>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计算值</w:t>
                  </w:r>
                </w:p>
              </w:tc>
              <w:tc>
                <w:tcPr>
                  <w:tcW w:w="556" w:type="pct"/>
                  <w:vAlign w:val="center"/>
                </w:tcPr>
                <w:p w14:paraId="3CE4918C">
                  <w:pPr>
                    <w:keepNext w:val="0"/>
                    <w:keepLines w:val="0"/>
                    <w:pageBreakBefore w:val="0"/>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取值</w:t>
                  </w:r>
                </w:p>
              </w:tc>
              <w:tc>
                <w:tcPr>
                  <w:tcW w:w="601" w:type="pct"/>
                  <w:vMerge w:val="continue"/>
                  <w:vAlign w:val="center"/>
                </w:tcPr>
                <w:p w14:paraId="42CC1252">
                  <w:pPr>
                    <w:keepNext w:val="0"/>
                    <w:keepLines w:val="0"/>
                    <w:pageBreakBefore w:val="0"/>
                    <w:kinsoku/>
                    <w:wordWrap/>
                    <w:overflowPunct/>
                    <w:topLinePunct w:val="0"/>
                    <w:autoSpaceDE/>
                    <w:autoSpaceDN/>
                    <w:bidi w:val="0"/>
                    <w:adjustRightInd w:val="0"/>
                    <w:snapToGrid w:val="0"/>
                    <w:ind w:firstLine="0"/>
                    <w:jc w:val="center"/>
                    <w:textAlignment w:val="auto"/>
                    <w:rPr>
                      <w:b/>
                      <w:bCs/>
                      <w:color w:val="auto"/>
                      <w:szCs w:val="21"/>
                    </w:rPr>
                  </w:pPr>
                </w:p>
              </w:tc>
            </w:tr>
            <w:tr w14:paraId="0DD8B57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739" w:type="pct"/>
                  <w:vAlign w:val="center"/>
                </w:tcPr>
                <w:p w14:paraId="3B754A99">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lang w:val="en-US" w:eastAsia="zh-CN"/>
                    </w:rPr>
                    <w:t>2</w:t>
                  </w:r>
                  <w:r>
                    <w:rPr>
                      <w:rFonts w:hint="eastAsia"/>
                      <w:color w:val="auto"/>
                      <w:kern w:val="0"/>
                      <w:szCs w:val="21"/>
                    </w:rPr>
                    <w:t>#生产车间</w:t>
                  </w:r>
                </w:p>
              </w:tc>
              <w:tc>
                <w:tcPr>
                  <w:tcW w:w="541" w:type="pct"/>
                  <w:vAlign w:val="center"/>
                </w:tcPr>
                <w:p w14:paraId="21FCDEAF">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颗粒物</w:t>
                  </w:r>
                </w:p>
              </w:tc>
              <w:tc>
                <w:tcPr>
                  <w:tcW w:w="579" w:type="pct"/>
                  <w:vAlign w:val="center"/>
                </w:tcPr>
                <w:p w14:paraId="4D018F68">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auto"/>
                      <w:szCs w:val="21"/>
                      <w:lang w:val="en-US" w:eastAsia="zh-CN"/>
                    </w:rPr>
                  </w:pPr>
                  <w:r>
                    <w:rPr>
                      <w:rFonts w:hint="eastAsia"/>
                      <w:color w:val="auto"/>
                      <w:szCs w:val="21"/>
                    </w:rPr>
                    <w:t>0.05</w:t>
                  </w:r>
                  <w:r>
                    <w:rPr>
                      <w:rFonts w:hint="eastAsia"/>
                      <w:color w:val="auto"/>
                      <w:szCs w:val="21"/>
                      <w:lang w:val="en-US" w:eastAsia="zh-CN"/>
                    </w:rPr>
                    <w:t>31</w:t>
                  </w:r>
                </w:p>
              </w:tc>
              <w:tc>
                <w:tcPr>
                  <w:tcW w:w="637" w:type="pct"/>
                  <w:vAlign w:val="center"/>
                </w:tcPr>
                <w:p w14:paraId="4187DA32">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4839.54</w:t>
                  </w:r>
                </w:p>
              </w:tc>
              <w:tc>
                <w:tcPr>
                  <w:tcW w:w="741" w:type="pct"/>
                  <w:vAlign w:val="center"/>
                </w:tcPr>
                <w:p w14:paraId="770B894E">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0.9</w:t>
                  </w:r>
                </w:p>
              </w:tc>
              <w:tc>
                <w:tcPr>
                  <w:tcW w:w="604" w:type="pct"/>
                  <w:vAlign w:val="center"/>
                </w:tcPr>
                <w:p w14:paraId="282A98DD">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auto"/>
                      <w:szCs w:val="21"/>
                      <w:lang w:val="en-US" w:eastAsia="zh-CN"/>
                    </w:rPr>
                  </w:pPr>
                  <w:r>
                    <w:rPr>
                      <w:rFonts w:hint="eastAsia"/>
                      <w:color w:val="auto"/>
                      <w:szCs w:val="21"/>
                    </w:rPr>
                    <w:t>1.</w:t>
                  </w:r>
                  <w:r>
                    <w:rPr>
                      <w:rFonts w:hint="eastAsia"/>
                      <w:color w:val="auto"/>
                      <w:szCs w:val="21"/>
                      <w:lang w:val="en-US" w:eastAsia="zh-CN"/>
                    </w:rPr>
                    <w:t>509</w:t>
                  </w:r>
                </w:p>
              </w:tc>
              <w:tc>
                <w:tcPr>
                  <w:tcW w:w="556" w:type="pct"/>
                  <w:vAlign w:val="center"/>
                </w:tcPr>
                <w:p w14:paraId="27C21946">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50</w:t>
                  </w:r>
                </w:p>
              </w:tc>
              <w:tc>
                <w:tcPr>
                  <w:tcW w:w="601" w:type="pct"/>
                  <w:vAlign w:val="center"/>
                </w:tcPr>
                <w:p w14:paraId="1DF370F8">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50</w:t>
                  </w:r>
                </w:p>
              </w:tc>
            </w:tr>
          </w:tbl>
          <w:p w14:paraId="1446C788">
            <w:pPr>
              <w:adjustRightInd w:val="0"/>
              <w:snapToGrid w:val="0"/>
              <w:spacing w:before="120" w:beforeLines="50" w:line="360" w:lineRule="auto"/>
              <w:ind w:firstLine="480" w:firstLineChars="200"/>
              <w:rPr>
                <w:b/>
                <w:bCs/>
                <w:color w:val="auto"/>
                <w:sz w:val="24"/>
              </w:rPr>
            </w:pPr>
            <w:r>
              <w:rPr>
                <w:color w:val="auto"/>
                <w:sz w:val="24"/>
              </w:rPr>
              <w:t>根据卫生防护距离的计算结果，</w:t>
            </w:r>
            <w:r>
              <w:rPr>
                <w:rFonts w:hint="eastAsia"/>
                <w:color w:val="auto"/>
                <w:sz w:val="24"/>
                <w:lang w:eastAsia="zh-CN"/>
              </w:rPr>
              <w:t>结合企业平面布置，项目以厂界为起点设置</w:t>
            </w:r>
            <w:r>
              <w:rPr>
                <w:rFonts w:hint="eastAsia"/>
                <w:color w:val="auto"/>
                <w:sz w:val="24"/>
                <w:lang w:val="en-US" w:eastAsia="zh-CN"/>
              </w:rPr>
              <w:t>50</w:t>
            </w:r>
            <w:r>
              <w:rPr>
                <w:color w:val="auto"/>
                <w:sz w:val="24"/>
              </w:rPr>
              <w:t>m卫生防护距离</w:t>
            </w:r>
            <w:r>
              <w:rPr>
                <w:rFonts w:hint="eastAsia"/>
                <w:color w:val="auto"/>
                <w:sz w:val="24"/>
                <w:lang w:eastAsia="zh-CN"/>
              </w:rPr>
              <w:t>，</w:t>
            </w:r>
            <w:r>
              <w:rPr>
                <w:color w:val="auto"/>
                <w:sz w:val="24"/>
              </w:rPr>
              <w:t>项目卫生防护距离内目前无</w:t>
            </w:r>
            <w:r>
              <w:rPr>
                <w:rFonts w:hint="eastAsia"/>
                <w:color w:val="auto"/>
                <w:sz w:val="24"/>
                <w:lang w:eastAsia="zh-CN"/>
              </w:rPr>
              <w:t>环境</w:t>
            </w:r>
            <w:r>
              <w:rPr>
                <w:color w:val="auto"/>
                <w:sz w:val="24"/>
              </w:rPr>
              <w:t>敏感目标，今后亦不得新建居民、学校、医院、食品厂等环境敏感目标。</w:t>
            </w:r>
          </w:p>
          <w:p w14:paraId="4641ECB4">
            <w:pPr>
              <w:adjustRightInd w:val="0"/>
              <w:snapToGrid w:val="0"/>
              <w:spacing w:line="360" w:lineRule="auto"/>
              <w:ind w:firstLine="480" w:firstLineChars="200"/>
              <w:rPr>
                <w:color w:val="auto"/>
                <w:sz w:val="24"/>
              </w:rPr>
            </w:pPr>
            <w:r>
              <w:rPr>
                <w:rFonts w:hint="eastAsia"/>
                <w:color w:val="auto"/>
                <w:sz w:val="24"/>
              </w:rPr>
              <w:t>②环境影响分析</w:t>
            </w:r>
          </w:p>
          <w:p w14:paraId="72ACE677">
            <w:pPr>
              <w:adjustRightInd w:val="0"/>
              <w:snapToGrid w:val="0"/>
              <w:spacing w:line="360" w:lineRule="auto"/>
              <w:ind w:firstLine="480" w:firstLineChars="200"/>
              <w:rPr>
                <w:color w:val="auto"/>
                <w:kern w:val="0"/>
                <w:sz w:val="24"/>
              </w:rPr>
            </w:pPr>
            <w:r>
              <w:rPr>
                <w:rFonts w:hint="eastAsia"/>
                <w:bCs/>
                <w:color w:val="auto"/>
                <w:sz w:val="24"/>
              </w:rPr>
              <w:t>本项目配件下料工序产生的颗粒物经集气罩+布袋除尘器处理后，通过1根15m高1#排气筒排放；</w:t>
            </w:r>
            <w:r>
              <w:rPr>
                <w:rFonts w:hint="eastAsia"/>
                <w:color w:val="auto"/>
                <w:kern w:val="0"/>
                <w:sz w:val="24"/>
                <w:szCs w:val="20"/>
              </w:rPr>
              <w:t>浸漆</w:t>
            </w:r>
            <w:r>
              <w:rPr>
                <w:rFonts w:hint="eastAsia"/>
                <w:color w:val="auto"/>
                <w:kern w:val="0"/>
                <w:sz w:val="24"/>
                <w:szCs w:val="20"/>
                <w:lang w:eastAsia="zh-CN"/>
              </w:rPr>
              <w:t>工序产生的</w:t>
            </w:r>
            <w:r>
              <w:rPr>
                <w:rFonts w:hint="eastAsia"/>
                <w:color w:val="auto"/>
                <w:kern w:val="0"/>
                <w:sz w:val="24"/>
                <w:szCs w:val="20"/>
                <w:lang w:val="en-US" w:eastAsia="zh-CN"/>
              </w:rPr>
              <w:t>NMHC经密闭设备负压收集，与喷漆工序产生的颗粒物、NMHC，烘干、擦拭工序产生的NMHC经密闭车间负压收集汇合后，经</w:t>
            </w:r>
            <w:r>
              <w:rPr>
                <w:rFonts w:hint="eastAsia"/>
                <w:snapToGrid w:val="0"/>
                <w:color w:val="auto"/>
                <w:kern w:val="0"/>
                <w:sz w:val="24"/>
              </w:rPr>
              <w:t>干式过滤棉+二级活性炭吸附装置处理后，通过1根</w:t>
            </w:r>
            <w:r>
              <w:rPr>
                <w:rFonts w:hint="eastAsia"/>
                <w:color w:val="auto"/>
                <w:kern w:val="0"/>
                <w:sz w:val="24"/>
                <w:szCs w:val="20"/>
              </w:rPr>
              <w:t>15m高2#排气筒排放</w:t>
            </w:r>
            <w:r>
              <w:rPr>
                <w:rFonts w:hint="eastAsia"/>
                <w:bCs/>
                <w:color w:val="auto"/>
                <w:sz w:val="24"/>
              </w:rPr>
              <w:t>，NMHC、颗粒物能够稳定达标排放</w:t>
            </w:r>
            <w:r>
              <w:rPr>
                <w:rFonts w:hint="eastAsia"/>
                <w:color w:val="auto"/>
                <w:kern w:val="0"/>
                <w:sz w:val="24"/>
              </w:rPr>
              <w:t>，对周围的</w:t>
            </w:r>
            <w:r>
              <w:rPr>
                <w:rFonts w:hint="eastAsia"/>
                <w:color w:val="auto"/>
                <w:kern w:val="0"/>
                <w:sz w:val="24"/>
                <w:lang w:eastAsia="zh-CN"/>
              </w:rPr>
              <w:t>环境</w:t>
            </w:r>
            <w:r>
              <w:rPr>
                <w:rFonts w:hint="eastAsia"/>
                <w:color w:val="auto"/>
                <w:kern w:val="0"/>
                <w:sz w:val="24"/>
              </w:rPr>
              <w:t>影响较小。</w:t>
            </w:r>
          </w:p>
          <w:p w14:paraId="7FE2B1DE">
            <w:pPr>
              <w:adjustRightInd w:val="0"/>
              <w:snapToGrid w:val="0"/>
              <w:spacing w:line="360" w:lineRule="auto"/>
              <w:ind w:firstLine="482" w:firstLineChars="200"/>
              <w:rPr>
                <w:bCs/>
                <w:color w:val="auto"/>
                <w:sz w:val="24"/>
              </w:rPr>
            </w:pPr>
            <w:r>
              <w:rPr>
                <w:rFonts w:hint="eastAsia"/>
                <w:b/>
                <w:bCs/>
                <w:color w:val="auto"/>
                <w:sz w:val="24"/>
              </w:rPr>
              <w:t>1.6</w:t>
            </w:r>
            <w:r>
              <w:rPr>
                <w:b/>
                <w:bCs/>
                <w:color w:val="auto"/>
                <w:sz w:val="24"/>
              </w:rPr>
              <w:t>自行监测计划</w:t>
            </w:r>
          </w:p>
          <w:p w14:paraId="63FB4472">
            <w:pPr>
              <w:adjustRightInd w:val="0"/>
              <w:snapToGrid w:val="0"/>
              <w:spacing w:line="360" w:lineRule="auto"/>
              <w:ind w:firstLine="480" w:firstLineChars="200"/>
              <w:rPr>
                <w:color w:val="auto"/>
                <w:szCs w:val="21"/>
              </w:rPr>
            </w:pPr>
            <w:r>
              <w:rPr>
                <w:bCs/>
                <w:color w:val="auto"/>
                <w:sz w:val="24"/>
              </w:rPr>
              <w:t>根据《</w:t>
            </w:r>
            <w:r>
              <w:rPr>
                <w:rFonts w:hint="eastAsia"/>
                <w:bCs/>
                <w:color w:val="auto"/>
                <w:sz w:val="24"/>
              </w:rPr>
              <w:t>排污单位自行监测技术指南</w:t>
            </w:r>
            <w:r>
              <w:rPr>
                <w:bCs/>
                <w:color w:val="auto"/>
                <w:sz w:val="24"/>
              </w:rPr>
              <w:t xml:space="preserve"> </w:t>
            </w:r>
            <w:r>
              <w:rPr>
                <w:rFonts w:hint="eastAsia"/>
                <w:bCs/>
                <w:color w:val="auto"/>
                <w:sz w:val="24"/>
              </w:rPr>
              <w:t>总则</w:t>
            </w:r>
            <w:r>
              <w:rPr>
                <w:bCs/>
                <w:color w:val="auto"/>
                <w:sz w:val="24"/>
              </w:rPr>
              <w:t>》（HJ</w:t>
            </w:r>
            <w:r>
              <w:rPr>
                <w:rFonts w:hint="eastAsia"/>
                <w:bCs/>
                <w:color w:val="auto"/>
                <w:sz w:val="24"/>
              </w:rPr>
              <w:t>819-2017</w:t>
            </w:r>
            <w:r>
              <w:rPr>
                <w:bCs/>
                <w:color w:val="auto"/>
                <w:sz w:val="24"/>
              </w:rPr>
              <w:t>）</w:t>
            </w:r>
            <w:r>
              <w:rPr>
                <w:rFonts w:hint="eastAsia"/>
                <w:bCs/>
                <w:color w:val="auto"/>
                <w:sz w:val="24"/>
              </w:rPr>
              <w:t>、《排污单位自行监测技术指南 电子工业》（HJ1253-2002）</w:t>
            </w:r>
            <w:r>
              <w:rPr>
                <w:bCs/>
                <w:color w:val="auto"/>
                <w:sz w:val="24"/>
              </w:rPr>
              <w:t>要求对废气进行例行监测，监测的实施可以根据实际情况由厂方自测或委托有资质的环境监测单位监测：</w:t>
            </w:r>
          </w:p>
          <w:p w14:paraId="2137E4AD">
            <w:pPr>
              <w:adjustRightInd w:val="0"/>
              <w:snapToGrid w:val="0"/>
              <w:ind w:firstLine="482" w:firstLineChars="200"/>
              <w:jc w:val="center"/>
              <w:rPr>
                <w:b/>
                <w:color w:val="auto"/>
                <w:sz w:val="24"/>
              </w:rPr>
            </w:pPr>
            <w:r>
              <w:rPr>
                <w:b/>
                <w:color w:val="auto"/>
                <w:sz w:val="24"/>
              </w:rPr>
              <w:t>表4-</w:t>
            </w:r>
            <w:r>
              <w:rPr>
                <w:rFonts w:hint="eastAsia"/>
                <w:b/>
                <w:color w:val="auto"/>
                <w:sz w:val="24"/>
              </w:rPr>
              <w:t>1</w:t>
            </w:r>
            <w:r>
              <w:rPr>
                <w:rFonts w:hint="eastAsia"/>
                <w:b/>
                <w:color w:val="auto"/>
                <w:sz w:val="24"/>
                <w:lang w:val="en-US" w:eastAsia="zh-CN"/>
              </w:rPr>
              <w:t>2</w:t>
            </w:r>
            <w:r>
              <w:rPr>
                <w:b/>
                <w:color w:val="auto"/>
                <w:sz w:val="24"/>
              </w:rPr>
              <w:t>项目废气监测方案</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1" w:type="dxa"/>
                <w:bottom w:w="0" w:type="dxa"/>
                <w:right w:w="11" w:type="dxa"/>
              </w:tblCellMar>
            </w:tblPr>
            <w:tblGrid>
              <w:gridCol w:w="587"/>
              <w:gridCol w:w="2456"/>
              <w:gridCol w:w="929"/>
              <w:gridCol w:w="870"/>
              <w:gridCol w:w="3617"/>
            </w:tblGrid>
            <w:tr w14:paraId="28F429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1798" w:type="pct"/>
                  <w:gridSpan w:val="2"/>
                  <w:tcBorders>
                    <w:tl2br w:val="nil"/>
                    <w:tr2bl w:val="nil"/>
                  </w:tcBorders>
                  <w:vAlign w:val="center"/>
                </w:tcPr>
                <w:p w14:paraId="28AD80B7">
                  <w:pPr>
                    <w:keepNext w:val="0"/>
                    <w:keepLines w:val="0"/>
                    <w:pageBreakBefore w:val="0"/>
                    <w:widowControl/>
                    <w:kinsoku/>
                    <w:wordWrap/>
                    <w:overflowPunct/>
                    <w:topLinePunct w:val="0"/>
                    <w:autoSpaceDE/>
                    <w:autoSpaceDN/>
                    <w:bidi w:val="0"/>
                    <w:adjustRightInd w:val="0"/>
                    <w:snapToGrid w:val="0"/>
                    <w:ind w:firstLine="0"/>
                    <w:jc w:val="center"/>
                    <w:textAlignment w:val="auto"/>
                    <w:rPr>
                      <w:b/>
                      <w:bCs/>
                      <w:color w:val="auto"/>
                      <w:kern w:val="0"/>
                      <w:szCs w:val="21"/>
                    </w:rPr>
                  </w:pPr>
                  <w:r>
                    <w:rPr>
                      <w:b/>
                      <w:bCs/>
                      <w:color w:val="auto"/>
                      <w:kern w:val="0"/>
                      <w:szCs w:val="21"/>
                    </w:rPr>
                    <w:t>监测点位</w:t>
                  </w:r>
                </w:p>
              </w:tc>
              <w:tc>
                <w:tcPr>
                  <w:tcW w:w="549" w:type="pct"/>
                  <w:tcBorders>
                    <w:tl2br w:val="nil"/>
                    <w:tr2bl w:val="nil"/>
                  </w:tcBorders>
                  <w:vAlign w:val="center"/>
                </w:tcPr>
                <w:p w14:paraId="5C344A8A">
                  <w:pPr>
                    <w:keepNext w:val="0"/>
                    <w:keepLines w:val="0"/>
                    <w:pageBreakBefore w:val="0"/>
                    <w:widowControl/>
                    <w:kinsoku/>
                    <w:wordWrap/>
                    <w:overflowPunct/>
                    <w:topLinePunct w:val="0"/>
                    <w:autoSpaceDE/>
                    <w:autoSpaceDN/>
                    <w:bidi w:val="0"/>
                    <w:adjustRightInd w:val="0"/>
                    <w:snapToGrid w:val="0"/>
                    <w:ind w:firstLine="0"/>
                    <w:jc w:val="center"/>
                    <w:textAlignment w:val="auto"/>
                    <w:rPr>
                      <w:b/>
                      <w:bCs/>
                      <w:color w:val="auto"/>
                      <w:kern w:val="0"/>
                      <w:szCs w:val="21"/>
                    </w:rPr>
                  </w:pPr>
                  <w:r>
                    <w:rPr>
                      <w:b/>
                      <w:bCs/>
                      <w:color w:val="auto"/>
                      <w:kern w:val="0"/>
                      <w:szCs w:val="21"/>
                    </w:rPr>
                    <w:t>监测指标</w:t>
                  </w:r>
                </w:p>
              </w:tc>
              <w:tc>
                <w:tcPr>
                  <w:tcW w:w="514" w:type="pct"/>
                  <w:tcBorders>
                    <w:tl2br w:val="nil"/>
                    <w:tr2bl w:val="nil"/>
                  </w:tcBorders>
                  <w:vAlign w:val="center"/>
                </w:tcPr>
                <w:p w14:paraId="655E202B">
                  <w:pPr>
                    <w:keepNext w:val="0"/>
                    <w:keepLines w:val="0"/>
                    <w:pageBreakBefore w:val="0"/>
                    <w:widowControl/>
                    <w:kinsoku/>
                    <w:wordWrap/>
                    <w:overflowPunct/>
                    <w:topLinePunct w:val="0"/>
                    <w:autoSpaceDE/>
                    <w:autoSpaceDN/>
                    <w:bidi w:val="0"/>
                    <w:adjustRightInd w:val="0"/>
                    <w:snapToGrid w:val="0"/>
                    <w:ind w:firstLine="0"/>
                    <w:jc w:val="center"/>
                    <w:textAlignment w:val="auto"/>
                    <w:rPr>
                      <w:b/>
                      <w:bCs/>
                      <w:color w:val="auto"/>
                      <w:kern w:val="0"/>
                      <w:szCs w:val="21"/>
                    </w:rPr>
                  </w:pPr>
                  <w:r>
                    <w:rPr>
                      <w:b/>
                      <w:bCs/>
                      <w:color w:val="auto"/>
                      <w:kern w:val="0"/>
                      <w:szCs w:val="21"/>
                    </w:rPr>
                    <w:t>监测频次</w:t>
                  </w:r>
                </w:p>
              </w:tc>
              <w:tc>
                <w:tcPr>
                  <w:tcW w:w="2137" w:type="pct"/>
                  <w:tcBorders>
                    <w:tl2br w:val="nil"/>
                    <w:tr2bl w:val="nil"/>
                  </w:tcBorders>
                  <w:vAlign w:val="center"/>
                </w:tcPr>
                <w:p w14:paraId="103FA7CD">
                  <w:pPr>
                    <w:keepNext w:val="0"/>
                    <w:keepLines w:val="0"/>
                    <w:pageBreakBefore w:val="0"/>
                    <w:widowControl/>
                    <w:kinsoku/>
                    <w:wordWrap/>
                    <w:overflowPunct/>
                    <w:topLinePunct w:val="0"/>
                    <w:autoSpaceDE/>
                    <w:autoSpaceDN/>
                    <w:bidi w:val="0"/>
                    <w:adjustRightInd w:val="0"/>
                    <w:snapToGrid w:val="0"/>
                    <w:ind w:firstLine="0"/>
                    <w:jc w:val="center"/>
                    <w:textAlignment w:val="auto"/>
                    <w:rPr>
                      <w:b/>
                      <w:bCs/>
                      <w:color w:val="auto"/>
                      <w:kern w:val="0"/>
                      <w:szCs w:val="21"/>
                    </w:rPr>
                  </w:pPr>
                  <w:r>
                    <w:rPr>
                      <w:b/>
                      <w:bCs/>
                      <w:color w:val="auto"/>
                      <w:kern w:val="0"/>
                      <w:szCs w:val="21"/>
                    </w:rPr>
                    <w:t>执行排放标准</w:t>
                  </w:r>
                </w:p>
              </w:tc>
            </w:tr>
            <w:tr w14:paraId="6C7369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46" w:type="pct"/>
                  <w:vMerge w:val="restart"/>
                  <w:tcBorders>
                    <w:tl2br w:val="nil"/>
                    <w:tr2bl w:val="nil"/>
                  </w:tcBorders>
                  <w:vAlign w:val="center"/>
                </w:tcPr>
                <w:p w14:paraId="2E7B490F">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有组织</w:t>
                  </w:r>
                </w:p>
              </w:tc>
              <w:tc>
                <w:tcPr>
                  <w:tcW w:w="1451" w:type="pct"/>
                  <w:tcBorders>
                    <w:tl2br w:val="nil"/>
                    <w:tr2bl w:val="nil"/>
                  </w:tcBorders>
                  <w:vAlign w:val="center"/>
                </w:tcPr>
                <w:p w14:paraId="35524E41">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DA001废气处理装置出口</w:t>
                  </w:r>
                </w:p>
              </w:tc>
              <w:tc>
                <w:tcPr>
                  <w:tcW w:w="549" w:type="pct"/>
                  <w:tcBorders>
                    <w:tl2br w:val="nil"/>
                    <w:tr2bl w:val="nil"/>
                  </w:tcBorders>
                  <w:shd w:val="clear" w:color="auto" w:fill="auto"/>
                  <w:vAlign w:val="center"/>
                </w:tcPr>
                <w:p w14:paraId="6D6406AC">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颗粒物</w:t>
                  </w:r>
                </w:p>
              </w:tc>
              <w:tc>
                <w:tcPr>
                  <w:tcW w:w="514" w:type="pct"/>
                  <w:tcBorders>
                    <w:tl2br w:val="nil"/>
                    <w:tr2bl w:val="nil"/>
                  </w:tcBorders>
                  <w:shd w:val="clear" w:color="auto" w:fill="auto"/>
                  <w:vAlign w:val="center"/>
                </w:tcPr>
                <w:p w14:paraId="630D063D">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1次/年</w:t>
                  </w:r>
                </w:p>
              </w:tc>
              <w:tc>
                <w:tcPr>
                  <w:tcW w:w="2137" w:type="pct"/>
                  <w:tcBorders>
                    <w:tl2br w:val="nil"/>
                    <w:tr2bl w:val="nil"/>
                  </w:tcBorders>
                  <w:shd w:val="clear" w:color="auto" w:fill="auto"/>
                  <w:vAlign w:val="center"/>
                </w:tcPr>
                <w:p w14:paraId="66E67BF2">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szCs w:val="21"/>
                    </w:rPr>
                  </w:pPr>
                  <w:r>
                    <w:rPr>
                      <w:color w:val="auto"/>
                      <w:szCs w:val="21"/>
                    </w:rPr>
                    <w:t>《大气污染物综合排放标准》（DB</w:t>
                  </w:r>
                  <w:r>
                    <w:rPr>
                      <w:rFonts w:hint="eastAsia"/>
                      <w:color w:val="auto"/>
                      <w:szCs w:val="21"/>
                    </w:rPr>
                    <w:t>32</w:t>
                  </w:r>
                  <w:r>
                    <w:rPr>
                      <w:color w:val="auto"/>
                      <w:szCs w:val="21"/>
                    </w:rPr>
                    <w:t>/</w:t>
                  </w:r>
                  <w:r>
                    <w:rPr>
                      <w:rFonts w:hint="eastAsia"/>
                      <w:color w:val="auto"/>
                      <w:szCs w:val="21"/>
                    </w:rPr>
                    <w:t>4041-</w:t>
                  </w:r>
                  <w:r>
                    <w:rPr>
                      <w:color w:val="auto"/>
                      <w:szCs w:val="21"/>
                    </w:rPr>
                    <w:t>20</w:t>
                  </w:r>
                  <w:r>
                    <w:rPr>
                      <w:rFonts w:hint="eastAsia"/>
                      <w:color w:val="auto"/>
                      <w:szCs w:val="21"/>
                    </w:rPr>
                    <w:t>21</w:t>
                  </w:r>
                  <w:r>
                    <w:rPr>
                      <w:color w:val="auto"/>
                      <w:szCs w:val="21"/>
                    </w:rPr>
                    <w:t>）</w:t>
                  </w:r>
                  <w:r>
                    <w:rPr>
                      <w:rFonts w:hint="eastAsia"/>
                      <w:color w:val="auto"/>
                      <w:szCs w:val="21"/>
                    </w:rPr>
                    <w:t>表1</w:t>
                  </w:r>
                </w:p>
              </w:tc>
            </w:tr>
            <w:tr w14:paraId="11FF49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346" w:type="pct"/>
                  <w:vMerge w:val="continue"/>
                  <w:tcBorders>
                    <w:tl2br w:val="nil"/>
                    <w:tr2bl w:val="nil"/>
                  </w:tcBorders>
                  <w:vAlign w:val="center"/>
                </w:tcPr>
                <w:p w14:paraId="04365C1A">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p>
              </w:tc>
              <w:tc>
                <w:tcPr>
                  <w:tcW w:w="1451" w:type="pct"/>
                  <w:tcBorders>
                    <w:tl2br w:val="nil"/>
                    <w:tr2bl w:val="nil"/>
                  </w:tcBorders>
                  <w:vAlign w:val="center"/>
                </w:tcPr>
                <w:p w14:paraId="2FE19F23">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DA002废气处理装置出口</w:t>
                  </w:r>
                </w:p>
              </w:tc>
              <w:tc>
                <w:tcPr>
                  <w:tcW w:w="549" w:type="pct"/>
                  <w:tcBorders>
                    <w:tl2br w:val="nil"/>
                    <w:tr2bl w:val="nil"/>
                  </w:tcBorders>
                  <w:shd w:val="clear" w:color="auto" w:fill="auto"/>
                  <w:vAlign w:val="center"/>
                </w:tcPr>
                <w:p w14:paraId="715C8A5D">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NMHC、颗粒物</w:t>
                  </w:r>
                </w:p>
              </w:tc>
              <w:tc>
                <w:tcPr>
                  <w:tcW w:w="514" w:type="pct"/>
                  <w:tcBorders>
                    <w:tl2br w:val="nil"/>
                    <w:tr2bl w:val="nil"/>
                  </w:tcBorders>
                  <w:shd w:val="clear" w:color="auto" w:fill="auto"/>
                  <w:vAlign w:val="center"/>
                </w:tcPr>
                <w:p w14:paraId="3723CCF4">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1次/年</w:t>
                  </w:r>
                </w:p>
              </w:tc>
              <w:tc>
                <w:tcPr>
                  <w:tcW w:w="2137" w:type="pct"/>
                  <w:tcBorders>
                    <w:tl2br w:val="nil"/>
                    <w:tr2bl w:val="nil"/>
                  </w:tcBorders>
                  <w:shd w:val="clear" w:color="auto" w:fill="auto"/>
                  <w:vAlign w:val="center"/>
                </w:tcPr>
                <w:p w14:paraId="6B368A62">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r>
                    <w:rPr>
                      <w:rFonts w:hint="eastAsia"/>
                      <w:color w:val="auto"/>
                      <w:szCs w:val="21"/>
                    </w:rPr>
                    <w:t>工业涂装工序大气污染物</w:t>
                  </w:r>
                  <w:r>
                    <w:rPr>
                      <w:color w:val="auto"/>
                      <w:szCs w:val="21"/>
                    </w:rPr>
                    <w:t>排放标准》（</w:t>
                  </w:r>
                  <w:r>
                    <w:rPr>
                      <w:rFonts w:hint="eastAsia"/>
                      <w:color w:val="auto"/>
                      <w:szCs w:val="21"/>
                    </w:rPr>
                    <w:t>D</w:t>
                  </w:r>
                  <w:r>
                    <w:rPr>
                      <w:color w:val="auto"/>
                      <w:szCs w:val="21"/>
                    </w:rPr>
                    <w:t>B</w:t>
                  </w:r>
                  <w:r>
                    <w:rPr>
                      <w:rFonts w:hint="eastAsia"/>
                      <w:color w:val="auto"/>
                      <w:szCs w:val="21"/>
                    </w:rPr>
                    <w:t>32/4439-2022</w:t>
                  </w:r>
                  <w:r>
                    <w:rPr>
                      <w:color w:val="auto"/>
                      <w:szCs w:val="21"/>
                    </w:rPr>
                    <w:t>）</w:t>
                  </w:r>
                  <w:r>
                    <w:rPr>
                      <w:rFonts w:hint="eastAsia"/>
                      <w:color w:val="auto"/>
                      <w:szCs w:val="21"/>
                    </w:rPr>
                    <w:t>表1</w:t>
                  </w:r>
                </w:p>
              </w:tc>
            </w:tr>
            <w:tr w14:paraId="1127AF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346" w:type="pct"/>
                  <w:vMerge w:val="restart"/>
                  <w:tcBorders>
                    <w:tl2br w:val="nil"/>
                    <w:tr2bl w:val="nil"/>
                  </w:tcBorders>
                  <w:vAlign w:val="center"/>
                </w:tcPr>
                <w:p w14:paraId="5E78B1F7">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无组织</w:t>
                  </w:r>
                </w:p>
              </w:tc>
              <w:tc>
                <w:tcPr>
                  <w:tcW w:w="1451" w:type="pct"/>
                  <w:tcBorders>
                    <w:tl2br w:val="nil"/>
                    <w:tr2bl w:val="nil"/>
                  </w:tcBorders>
                  <w:vAlign w:val="center"/>
                </w:tcPr>
                <w:p w14:paraId="5C9292CA">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厂界四周设4个点，上风向1个，下风向3个</w:t>
                  </w:r>
                </w:p>
              </w:tc>
              <w:tc>
                <w:tcPr>
                  <w:tcW w:w="549" w:type="pct"/>
                  <w:tcBorders>
                    <w:tl2br w:val="nil"/>
                    <w:tr2bl w:val="nil"/>
                  </w:tcBorders>
                  <w:vAlign w:val="center"/>
                </w:tcPr>
                <w:p w14:paraId="1425DB8F">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颗粒物、</w:t>
                  </w:r>
                  <w:bookmarkStart w:id="28" w:name="OLE_LINK15"/>
                  <w:r>
                    <w:rPr>
                      <w:rFonts w:hint="eastAsia"/>
                      <w:color w:val="auto"/>
                      <w:szCs w:val="21"/>
                    </w:rPr>
                    <w:t>NMHC</w:t>
                  </w:r>
                  <w:bookmarkEnd w:id="28"/>
                </w:p>
              </w:tc>
              <w:tc>
                <w:tcPr>
                  <w:tcW w:w="514" w:type="pct"/>
                  <w:tcBorders>
                    <w:tl2br w:val="nil"/>
                    <w:tr2bl w:val="nil"/>
                  </w:tcBorders>
                  <w:vAlign w:val="center"/>
                </w:tcPr>
                <w:p w14:paraId="03E776FC">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bookmarkStart w:id="29" w:name="OLE_LINK21"/>
                  <w:r>
                    <w:rPr>
                      <w:color w:val="auto"/>
                      <w:kern w:val="0"/>
                      <w:szCs w:val="21"/>
                    </w:rPr>
                    <w:t>1次/年</w:t>
                  </w:r>
                  <w:bookmarkEnd w:id="29"/>
                </w:p>
              </w:tc>
              <w:tc>
                <w:tcPr>
                  <w:tcW w:w="2137" w:type="pct"/>
                  <w:tcBorders>
                    <w:tl2br w:val="nil"/>
                    <w:tr2bl w:val="nil"/>
                  </w:tcBorders>
                  <w:vAlign w:val="center"/>
                </w:tcPr>
                <w:p w14:paraId="2EC1E4AF">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szCs w:val="21"/>
                    </w:rPr>
                  </w:pPr>
                  <w:r>
                    <w:rPr>
                      <w:color w:val="auto"/>
                      <w:szCs w:val="21"/>
                    </w:rPr>
                    <w:t>《大气污染物综合排放标准》（DB</w:t>
                  </w:r>
                  <w:r>
                    <w:rPr>
                      <w:rFonts w:hint="eastAsia"/>
                      <w:color w:val="auto"/>
                      <w:szCs w:val="21"/>
                    </w:rPr>
                    <w:t>32</w:t>
                  </w:r>
                  <w:r>
                    <w:rPr>
                      <w:color w:val="auto"/>
                      <w:szCs w:val="21"/>
                    </w:rPr>
                    <w:t>/</w:t>
                  </w:r>
                  <w:r>
                    <w:rPr>
                      <w:rFonts w:hint="eastAsia"/>
                      <w:color w:val="auto"/>
                      <w:szCs w:val="21"/>
                    </w:rPr>
                    <w:t>4041-</w:t>
                  </w:r>
                  <w:r>
                    <w:rPr>
                      <w:color w:val="auto"/>
                      <w:szCs w:val="21"/>
                    </w:rPr>
                    <w:t>20</w:t>
                  </w:r>
                  <w:r>
                    <w:rPr>
                      <w:rFonts w:hint="eastAsia"/>
                      <w:color w:val="auto"/>
                      <w:szCs w:val="21"/>
                    </w:rPr>
                    <w:t>21</w:t>
                  </w:r>
                  <w:r>
                    <w:rPr>
                      <w:color w:val="auto"/>
                      <w:szCs w:val="21"/>
                    </w:rPr>
                    <w:t>）</w:t>
                  </w:r>
                  <w:r>
                    <w:rPr>
                      <w:rFonts w:hint="eastAsia"/>
                      <w:color w:val="auto"/>
                      <w:szCs w:val="21"/>
                    </w:rPr>
                    <w:t>表3</w:t>
                  </w:r>
                </w:p>
              </w:tc>
            </w:tr>
            <w:tr w14:paraId="20BE8C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346" w:type="pct"/>
                  <w:vMerge w:val="continue"/>
                  <w:tcBorders>
                    <w:tl2br w:val="nil"/>
                    <w:tr2bl w:val="nil"/>
                  </w:tcBorders>
                  <w:vAlign w:val="center"/>
                </w:tcPr>
                <w:p w14:paraId="51DB04CF">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p>
              </w:tc>
              <w:tc>
                <w:tcPr>
                  <w:tcW w:w="1451" w:type="pct"/>
                  <w:tcBorders>
                    <w:tl2br w:val="nil"/>
                    <w:tr2bl w:val="nil"/>
                  </w:tcBorders>
                  <w:vAlign w:val="center"/>
                </w:tcPr>
                <w:p w14:paraId="78B0B4B1">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厂区内</w:t>
                  </w:r>
                </w:p>
              </w:tc>
              <w:tc>
                <w:tcPr>
                  <w:tcW w:w="549" w:type="pct"/>
                  <w:tcBorders>
                    <w:tl2br w:val="nil"/>
                    <w:tr2bl w:val="nil"/>
                  </w:tcBorders>
                  <w:vAlign w:val="center"/>
                </w:tcPr>
                <w:p w14:paraId="4B2D7752">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NMHC</w:t>
                  </w:r>
                </w:p>
              </w:tc>
              <w:tc>
                <w:tcPr>
                  <w:tcW w:w="514" w:type="pct"/>
                  <w:tcBorders>
                    <w:tl2br w:val="nil"/>
                    <w:tr2bl w:val="nil"/>
                  </w:tcBorders>
                  <w:vAlign w:val="center"/>
                </w:tcPr>
                <w:p w14:paraId="2BE07F84">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1次/年</w:t>
                  </w:r>
                </w:p>
              </w:tc>
              <w:tc>
                <w:tcPr>
                  <w:tcW w:w="2137" w:type="pct"/>
                  <w:tcBorders>
                    <w:tl2br w:val="nil"/>
                    <w:tr2bl w:val="nil"/>
                  </w:tcBorders>
                  <w:vAlign w:val="center"/>
                </w:tcPr>
                <w:p w14:paraId="0D7AF21C">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r>
                    <w:rPr>
                      <w:rFonts w:hint="eastAsia"/>
                      <w:color w:val="auto"/>
                      <w:szCs w:val="21"/>
                    </w:rPr>
                    <w:t>工业涂装工序大气污染物</w:t>
                  </w:r>
                  <w:r>
                    <w:rPr>
                      <w:color w:val="auto"/>
                      <w:szCs w:val="21"/>
                    </w:rPr>
                    <w:t>排放标准》（</w:t>
                  </w:r>
                  <w:r>
                    <w:rPr>
                      <w:rFonts w:hint="eastAsia"/>
                      <w:color w:val="auto"/>
                      <w:szCs w:val="21"/>
                    </w:rPr>
                    <w:t>D</w:t>
                  </w:r>
                  <w:r>
                    <w:rPr>
                      <w:color w:val="auto"/>
                      <w:szCs w:val="21"/>
                    </w:rPr>
                    <w:t>B</w:t>
                  </w:r>
                  <w:r>
                    <w:rPr>
                      <w:rFonts w:hint="eastAsia"/>
                      <w:color w:val="auto"/>
                      <w:szCs w:val="21"/>
                    </w:rPr>
                    <w:t>32/4439-2022</w:t>
                  </w:r>
                  <w:r>
                    <w:rPr>
                      <w:color w:val="auto"/>
                      <w:szCs w:val="21"/>
                    </w:rPr>
                    <w:t>）</w:t>
                  </w:r>
                  <w:r>
                    <w:rPr>
                      <w:rFonts w:hint="eastAsia"/>
                      <w:color w:val="auto"/>
                      <w:szCs w:val="21"/>
                    </w:rPr>
                    <w:t>表3</w:t>
                  </w:r>
                </w:p>
              </w:tc>
            </w:tr>
          </w:tbl>
          <w:p w14:paraId="4C1561A3">
            <w:pPr>
              <w:adjustRightInd w:val="0"/>
              <w:snapToGrid w:val="0"/>
              <w:spacing w:before="120" w:beforeLines="50" w:line="360" w:lineRule="auto"/>
              <w:ind w:firstLine="241" w:firstLineChars="100"/>
              <w:rPr>
                <w:b/>
                <w:color w:val="auto"/>
                <w:sz w:val="24"/>
              </w:rPr>
            </w:pPr>
            <w:r>
              <w:rPr>
                <w:b/>
                <w:color w:val="auto"/>
                <w:sz w:val="24"/>
              </w:rPr>
              <w:t>2.水污染物产生分析</w:t>
            </w:r>
          </w:p>
          <w:p w14:paraId="188161AB">
            <w:pPr>
              <w:adjustRightInd w:val="0"/>
              <w:snapToGrid w:val="0"/>
              <w:spacing w:line="360" w:lineRule="auto"/>
              <w:ind w:firstLine="241" w:firstLineChars="100"/>
              <w:rPr>
                <w:b/>
                <w:color w:val="auto"/>
                <w:sz w:val="24"/>
              </w:rPr>
            </w:pPr>
            <w:r>
              <w:rPr>
                <w:b/>
                <w:color w:val="auto"/>
                <w:sz w:val="24"/>
              </w:rPr>
              <w:t>2.1废水污染源源强分析</w:t>
            </w:r>
          </w:p>
          <w:p w14:paraId="4719F4F8">
            <w:pPr>
              <w:adjustRightInd w:val="0"/>
              <w:snapToGrid w:val="0"/>
              <w:spacing w:line="360" w:lineRule="auto"/>
              <w:ind w:firstLine="480" w:firstLineChars="200"/>
              <w:rPr>
                <w:color w:val="auto"/>
                <w:spacing w:val="4"/>
                <w:sz w:val="24"/>
              </w:rPr>
            </w:pPr>
            <w:r>
              <w:rPr>
                <w:color w:val="auto"/>
                <w:sz w:val="24"/>
              </w:rPr>
              <w:t>本项目</w:t>
            </w:r>
            <w:r>
              <w:rPr>
                <w:rFonts w:hint="eastAsia"/>
                <w:color w:val="auto"/>
                <w:sz w:val="24"/>
              </w:rPr>
              <w:t>废水主要为职工产生的生活污水及食堂废水，无生产废水产生及排放</w:t>
            </w:r>
            <w:r>
              <w:rPr>
                <w:color w:val="auto"/>
                <w:sz w:val="24"/>
              </w:rPr>
              <w:t>。</w:t>
            </w:r>
          </w:p>
          <w:p w14:paraId="64148DD1">
            <w:pPr>
              <w:adjustRightInd w:val="0"/>
              <w:snapToGrid w:val="0"/>
              <w:spacing w:line="360" w:lineRule="auto"/>
              <w:ind w:firstLine="480" w:firstLineChars="200"/>
              <w:rPr>
                <w:color w:val="auto"/>
                <w:sz w:val="24"/>
                <w:szCs w:val="32"/>
              </w:rPr>
            </w:pPr>
            <w:r>
              <w:rPr>
                <w:rFonts w:hint="eastAsia"/>
                <w:color w:val="auto"/>
                <w:sz w:val="24"/>
                <w:szCs w:val="32"/>
              </w:rPr>
              <w:t>①生活污水</w:t>
            </w:r>
          </w:p>
          <w:p w14:paraId="591378FA">
            <w:pPr>
              <w:adjustRightInd w:val="0"/>
              <w:snapToGrid w:val="0"/>
              <w:spacing w:line="360" w:lineRule="auto"/>
              <w:ind w:firstLine="480" w:firstLineChars="200"/>
              <w:rPr>
                <w:color w:val="auto"/>
                <w:sz w:val="24"/>
              </w:rPr>
            </w:pPr>
            <w:r>
              <w:rPr>
                <w:rFonts w:hint="eastAsia"/>
                <w:color w:val="auto"/>
                <w:sz w:val="24"/>
                <w:szCs w:val="32"/>
                <w:lang w:eastAsia="zh-CN"/>
              </w:rPr>
              <w:t>根据水平衡分析章节可知，项目生活污水产生量为</w:t>
            </w:r>
            <w:r>
              <w:rPr>
                <w:rFonts w:hint="eastAsia"/>
                <w:color w:val="auto"/>
                <w:sz w:val="24"/>
                <w:szCs w:val="32"/>
                <w:lang w:val="en-US" w:eastAsia="zh-CN"/>
              </w:rPr>
              <w:t>1920t/a，</w:t>
            </w:r>
            <w:r>
              <w:rPr>
                <w:color w:val="auto"/>
                <w:sz w:val="24"/>
              </w:rPr>
              <w:t>污染物浓度为COD：350mg/L、SS：200mg/L、NH</w:t>
            </w:r>
            <w:r>
              <w:rPr>
                <w:color w:val="auto"/>
                <w:sz w:val="24"/>
                <w:vertAlign w:val="subscript"/>
              </w:rPr>
              <w:t>3</w:t>
            </w:r>
            <w:r>
              <w:rPr>
                <w:color w:val="auto"/>
                <w:sz w:val="24"/>
              </w:rPr>
              <w:t>-N：3</w:t>
            </w:r>
            <w:r>
              <w:rPr>
                <w:rFonts w:hint="eastAsia"/>
                <w:color w:val="auto"/>
                <w:sz w:val="24"/>
              </w:rPr>
              <w:t>0</w:t>
            </w:r>
            <w:r>
              <w:rPr>
                <w:color w:val="auto"/>
                <w:sz w:val="24"/>
              </w:rPr>
              <w:t>mg/L、TN：</w:t>
            </w:r>
            <w:r>
              <w:rPr>
                <w:rFonts w:hint="eastAsia"/>
                <w:color w:val="auto"/>
                <w:sz w:val="24"/>
                <w:lang w:val="en-US" w:eastAsia="zh-CN"/>
              </w:rPr>
              <w:t>35</w:t>
            </w:r>
            <w:r>
              <w:rPr>
                <w:color w:val="auto"/>
                <w:sz w:val="24"/>
              </w:rPr>
              <w:t>mg/L、TP：4mg/L。</w:t>
            </w:r>
          </w:p>
          <w:p w14:paraId="4E223991">
            <w:pPr>
              <w:adjustRightInd w:val="0"/>
              <w:snapToGrid w:val="0"/>
              <w:spacing w:line="360" w:lineRule="auto"/>
              <w:ind w:firstLine="480" w:firstLineChars="200"/>
              <w:rPr>
                <w:color w:val="auto"/>
                <w:sz w:val="24"/>
              </w:rPr>
            </w:pPr>
            <w:r>
              <w:rPr>
                <w:rFonts w:hint="eastAsia"/>
                <w:color w:val="auto"/>
                <w:sz w:val="24"/>
              </w:rPr>
              <w:t>②食堂废水</w:t>
            </w:r>
          </w:p>
          <w:p w14:paraId="4BA709A1">
            <w:pPr>
              <w:adjustRightInd w:val="0"/>
              <w:snapToGrid w:val="0"/>
              <w:spacing w:line="360" w:lineRule="auto"/>
              <w:ind w:firstLine="480" w:firstLineChars="200"/>
              <w:rPr>
                <w:color w:val="auto"/>
                <w:sz w:val="24"/>
              </w:rPr>
            </w:pPr>
            <w:r>
              <w:rPr>
                <w:rFonts w:hint="eastAsia"/>
                <w:color w:val="auto"/>
                <w:sz w:val="24"/>
                <w:szCs w:val="32"/>
                <w:lang w:eastAsia="zh-CN"/>
              </w:rPr>
              <w:t>根据水平衡分析章节可知，项目食堂废水产生量为</w:t>
            </w:r>
            <w:r>
              <w:rPr>
                <w:rFonts w:hint="eastAsia"/>
                <w:color w:val="auto"/>
                <w:sz w:val="24"/>
                <w:szCs w:val="32"/>
                <w:lang w:val="en-US" w:eastAsia="zh-CN"/>
              </w:rPr>
              <w:t>360t/a，</w:t>
            </w:r>
            <w:r>
              <w:rPr>
                <w:color w:val="auto"/>
                <w:sz w:val="24"/>
              </w:rPr>
              <w:t>污染物浓度为COD：350mg/L、SS：200mg/L、NH</w:t>
            </w:r>
            <w:r>
              <w:rPr>
                <w:color w:val="auto"/>
                <w:sz w:val="24"/>
                <w:vertAlign w:val="subscript"/>
              </w:rPr>
              <w:t>3</w:t>
            </w:r>
            <w:r>
              <w:rPr>
                <w:color w:val="auto"/>
                <w:sz w:val="24"/>
              </w:rPr>
              <w:t>-N：3</w:t>
            </w:r>
            <w:r>
              <w:rPr>
                <w:rFonts w:hint="eastAsia"/>
                <w:color w:val="auto"/>
                <w:sz w:val="24"/>
              </w:rPr>
              <w:t>0</w:t>
            </w:r>
            <w:r>
              <w:rPr>
                <w:color w:val="auto"/>
                <w:sz w:val="24"/>
              </w:rPr>
              <w:t>mg/L、TN：</w:t>
            </w:r>
            <w:r>
              <w:rPr>
                <w:rFonts w:hint="eastAsia"/>
                <w:color w:val="auto"/>
                <w:sz w:val="24"/>
                <w:lang w:val="en-US" w:eastAsia="zh-CN"/>
              </w:rPr>
              <w:t>35</w:t>
            </w:r>
            <w:r>
              <w:rPr>
                <w:color w:val="auto"/>
                <w:sz w:val="24"/>
              </w:rPr>
              <w:t>mg/L、TP：4mg/L</w:t>
            </w:r>
            <w:r>
              <w:rPr>
                <w:rFonts w:hint="eastAsia"/>
                <w:color w:val="auto"/>
                <w:sz w:val="24"/>
                <w:lang w:eastAsia="zh-CN"/>
              </w:rPr>
              <w:t>、动植物油</w:t>
            </w:r>
            <w:r>
              <w:rPr>
                <w:rFonts w:hint="eastAsia"/>
                <w:color w:val="auto"/>
                <w:sz w:val="24"/>
                <w:lang w:val="en-US" w:eastAsia="zh-CN"/>
              </w:rPr>
              <w:t>160mg/L</w:t>
            </w:r>
            <w:r>
              <w:rPr>
                <w:color w:val="auto"/>
                <w:sz w:val="24"/>
              </w:rPr>
              <w:t>。</w:t>
            </w:r>
          </w:p>
          <w:p w14:paraId="61C5972C">
            <w:pPr>
              <w:adjustRightInd w:val="0"/>
              <w:snapToGrid w:val="0"/>
              <w:spacing w:line="360" w:lineRule="auto"/>
              <w:ind w:firstLine="480" w:firstLineChars="200"/>
              <w:rPr>
                <w:color w:val="auto"/>
                <w:sz w:val="24"/>
              </w:rPr>
            </w:pPr>
            <w:r>
              <w:rPr>
                <w:color w:val="auto"/>
                <w:sz w:val="24"/>
              </w:rPr>
              <w:t>本项目废水污染源相关参数见表4-</w:t>
            </w:r>
            <w:r>
              <w:rPr>
                <w:rFonts w:hint="eastAsia"/>
                <w:color w:val="auto"/>
                <w:sz w:val="24"/>
              </w:rPr>
              <w:t>1</w:t>
            </w:r>
            <w:r>
              <w:rPr>
                <w:rFonts w:hint="eastAsia"/>
                <w:color w:val="auto"/>
                <w:sz w:val="24"/>
                <w:lang w:val="en-US" w:eastAsia="zh-CN"/>
              </w:rPr>
              <w:t>3</w:t>
            </w:r>
            <w:r>
              <w:rPr>
                <w:color w:val="auto"/>
                <w:sz w:val="24"/>
              </w:rPr>
              <w:t>，废水排放口相关参数见表4-</w:t>
            </w:r>
            <w:r>
              <w:rPr>
                <w:rFonts w:hint="eastAsia"/>
                <w:color w:val="auto"/>
                <w:sz w:val="24"/>
              </w:rPr>
              <w:t>1</w:t>
            </w:r>
            <w:r>
              <w:rPr>
                <w:rFonts w:hint="eastAsia"/>
                <w:color w:val="auto"/>
                <w:sz w:val="24"/>
                <w:lang w:val="en-US" w:eastAsia="zh-CN"/>
              </w:rPr>
              <w:t>4</w:t>
            </w:r>
            <w:r>
              <w:rPr>
                <w:color w:val="auto"/>
                <w:sz w:val="24"/>
              </w:rPr>
              <w:t>。</w:t>
            </w:r>
          </w:p>
          <w:p w14:paraId="50C5EA0F">
            <w:pPr>
              <w:adjustRightInd w:val="0"/>
              <w:snapToGrid w:val="0"/>
              <w:ind w:firstLine="482" w:firstLineChars="200"/>
              <w:jc w:val="center"/>
              <w:rPr>
                <w:b/>
                <w:color w:val="auto"/>
                <w:sz w:val="24"/>
              </w:rPr>
            </w:pPr>
            <w:r>
              <w:rPr>
                <w:b/>
                <w:color w:val="auto"/>
                <w:sz w:val="24"/>
              </w:rPr>
              <w:t>表4</w:t>
            </w:r>
            <w:r>
              <w:rPr>
                <w:rFonts w:hint="eastAsia"/>
                <w:b/>
                <w:color w:val="auto"/>
                <w:sz w:val="24"/>
              </w:rPr>
              <w:t>-1</w:t>
            </w:r>
            <w:r>
              <w:rPr>
                <w:rFonts w:hint="eastAsia"/>
                <w:b/>
                <w:color w:val="auto"/>
                <w:sz w:val="24"/>
                <w:lang w:val="en-US" w:eastAsia="zh-CN"/>
              </w:rPr>
              <w:t>3</w:t>
            </w:r>
            <w:r>
              <w:rPr>
                <w:b/>
                <w:color w:val="auto"/>
                <w:sz w:val="24"/>
              </w:rPr>
              <w:t>建设项目废水污染源源强核算结果及相关参数一览表</w:t>
            </w:r>
          </w:p>
          <w:tbl>
            <w:tblPr>
              <w:tblStyle w:val="88"/>
              <w:tblpPr w:leftFromText="180" w:rightFromText="180" w:vertAnchor="text" w:horzAnchor="page" w:tblpX="98" w:tblpY="290"/>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3"/>
              <w:gridCol w:w="862"/>
              <w:gridCol w:w="931"/>
              <w:gridCol w:w="975"/>
              <w:gridCol w:w="914"/>
              <w:gridCol w:w="496"/>
              <w:gridCol w:w="570"/>
              <w:gridCol w:w="990"/>
              <w:gridCol w:w="1095"/>
              <w:gridCol w:w="1293"/>
            </w:tblGrid>
            <w:tr w14:paraId="34AE30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6" w:type="pct"/>
                  <w:vMerge w:val="restart"/>
                  <w:tcBorders>
                    <w:tl2br w:val="nil"/>
                    <w:tr2bl w:val="nil"/>
                  </w:tcBorders>
                  <w:vAlign w:val="center"/>
                </w:tcPr>
                <w:p w14:paraId="3A5ADE2E">
                  <w:pPr>
                    <w:keepNext w:val="0"/>
                    <w:keepLines w:val="0"/>
                    <w:pageBreakBefore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污染源</w:t>
                  </w:r>
                </w:p>
              </w:tc>
              <w:tc>
                <w:tcPr>
                  <w:tcW w:w="509" w:type="pct"/>
                  <w:vMerge w:val="restart"/>
                  <w:tcBorders>
                    <w:tl2br w:val="nil"/>
                    <w:tr2bl w:val="nil"/>
                  </w:tcBorders>
                  <w:vAlign w:val="center"/>
                </w:tcPr>
                <w:p w14:paraId="03783919">
                  <w:pPr>
                    <w:keepNext w:val="0"/>
                    <w:keepLines w:val="0"/>
                    <w:pageBreakBefore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污染物</w:t>
                  </w:r>
                </w:p>
                <w:p w14:paraId="32CB62E8">
                  <w:pPr>
                    <w:keepNext w:val="0"/>
                    <w:keepLines w:val="0"/>
                    <w:pageBreakBefore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名称</w:t>
                  </w:r>
                </w:p>
              </w:tc>
              <w:tc>
                <w:tcPr>
                  <w:tcW w:w="1666" w:type="pct"/>
                  <w:gridSpan w:val="3"/>
                  <w:tcBorders>
                    <w:tl2br w:val="nil"/>
                    <w:tr2bl w:val="nil"/>
                  </w:tcBorders>
                  <w:vAlign w:val="center"/>
                </w:tcPr>
                <w:p w14:paraId="5A59425A">
                  <w:pPr>
                    <w:keepNext w:val="0"/>
                    <w:keepLines w:val="0"/>
                    <w:pageBreakBefore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污染物产生情况</w:t>
                  </w:r>
                </w:p>
              </w:tc>
              <w:tc>
                <w:tcPr>
                  <w:tcW w:w="630" w:type="pct"/>
                  <w:gridSpan w:val="2"/>
                  <w:tcBorders>
                    <w:tl2br w:val="nil"/>
                    <w:tr2bl w:val="nil"/>
                  </w:tcBorders>
                  <w:vAlign w:val="center"/>
                </w:tcPr>
                <w:p w14:paraId="1D687956">
                  <w:pPr>
                    <w:keepNext w:val="0"/>
                    <w:keepLines w:val="0"/>
                    <w:pageBreakBefore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污染防治措施</w:t>
                  </w:r>
                </w:p>
              </w:tc>
              <w:tc>
                <w:tcPr>
                  <w:tcW w:w="1996" w:type="pct"/>
                  <w:gridSpan w:val="3"/>
                  <w:tcBorders>
                    <w:tl2br w:val="nil"/>
                    <w:tr2bl w:val="nil"/>
                  </w:tcBorders>
                  <w:vAlign w:val="center"/>
                </w:tcPr>
                <w:p w14:paraId="49CB43E0">
                  <w:pPr>
                    <w:keepNext w:val="0"/>
                    <w:keepLines w:val="0"/>
                    <w:pageBreakBefore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污染物排放情况</w:t>
                  </w:r>
                </w:p>
              </w:tc>
            </w:tr>
            <w:tr w14:paraId="79F086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6" w:type="pct"/>
                  <w:vMerge w:val="continue"/>
                  <w:tcBorders>
                    <w:tl2br w:val="nil"/>
                    <w:tr2bl w:val="nil"/>
                  </w:tcBorders>
                  <w:vAlign w:val="center"/>
                </w:tcPr>
                <w:p w14:paraId="3D48235C">
                  <w:pPr>
                    <w:keepNext w:val="0"/>
                    <w:keepLines w:val="0"/>
                    <w:pageBreakBefore w:val="0"/>
                    <w:kinsoku/>
                    <w:wordWrap/>
                    <w:overflowPunct/>
                    <w:topLinePunct w:val="0"/>
                    <w:autoSpaceDE/>
                    <w:autoSpaceDN/>
                    <w:bidi w:val="0"/>
                    <w:adjustRightInd w:val="0"/>
                    <w:snapToGrid w:val="0"/>
                    <w:ind w:firstLine="0"/>
                    <w:jc w:val="center"/>
                    <w:textAlignment w:val="auto"/>
                    <w:rPr>
                      <w:b/>
                      <w:color w:val="auto"/>
                      <w:szCs w:val="21"/>
                    </w:rPr>
                  </w:pPr>
                </w:p>
              </w:tc>
              <w:tc>
                <w:tcPr>
                  <w:tcW w:w="509" w:type="pct"/>
                  <w:vMerge w:val="continue"/>
                  <w:tcBorders>
                    <w:tl2br w:val="nil"/>
                    <w:tr2bl w:val="nil"/>
                  </w:tcBorders>
                  <w:vAlign w:val="center"/>
                </w:tcPr>
                <w:p w14:paraId="5B2B0B26">
                  <w:pPr>
                    <w:keepNext w:val="0"/>
                    <w:keepLines w:val="0"/>
                    <w:pageBreakBefore w:val="0"/>
                    <w:kinsoku/>
                    <w:wordWrap/>
                    <w:overflowPunct/>
                    <w:topLinePunct w:val="0"/>
                    <w:autoSpaceDE/>
                    <w:autoSpaceDN/>
                    <w:bidi w:val="0"/>
                    <w:adjustRightInd w:val="0"/>
                    <w:snapToGrid w:val="0"/>
                    <w:ind w:firstLine="0"/>
                    <w:jc w:val="center"/>
                    <w:textAlignment w:val="auto"/>
                    <w:rPr>
                      <w:b/>
                      <w:color w:val="auto"/>
                      <w:szCs w:val="21"/>
                    </w:rPr>
                  </w:pPr>
                </w:p>
              </w:tc>
              <w:tc>
                <w:tcPr>
                  <w:tcW w:w="550" w:type="pct"/>
                  <w:tcBorders>
                    <w:tl2br w:val="nil"/>
                    <w:tr2bl w:val="nil"/>
                  </w:tcBorders>
                  <w:vAlign w:val="center"/>
                </w:tcPr>
                <w:p w14:paraId="4187169B">
                  <w:pPr>
                    <w:keepNext w:val="0"/>
                    <w:keepLines w:val="0"/>
                    <w:pageBreakBefore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产生废水量</w:t>
                  </w:r>
                </w:p>
                <w:p w14:paraId="08BCE395">
                  <w:pPr>
                    <w:keepNext w:val="0"/>
                    <w:keepLines w:val="0"/>
                    <w:pageBreakBefore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w:t>
                  </w:r>
                  <w:r>
                    <w:rPr>
                      <w:rFonts w:hint="eastAsia"/>
                      <w:b/>
                      <w:color w:val="auto"/>
                      <w:szCs w:val="21"/>
                    </w:rPr>
                    <w:t>（</w:t>
                  </w:r>
                  <w:r>
                    <w:rPr>
                      <w:b/>
                      <w:color w:val="auto"/>
                      <w:szCs w:val="21"/>
                    </w:rPr>
                    <w:t>m</w:t>
                  </w:r>
                  <w:r>
                    <w:rPr>
                      <w:b/>
                      <w:color w:val="auto"/>
                      <w:szCs w:val="21"/>
                      <w:vertAlign w:val="superscript"/>
                    </w:rPr>
                    <w:t>3</w:t>
                  </w:r>
                  <w:r>
                    <w:rPr>
                      <w:b/>
                      <w:color w:val="auto"/>
                      <w:szCs w:val="21"/>
                    </w:rPr>
                    <w:t>/a</w:t>
                  </w:r>
                  <w:r>
                    <w:rPr>
                      <w:rFonts w:hint="eastAsia"/>
                      <w:b/>
                      <w:color w:val="auto"/>
                      <w:szCs w:val="21"/>
                    </w:rPr>
                    <w:t>）</w:t>
                  </w:r>
                </w:p>
              </w:tc>
              <w:tc>
                <w:tcPr>
                  <w:tcW w:w="576" w:type="pct"/>
                  <w:tcBorders>
                    <w:tl2br w:val="nil"/>
                    <w:tr2bl w:val="nil"/>
                  </w:tcBorders>
                  <w:vAlign w:val="center"/>
                </w:tcPr>
                <w:p w14:paraId="600A7A07">
                  <w:pPr>
                    <w:keepNext w:val="0"/>
                    <w:keepLines w:val="0"/>
                    <w:pageBreakBefore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产生浓度</w:t>
                  </w:r>
                </w:p>
                <w:p w14:paraId="0E70B3A5">
                  <w:pPr>
                    <w:keepNext w:val="0"/>
                    <w:keepLines w:val="0"/>
                    <w:pageBreakBefore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w:t>
                  </w:r>
                  <w:r>
                    <w:rPr>
                      <w:rFonts w:hint="eastAsia"/>
                      <w:b/>
                      <w:color w:val="auto"/>
                      <w:szCs w:val="21"/>
                    </w:rPr>
                    <w:t>（</w:t>
                  </w:r>
                  <w:r>
                    <w:rPr>
                      <w:b/>
                      <w:color w:val="auto"/>
                      <w:szCs w:val="21"/>
                    </w:rPr>
                    <w:t>mg/L</w:t>
                  </w:r>
                  <w:r>
                    <w:rPr>
                      <w:rFonts w:hint="eastAsia"/>
                      <w:b/>
                      <w:color w:val="auto"/>
                      <w:szCs w:val="21"/>
                    </w:rPr>
                    <w:t>）</w:t>
                  </w:r>
                </w:p>
              </w:tc>
              <w:tc>
                <w:tcPr>
                  <w:tcW w:w="540" w:type="pct"/>
                  <w:tcBorders>
                    <w:tl2br w:val="nil"/>
                    <w:tr2bl w:val="nil"/>
                  </w:tcBorders>
                  <w:vAlign w:val="center"/>
                </w:tcPr>
                <w:p w14:paraId="66106D69">
                  <w:pPr>
                    <w:keepNext w:val="0"/>
                    <w:keepLines w:val="0"/>
                    <w:pageBreakBefore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产生量/</w:t>
                  </w:r>
                  <w:r>
                    <w:rPr>
                      <w:rFonts w:hint="eastAsia"/>
                      <w:b/>
                      <w:color w:val="auto"/>
                      <w:szCs w:val="21"/>
                    </w:rPr>
                    <w:t>（</w:t>
                  </w:r>
                  <w:r>
                    <w:rPr>
                      <w:b/>
                      <w:color w:val="auto"/>
                      <w:szCs w:val="21"/>
                    </w:rPr>
                    <w:t>t/a</w:t>
                  </w:r>
                  <w:r>
                    <w:rPr>
                      <w:rFonts w:hint="eastAsia"/>
                      <w:b/>
                      <w:color w:val="auto"/>
                      <w:szCs w:val="21"/>
                    </w:rPr>
                    <w:t>）</w:t>
                  </w:r>
                </w:p>
              </w:tc>
              <w:tc>
                <w:tcPr>
                  <w:tcW w:w="293" w:type="pct"/>
                  <w:tcBorders>
                    <w:tl2br w:val="nil"/>
                    <w:tr2bl w:val="nil"/>
                  </w:tcBorders>
                  <w:vAlign w:val="center"/>
                </w:tcPr>
                <w:p w14:paraId="4E7FD4B5">
                  <w:pPr>
                    <w:keepNext w:val="0"/>
                    <w:keepLines w:val="0"/>
                    <w:pageBreakBefore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工艺</w:t>
                  </w:r>
                </w:p>
              </w:tc>
              <w:tc>
                <w:tcPr>
                  <w:tcW w:w="336" w:type="pct"/>
                  <w:tcBorders>
                    <w:tl2br w:val="nil"/>
                    <w:tr2bl w:val="nil"/>
                  </w:tcBorders>
                  <w:vAlign w:val="center"/>
                </w:tcPr>
                <w:p w14:paraId="08AA0219">
                  <w:pPr>
                    <w:keepNext w:val="0"/>
                    <w:keepLines w:val="0"/>
                    <w:pageBreakBefore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效率</w:t>
                  </w:r>
                </w:p>
                <w:p w14:paraId="4066379B">
                  <w:pPr>
                    <w:keepNext w:val="0"/>
                    <w:keepLines w:val="0"/>
                    <w:pageBreakBefore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w:t>
                  </w:r>
                </w:p>
              </w:tc>
              <w:tc>
                <w:tcPr>
                  <w:tcW w:w="585" w:type="pct"/>
                  <w:tcBorders>
                    <w:tl2br w:val="nil"/>
                    <w:tr2bl w:val="nil"/>
                  </w:tcBorders>
                  <w:vAlign w:val="center"/>
                </w:tcPr>
                <w:p w14:paraId="42E55956">
                  <w:pPr>
                    <w:keepNext w:val="0"/>
                    <w:keepLines w:val="0"/>
                    <w:pageBreakBefore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排放废水量</w:t>
                  </w:r>
                </w:p>
                <w:p w14:paraId="651BAD18">
                  <w:pPr>
                    <w:keepNext w:val="0"/>
                    <w:keepLines w:val="0"/>
                    <w:pageBreakBefore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w:t>
                  </w:r>
                  <w:r>
                    <w:rPr>
                      <w:rFonts w:hint="eastAsia"/>
                      <w:b/>
                      <w:color w:val="auto"/>
                      <w:szCs w:val="21"/>
                    </w:rPr>
                    <w:t>（</w:t>
                  </w:r>
                  <w:r>
                    <w:rPr>
                      <w:b/>
                      <w:color w:val="auto"/>
                      <w:szCs w:val="21"/>
                    </w:rPr>
                    <w:t>m</w:t>
                  </w:r>
                  <w:r>
                    <w:rPr>
                      <w:b/>
                      <w:color w:val="auto"/>
                      <w:szCs w:val="21"/>
                      <w:vertAlign w:val="superscript"/>
                    </w:rPr>
                    <w:t>3</w:t>
                  </w:r>
                  <w:r>
                    <w:rPr>
                      <w:b/>
                      <w:color w:val="auto"/>
                      <w:szCs w:val="21"/>
                    </w:rPr>
                    <w:t>/a</w:t>
                  </w:r>
                  <w:r>
                    <w:rPr>
                      <w:rFonts w:hint="eastAsia"/>
                      <w:b/>
                      <w:color w:val="auto"/>
                      <w:szCs w:val="21"/>
                    </w:rPr>
                    <w:t>）</w:t>
                  </w:r>
                </w:p>
              </w:tc>
              <w:tc>
                <w:tcPr>
                  <w:tcW w:w="647" w:type="pct"/>
                  <w:tcBorders>
                    <w:tl2br w:val="nil"/>
                    <w:tr2bl w:val="nil"/>
                  </w:tcBorders>
                  <w:vAlign w:val="center"/>
                </w:tcPr>
                <w:p w14:paraId="7C914F1B">
                  <w:pPr>
                    <w:keepNext w:val="0"/>
                    <w:keepLines w:val="0"/>
                    <w:pageBreakBefore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排放浓度</w:t>
                  </w:r>
                </w:p>
                <w:p w14:paraId="472741CA">
                  <w:pPr>
                    <w:keepNext w:val="0"/>
                    <w:keepLines w:val="0"/>
                    <w:pageBreakBefore w:val="0"/>
                    <w:kinsoku/>
                    <w:wordWrap/>
                    <w:overflowPunct/>
                    <w:topLinePunct w:val="0"/>
                    <w:autoSpaceDE/>
                    <w:autoSpaceDN/>
                    <w:bidi w:val="0"/>
                    <w:adjustRightInd w:val="0"/>
                    <w:snapToGrid w:val="0"/>
                    <w:ind w:firstLine="0"/>
                    <w:textAlignment w:val="auto"/>
                    <w:rPr>
                      <w:b/>
                      <w:color w:val="auto"/>
                      <w:szCs w:val="21"/>
                    </w:rPr>
                  </w:pPr>
                  <w:r>
                    <w:rPr>
                      <w:b/>
                      <w:color w:val="auto"/>
                      <w:szCs w:val="21"/>
                    </w:rPr>
                    <w:t>/</w:t>
                  </w:r>
                  <w:r>
                    <w:rPr>
                      <w:rFonts w:hint="eastAsia"/>
                      <w:b/>
                      <w:color w:val="auto"/>
                      <w:szCs w:val="21"/>
                    </w:rPr>
                    <w:t>（</w:t>
                  </w:r>
                  <w:r>
                    <w:rPr>
                      <w:b/>
                      <w:color w:val="auto"/>
                      <w:szCs w:val="21"/>
                    </w:rPr>
                    <w:t>mg/L</w:t>
                  </w:r>
                  <w:r>
                    <w:rPr>
                      <w:rFonts w:hint="eastAsia"/>
                      <w:b/>
                      <w:color w:val="auto"/>
                      <w:szCs w:val="21"/>
                    </w:rPr>
                    <w:t>）</w:t>
                  </w:r>
                </w:p>
              </w:tc>
              <w:tc>
                <w:tcPr>
                  <w:tcW w:w="764" w:type="pct"/>
                  <w:tcBorders>
                    <w:tl2br w:val="nil"/>
                    <w:tr2bl w:val="nil"/>
                  </w:tcBorders>
                  <w:vAlign w:val="center"/>
                </w:tcPr>
                <w:p w14:paraId="2B10E662">
                  <w:pPr>
                    <w:keepNext w:val="0"/>
                    <w:keepLines w:val="0"/>
                    <w:pageBreakBefore w:val="0"/>
                    <w:kinsoku/>
                    <w:wordWrap/>
                    <w:overflowPunct/>
                    <w:topLinePunct w:val="0"/>
                    <w:autoSpaceDE/>
                    <w:autoSpaceDN/>
                    <w:bidi w:val="0"/>
                    <w:adjustRightInd w:val="0"/>
                    <w:snapToGrid w:val="0"/>
                    <w:ind w:firstLine="0"/>
                    <w:jc w:val="center"/>
                    <w:textAlignment w:val="auto"/>
                    <w:rPr>
                      <w:b/>
                      <w:color w:val="auto"/>
                      <w:szCs w:val="21"/>
                    </w:rPr>
                  </w:pPr>
                  <w:r>
                    <w:rPr>
                      <w:rFonts w:hint="eastAsia"/>
                      <w:b/>
                      <w:color w:val="auto"/>
                      <w:szCs w:val="21"/>
                    </w:rPr>
                    <w:t>排放</w:t>
                  </w:r>
                  <w:r>
                    <w:rPr>
                      <w:b/>
                      <w:color w:val="auto"/>
                      <w:szCs w:val="21"/>
                    </w:rPr>
                    <w:t>量/</w:t>
                  </w:r>
                </w:p>
                <w:p w14:paraId="2F86D047">
                  <w:pPr>
                    <w:keepNext w:val="0"/>
                    <w:keepLines w:val="0"/>
                    <w:pageBreakBefore w:val="0"/>
                    <w:kinsoku/>
                    <w:wordWrap/>
                    <w:overflowPunct/>
                    <w:topLinePunct w:val="0"/>
                    <w:autoSpaceDE/>
                    <w:autoSpaceDN/>
                    <w:bidi w:val="0"/>
                    <w:adjustRightInd w:val="0"/>
                    <w:snapToGrid w:val="0"/>
                    <w:ind w:firstLine="0"/>
                    <w:jc w:val="center"/>
                    <w:textAlignment w:val="auto"/>
                    <w:rPr>
                      <w:b/>
                      <w:color w:val="auto"/>
                      <w:szCs w:val="21"/>
                    </w:rPr>
                  </w:pPr>
                  <w:r>
                    <w:rPr>
                      <w:rFonts w:hint="eastAsia"/>
                      <w:b/>
                      <w:color w:val="auto"/>
                      <w:szCs w:val="21"/>
                    </w:rPr>
                    <w:t>（</w:t>
                  </w:r>
                  <w:r>
                    <w:rPr>
                      <w:b/>
                      <w:color w:val="auto"/>
                      <w:szCs w:val="21"/>
                    </w:rPr>
                    <w:t>t/a</w:t>
                  </w:r>
                  <w:r>
                    <w:rPr>
                      <w:rFonts w:hint="eastAsia"/>
                      <w:b/>
                      <w:color w:val="auto"/>
                      <w:szCs w:val="21"/>
                    </w:rPr>
                    <w:t>）</w:t>
                  </w:r>
                </w:p>
              </w:tc>
            </w:tr>
            <w:tr w14:paraId="0D1BC9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6" w:type="pct"/>
                  <w:vMerge w:val="restart"/>
                  <w:tcBorders>
                    <w:tl2br w:val="nil"/>
                    <w:tr2bl w:val="nil"/>
                  </w:tcBorders>
                  <w:vAlign w:val="center"/>
                </w:tcPr>
                <w:p w14:paraId="2D982219">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bookmarkStart w:id="30" w:name="OLE_LINK32" w:colFirst="4" w:colLast="4"/>
                  <w:r>
                    <w:rPr>
                      <w:color w:val="auto"/>
                      <w:szCs w:val="21"/>
                    </w:rPr>
                    <w:t>生活污水</w:t>
                  </w:r>
                </w:p>
              </w:tc>
              <w:tc>
                <w:tcPr>
                  <w:tcW w:w="509" w:type="pct"/>
                  <w:tcBorders>
                    <w:tl2br w:val="nil"/>
                    <w:tr2bl w:val="nil"/>
                  </w:tcBorders>
                  <w:vAlign w:val="center"/>
                </w:tcPr>
                <w:p w14:paraId="00D97435">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COD</w:t>
                  </w:r>
                </w:p>
              </w:tc>
              <w:tc>
                <w:tcPr>
                  <w:tcW w:w="550" w:type="pct"/>
                  <w:vMerge w:val="restart"/>
                  <w:tcBorders>
                    <w:tl2br w:val="nil"/>
                    <w:tr2bl w:val="nil"/>
                  </w:tcBorders>
                  <w:vAlign w:val="center"/>
                </w:tcPr>
                <w:p w14:paraId="5B2FCF20">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val="en-US" w:eastAsia="zh-CN"/>
                    </w:rPr>
                    <w:t>1920</w:t>
                  </w:r>
                </w:p>
              </w:tc>
              <w:tc>
                <w:tcPr>
                  <w:tcW w:w="576" w:type="pct"/>
                  <w:tcBorders>
                    <w:tl2br w:val="nil"/>
                    <w:tr2bl w:val="nil"/>
                  </w:tcBorders>
                  <w:vAlign w:val="center"/>
                </w:tcPr>
                <w:p w14:paraId="39B8A5C0">
                  <w:pPr>
                    <w:keepNext w:val="0"/>
                    <w:keepLines w:val="0"/>
                    <w:pageBreakBefore w:val="0"/>
                    <w:widowControl/>
                    <w:kinsoku/>
                    <w:wordWrap/>
                    <w:overflowPunct/>
                    <w:topLinePunct w:val="0"/>
                    <w:autoSpaceDE/>
                    <w:autoSpaceDN/>
                    <w:bidi w:val="0"/>
                    <w:adjustRightInd w:val="0"/>
                    <w:snapToGrid w:val="0"/>
                    <w:ind w:firstLine="0"/>
                    <w:jc w:val="center"/>
                    <w:textAlignment w:val="auto"/>
                    <w:rPr>
                      <w:b w:val="0"/>
                      <w:bCs w:val="0"/>
                      <w:color w:val="auto"/>
                      <w:szCs w:val="21"/>
                    </w:rPr>
                  </w:pPr>
                  <w:r>
                    <w:rPr>
                      <w:rFonts w:hint="eastAsia"/>
                      <w:b w:val="0"/>
                      <w:bCs w:val="0"/>
                      <w:color w:val="auto"/>
                      <w:szCs w:val="21"/>
                    </w:rPr>
                    <w:t>350</w:t>
                  </w:r>
                </w:p>
              </w:tc>
              <w:tc>
                <w:tcPr>
                  <w:tcW w:w="540" w:type="pct"/>
                  <w:tcBorders>
                    <w:tl2br w:val="nil"/>
                    <w:tr2bl w:val="nil"/>
                  </w:tcBorders>
                  <w:vAlign w:val="center"/>
                </w:tcPr>
                <w:p w14:paraId="5789206A">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eastAsia="宋体"/>
                      <w:b w:val="0"/>
                      <w:bCs w:val="0"/>
                      <w:color w:val="auto"/>
                      <w:szCs w:val="21"/>
                      <w:lang w:val="en-US" w:eastAsia="zh-CN"/>
                    </w:rPr>
                    <w:t>0.672</w:t>
                  </w:r>
                </w:p>
              </w:tc>
              <w:tc>
                <w:tcPr>
                  <w:tcW w:w="293" w:type="pct"/>
                  <w:vMerge w:val="restart"/>
                  <w:tcBorders>
                    <w:tl2br w:val="nil"/>
                    <w:tr2bl w:val="nil"/>
                  </w:tcBorders>
                  <w:vAlign w:val="center"/>
                </w:tcPr>
                <w:p w14:paraId="27772816">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r>
                    <w:rPr>
                      <w:b w:val="0"/>
                      <w:bCs w:val="0"/>
                      <w:color w:val="auto"/>
                      <w:szCs w:val="21"/>
                    </w:rPr>
                    <w:t>化粪</w:t>
                  </w:r>
                </w:p>
                <w:p w14:paraId="466CB3C3">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r>
                    <w:rPr>
                      <w:b w:val="0"/>
                      <w:bCs w:val="0"/>
                      <w:color w:val="auto"/>
                      <w:szCs w:val="21"/>
                    </w:rPr>
                    <w:t>池</w:t>
                  </w:r>
                </w:p>
              </w:tc>
              <w:tc>
                <w:tcPr>
                  <w:tcW w:w="336" w:type="pct"/>
                  <w:tcBorders>
                    <w:tl2br w:val="nil"/>
                    <w:tr2bl w:val="nil"/>
                  </w:tcBorders>
                  <w:vAlign w:val="center"/>
                </w:tcPr>
                <w:p w14:paraId="1900F3A5">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20</w:t>
                  </w:r>
                </w:p>
              </w:tc>
              <w:tc>
                <w:tcPr>
                  <w:tcW w:w="585" w:type="pct"/>
                  <w:vMerge w:val="restart"/>
                  <w:tcBorders>
                    <w:tl2br w:val="nil"/>
                    <w:tr2bl w:val="nil"/>
                  </w:tcBorders>
                  <w:vAlign w:val="center"/>
                </w:tcPr>
                <w:p w14:paraId="5A0A255C">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1920</w:t>
                  </w:r>
                </w:p>
              </w:tc>
              <w:tc>
                <w:tcPr>
                  <w:tcW w:w="647" w:type="pct"/>
                  <w:tcBorders>
                    <w:tl2br w:val="nil"/>
                    <w:tr2bl w:val="nil"/>
                  </w:tcBorders>
                  <w:shd w:val="clear" w:color="auto" w:fill="auto"/>
                  <w:vAlign w:val="center"/>
                </w:tcPr>
                <w:p w14:paraId="103ED44F">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eastAsia="宋体" w:cs="Times New Roman"/>
                      <w:b w:val="0"/>
                      <w:bCs w:val="0"/>
                      <w:color w:val="auto"/>
                      <w:kern w:val="2"/>
                      <w:sz w:val="21"/>
                      <w:szCs w:val="21"/>
                      <w:lang w:val="en-US" w:eastAsia="zh-CN" w:bidi="ar-SA"/>
                    </w:rPr>
                    <w:t>280</w:t>
                  </w:r>
                </w:p>
              </w:tc>
              <w:tc>
                <w:tcPr>
                  <w:tcW w:w="764" w:type="pct"/>
                  <w:tcBorders>
                    <w:tl2br w:val="nil"/>
                    <w:tr2bl w:val="nil"/>
                  </w:tcBorders>
                  <w:vAlign w:val="center"/>
                </w:tcPr>
                <w:p w14:paraId="24166739">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0.5376</w:t>
                  </w:r>
                </w:p>
              </w:tc>
            </w:tr>
            <w:tr w14:paraId="463EE3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6" w:type="pct"/>
                  <w:vMerge w:val="continue"/>
                  <w:tcBorders>
                    <w:tl2br w:val="nil"/>
                    <w:tr2bl w:val="nil"/>
                  </w:tcBorders>
                  <w:vAlign w:val="center"/>
                </w:tcPr>
                <w:p w14:paraId="1AE5D1CF">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509" w:type="pct"/>
                  <w:tcBorders>
                    <w:tl2br w:val="nil"/>
                    <w:tr2bl w:val="nil"/>
                  </w:tcBorders>
                  <w:vAlign w:val="center"/>
                </w:tcPr>
                <w:p w14:paraId="457EBBBB">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SS</w:t>
                  </w:r>
                </w:p>
              </w:tc>
              <w:tc>
                <w:tcPr>
                  <w:tcW w:w="550" w:type="pct"/>
                  <w:vMerge w:val="continue"/>
                  <w:tcBorders>
                    <w:tl2br w:val="nil"/>
                    <w:tr2bl w:val="nil"/>
                  </w:tcBorders>
                  <w:vAlign w:val="center"/>
                </w:tcPr>
                <w:p w14:paraId="6656F8DD">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576" w:type="pct"/>
                  <w:tcBorders>
                    <w:tl2br w:val="nil"/>
                    <w:tr2bl w:val="nil"/>
                  </w:tcBorders>
                  <w:vAlign w:val="center"/>
                </w:tcPr>
                <w:p w14:paraId="77A92CF9">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r>
                    <w:rPr>
                      <w:rFonts w:hint="eastAsia"/>
                      <w:b w:val="0"/>
                      <w:bCs w:val="0"/>
                      <w:color w:val="auto"/>
                      <w:szCs w:val="21"/>
                    </w:rPr>
                    <w:t>200</w:t>
                  </w:r>
                </w:p>
              </w:tc>
              <w:tc>
                <w:tcPr>
                  <w:tcW w:w="540" w:type="pct"/>
                  <w:tcBorders>
                    <w:tl2br w:val="nil"/>
                    <w:tr2bl w:val="nil"/>
                  </w:tcBorders>
                  <w:vAlign w:val="center"/>
                </w:tcPr>
                <w:p w14:paraId="028A5D2D">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eastAsia="宋体"/>
                      <w:b w:val="0"/>
                      <w:bCs w:val="0"/>
                      <w:color w:val="auto"/>
                      <w:szCs w:val="21"/>
                      <w:lang w:val="en-US" w:eastAsia="zh-CN"/>
                    </w:rPr>
                    <w:t>0.384</w:t>
                  </w:r>
                </w:p>
              </w:tc>
              <w:tc>
                <w:tcPr>
                  <w:tcW w:w="293" w:type="pct"/>
                  <w:vMerge w:val="continue"/>
                  <w:tcBorders>
                    <w:tl2br w:val="nil"/>
                    <w:tr2bl w:val="nil"/>
                  </w:tcBorders>
                  <w:vAlign w:val="center"/>
                </w:tcPr>
                <w:p w14:paraId="5BD46E54">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p>
              </w:tc>
              <w:tc>
                <w:tcPr>
                  <w:tcW w:w="336" w:type="pct"/>
                  <w:tcBorders>
                    <w:tl2br w:val="nil"/>
                    <w:tr2bl w:val="nil"/>
                  </w:tcBorders>
                  <w:vAlign w:val="center"/>
                </w:tcPr>
                <w:p w14:paraId="5F921F26">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r>
                    <w:rPr>
                      <w:rFonts w:hint="eastAsia"/>
                      <w:b w:val="0"/>
                      <w:bCs w:val="0"/>
                      <w:color w:val="auto"/>
                      <w:szCs w:val="21"/>
                    </w:rPr>
                    <w:t>50</w:t>
                  </w:r>
                </w:p>
              </w:tc>
              <w:tc>
                <w:tcPr>
                  <w:tcW w:w="585" w:type="pct"/>
                  <w:vMerge w:val="continue"/>
                  <w:tcBorders>
                    <w:tl2br w:val="nil"/>
                    <w:tr2bl w:val="nil"/>
                  </w:tcBorders>
                  <w:vAlign w:val="center"/>
                </w:tcPr>
                <w:p w14:paraId="1BB53F96">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p>
              </w:tc>
              <w:tc>
                <w:tcPr>
                  <w:tcW w:w="647" w:type="pct"/>
                  <w:tcBorders>
                    <w:tl2br w:val="nil"/>
                    <w:tr2bl w:val="nil"/>
                  </w:tcBorders>
                  <w:shd w:val="clear" w:color="auto" w:fill="auto"/>
                  <w:vAlign w:val="center"/>
                </w:tcPr>
                <w:p w14:paraId="393A1F78">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eastAsia="宋体" w:cs="Times New Roman"/>
                      <w:b w:val="0"/>
                      <w:bCs w:val="0"/>
                      <w:color w:val="auto"/>
                      <w:kern w:val="2"/>
                      <w:sz w:val="21"/>
                      <w:szCs w:val="21"/>
                      <w:lang w:val="en-US" w:eastAsia="zh-CN" w:bidi="ar-SA"/>
                    </w:rPr>
                    <w:t>100</w:t>
                  </w:r>
                </w:p>
              </w:tc>
              <w:tc>
                <w:tcPr>
                  <w:tcW w:w="764" w:type="pct"/>
                  <w:tcBorders>
                    <w:tl2br w:val="nil"/>
                    <w:tr2bl w:val="nil"/>
                  </w:tcBorders>
                  <w:vAlign w:val="center"/>
                </w:tcPr>
                <w:p w14:paraId="5186FEC3">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0.192</w:t>
                  </w:r>
                </w:p>
              </w:tc>
            </w:tr>
            <w:tr w14:paraId="5EFB0A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6" w:type="pct"/>
                  <w:vMerge w:val="continue"/>
                  <w:tcBorders>
                    <w:tl2br w:val="nil"/>
                    <w:tr2bl w:val="nil"/>
                  </w:tcBorders>
                  <w:vAlign w:val="center"/>
                </w:tcPr>
                <w:p w14:paraId="314EFA44">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509" w:type="pct"/>
                  <w:tcBorders>
                    <w:tl2br w:val="nil"/>
                    <w:tr2bl w:val="nil"/>
                  </w:tcBorders>
                  <w:vAlign w:val="center"/>
                </w:tcPr>
                <w:p w14:paraId="5B5F1EC2">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NH</w:t>
                  </w:r>
                  <w:r>
                    <w:rPr>
                      <w:color w:val="auto"/>
                      <w:szCs w:val="21"/>
                      <w:vertAlign w:val="subscript"/>
                    </w:rPr>
                    <w:t>3</w:t>
                  </w:r>
                  <w:r>
                    <w:rPr>
                      <w:color w:val="auto"/>
                      <w:szCs w:val="21"/>
                    </w:rPr>
                    <w:t>-N</w:t>
                  </w:r>
                </w:p>
              </w:tc>
              <w:tc>
                <w:tcPr>
                  <w:tcW w:w="550" w:type="pct"/>
                  <w:vMerge w:val="continue"/>
                  <w:tcBorders>
                    <w:tl2br w:val="nil"/>
                    <w:tr2bl w:val="nil"/>
                  </w:tcBorders>
                  <w:vAlign w:val="center"/>
                </w:tcPr>
                <w:p w14:paraId="3E607999">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576" w:type="pct"/>
                  <w:tcBorders>
                    <w:tl2br w:val="nil"/>
                    <w:tr2bl w:val="nil"/>
                  </w:tcBorders>
                  <w:vAlign w:val="center"/>
                </w:tcPr>
                <w:p w14:paraId="085274D7">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r>
                    <w:rPr>
                      <w:rFonts w:hint="eastAsia"/>
                      <w:b w:val="0"/>
                      <w:bCs w:val="0"/>
                      <w:color w:val="auto"/>
                      <w:szCs w:val="21"/>
                    </w:rPr>
                    <w:t>30</w:t>
                  </w:r>
                </w:p>
              </w:tc>
              <w:tc>
                <w:tcPr>
                  <w:tcW w:w="540" w:type="pct"/>
                  <w:tcBorders>
                    <w:tl2br w:val="nil"/>
                    <w:tr2bl w:val="nil"/>
                  </w:tcBorders>
                  <w:vAlign w:val="center"/>
                </w:tcPr>
                <w:p w14:paraId="70DF95E6">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eastAsia="宋体"/>
                      <w:b w:val="0"/>
                      <w:bCs w:val="0"/>
                      <w:color w:val="auto"/>
                      <w:szCs w:val="21"/>
                      <w:lang w:val="en-US" w:eastAsia="zh-CN"/>
                    </w:rPr>
                    <w:t>0.0576</w:t>
                  </w:r>
                </w:p>
              </w:tc>
              <w:tc>
                <w:tcPr>
                  <w:tcW w:w="293" w:type="pct"/>
                  <w:vMerge w:val="continue"/>
                  <w:tcBorders>
                    <w:tl2br w:val="nil"/>
                    <w:tr2bl w:val="nil"/>
                  </w:tcBorders>
                  <w:vAlign w:val="center"/>
                </w:tcPr>
                <w:p w14:paraId="5FC9B3A1">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p>
              </w:tc>
              <w:tc>
                <w:tcPr>
                  <w:tcW w:w="336" w:type="pct"/>
                  <w:tcBorders>
                    <w:tl2br w:val="nil"/>
                    <w:tr2bl w:val="nil"/>
                  </w:tcBorders>
                  <w:vAlign w:val="center"/>
                </w:tcPr>
                <w:p w14:paraId="7EBE4298">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r>
                    <w:rPr>
                      <w:b w:val="0"/>
                      <w:bCs w:val="0"/>
                      <w:color w:val="auto"/>
                      <w:szCs w:val="21"/>
                    </w:rPr>
                    <w:t>0</w:t>
                  </w:r>
                </w:p>
              </w:tc>
              <w:tc>
                <w:tcPr>
                  <w:tcW w:w="585" w:type="pct"/>
                  <w:vMerge w:val="continue"/>
                  <w:tcBorders>
                    <w:tl2br w:val="nil"/>
                    <w:tr2bl w:val="nil"/>
                  </w:tcBorders>
                  <w:vAlign w:val="center"/>
                </w:tcPr>
                <w:p w14:paraId="6DD52F10">
                  <w:pPr>
                    <w:keepNext w:val="0"/>
                    <w:keepLines w:val="0"/>
                    <w:pageBreakBefore w:val="0"/>
                    <w:widowControl/>
                    <w:kinsoku/>
                    <w:wordWrap/>
                    <w:overflowPunct/>
                    <w:topLinePunct w:val="0"/>
                    <w:autoSpaceDE/>
                    <w:autoSpaceDN/>
                    <w:bidi w:val="0"/>
                    <w:adjustRightInd w:val="0"/>
                    <w:snapToGrid w:val="0"/>
                    <w:ind w:firstLine="0"/>
                    <w:jc w:val="center"/>
                    <w:textAlignment w:val="auto"/>
                    <w:rPr>
                      <w:b w:val="0"/>
                      <w:bCs w:val="0"/>
                      <w:color w:val="auto"/>
                      <w:szCs w:val="21"/>
                    </w:rPr>
                  </w:pPr>
                </w:p>
              </w:tc>
              <w:tc>
                <w:tcPr>
                  <w:tcW w:w="647" w:type="pct"/>
                  <w:tcBorders>
                    <w:tl2br w:val="nil"/>
                    <w:tr2bl w:val="nil"/>
                  </w:tcBorders>
                  <w:shd w:val="clear" w:color="auto" w:fill="auto"/>
                  <w:vAlign w:val="center"/>
                </w:tcPr>
                <w:p w14:paraId="0DB929B7">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eastAsia="宋体" w:cs="Times New Roman"/>
                      <w:b w:val="0"/>
                      <w:bCs w:val="0"/>
                      <w:color w:val="auto"/>
                      <w:kern w:val="2"/>
                      <w:sz w:val="21"/>
                      <w:szCs w:val="21"/>
                      <w:lang w:val="en-US" w:eastAsia="zh-CN" w:bidi="ar-SA"/>
                    </w:rPr>
                    <w:t>30</w:t>
                  </w:r>
                </w:p>
              </w:tc>
              <w:tc>
                <w:tcPr>
                  <w:tcW w:w="764" w:type="pct"/>
                  <w:tcBorders>
                    <w:tl2br w:val="nil"/>
                    <w:tr2bl w:val="nil"/>
                  </w:tcBorders>
                  <w:shd w:val="clear" w:color="auto" w:fill="auto"/>
                  <w:vAlign w:val="center"/>
                </w:tcPr>
                <w:p w14:paraId="5CD7531F">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0.576</w:t>
                  </w:r>
                </w:p>
              </w:tc>
            </w:tr>
            <w:tr w14:paraId="658C5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6" w:type="pct"/>
                  <w:vMerge w:val="continue"/>
                  <w:tcBorders>
                    <w:tl2br w:val="nil"/>
                    <w:tr2bl w:val="nil"/>
                  </w:tcBorders>
                  <w:vAlign w:val="center"/>
                </w:tcPr>
                <w:p w14:paraId="64B83FE8">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509" w:type="pct"/>
                  <w:tcBorders>
                    <w:tl2br w:val="nil"/>
                    <w:tr2bl w:val="nil"/>
                  </w:tcBorders>
                  <w:vAlign w:val="center"/>
                </w:tcPr>
                <w:p w14:paraId="72B36727">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TN</w:t>
                  </w:r>
                </w:p>
              </w:tc>
              <w:tc>
                <w:tcPr>
                  <w:tcW w:w="550" w:type="pct"/>
                  <w:vMerge w:val="continue"/>
                  <w:tcBorders>
                    <w:tl2br w:val="nil"/>
                    <w:tr2bl w:val="nil"/>
                  </w:tcBorders>
                  <w:vAlign w:val="center"/>
                </w:tcPr>
                <w:p w14:paraId="6E780D7F">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576" w:type="pct"/>
                  <w:tcBorders>
                    <w:tl2br w:val="nil"/>
                    <w:tr2bl w:val="nil"/>
                  </w:tcBorders>
                  <w:vAlign w:val="center"/>
                </w:tcPr>
                <w:p w14:paraId="167F8B5F">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35</w:t>
                  </w:r>
                </w:p>
              </w:tc>
              <w:tc>
                <w:tcPr>
                  <w:tcW w:w="540" w:type="pct"/>
                  <w:tcBorders>
                    <w:tl2br w:val="nil"/>
                    <w:tr2bl w:val="nil"/>
                  </w:tcBorders>
                  <w:vAlign w:val="center"/>
                </w:tcPr>
                <w:p w14:paraId="27F23F5C">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eastAsia="宋体"/>
                      <w:b w:val="0"/>
                      <w:bCs w:val="0"/>
                      <w:color w:val="auto"/>
                      <w:szCs w:val="21"/>
                      <w:lang w:val="en-US" w:eastAsia="zh-CN"/>
                    </w:rPr>
                    <w:t>0.0672</w:t>
                  </w:r>
                </w:p>
              </w:tc>
              <w:tc>
                <w:tcPr>
                  <w:tcW w:w="293" w:type="pct"/>
                  <w:vMerge w:val="continue"/>
                  <w:tcBorders>
                    <w:tl2br w:val="nil"/>
                    <w:tr2bl w:val="nil"/>
                  </w:tcBorders>
                  <w:vAlign w:val="center"/>
                </w:tcPr>
                <w:p w14:paraId="79B314F7">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p>
              </w:tc>
              <w:tc>
                <w:tcPr>
                  <w:tcW w:w="336" w:type="pct"/>
                  <w:tcBorders>
                    <w:tl2br w:val="nil"/>
                    <w:tr2bl w:val="nil"/>
                  </w:tcBorders>
                  <w:vAlign w:val="center"/>
                </w:tcPr>
                <w:p w14:paraId="3CBE38B8">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r>
                    <w:rPr>
                      <w:b w:val="0"/>
                      <w:bCs w:val="0"/>
                      <w:color w:val="auto"/>
                      <w:szCs w:val="21"/>
                    </w:rPr>
                    <w:t>0</w:t>
                  </w:r>
                </w:p>
              </w:tc>
              <w:tc>
                <w:tcPr>
                  <w:tcW w:w="585" w:type="pct"/>
                  <w:vMerge w:val="continue"/>
                  <w:tcBorders>
                    <w:tl2br w:val="nil"/>
                    <w:tr2bl w:val="nil"/>
                  </w:tcBorders>
                  <w:vAlign w:val="center"/>
                </w:tcPr>
                <w:p w14:paraId="15FCAA97">
                  <w:pPr>
                    <w:keepNext w:val="0"/>
                    <w:keepLines w:val="0"/>
                    <w:pageBreakBefore w:val="0"/>
                    <w:widowControl/>
                    <w:kinsoku/>
                    <w:wordWrap/>
                    <w:overflowPunct/>
                    <w:topLinePunct w:val="0"/>
                    <w:autoSpaceDE/>
                    <w:autoSpaceDN/>
                    <w:bidi w:val="0"/>
                    <w:adjustRightInd w:val="0"/>
                    <w:snapToGrid w:val="0"/>
                    <w:ind w:firstLine="0"/>
                    <w:jc w:val="center"/>
                    <w:textAlignment w:val="auto"/>
                    <w:rPr>
                      <w:b w:val="0"/>
                      <w:bCs w:val="0"/>
                      <w:color w:val="auto"/>
                      <w:szCs w:val="21"/>
                    </w:rPr>
                  </w:pPr>
                </w:p>
              </w:tc>
              <w:tc>
                <w:tcPr>
                  <w:tcW w:w="647" w:type="pct"/>
                  <w:tcBorders>
                    <w:tl2br w:val="nil"/>
                    <w:tr2bl w:val="nil"/>
                  </w:tcBorders>
                  <w:shd w:val="clear" w:color="auto" w:fill="auto"/>
                  <w:vAlign w:val="center"/>
                </w:tcPr>
                <w:p w14:paraId="575195FF">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eastAsia="宋体" w:cs="Times New Roman"/>
                      <w:b w:val="0"/>
                      <w:bCs w:val="0"/>
                      <w:color w:val="auto"/>
                      <w:kern w:val="2"/>
                      <w:sz w:val="21"/>
                      <w:szCs w:val="21"/>
                      <w:lang w:val="en-US" w:eastAsia="zh-CN" w:bidi="ar-SA"/>
                    </w:rPr>
                    <w:t>35</w:t>
                  </w:r>
                </w:p>
              </w:tc>
              <w:tc>
                <w:tcPr>
                  <w:tcW w:w="764" w:type="pct"/>
                  <w:tcBorders>
                    <w:tl2br w:val="nil"/>
                    <w:tr2bl w:val="nil"/>
                  </w:tcBorders>
                  <w:shd w:val="clear" w:color="auto" w:fill="auto"/>
                  <w:vAlign w:val="center"/>
                </w:tcPr>
                <w:p w14:paraId="0DE3ECF2">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0.0672</w:t>
                  </w:r>
                </w:p>
              </w:tc>
            </w:tr>
            <w:tr w14:paraId="37B5D9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6" w:type="pct"/>
                  <w:vMerge w:val="continue"/>
                  <w:tcBorders>
                    <w:tl2br w:val="nil"/>
                    <w:tr2bl w:val="nil"/>
                  </w:tcBorders>
                  <w:vAlign w:val="center"/>
                </w:tcPr>
                <w:p w14:paraId="7B1E5976">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509" w:type="pct"/>
                  <w:tcBorders>
                    <w:tl2br w:val="nil"/>
                    <w:tr2bl w:val="nil"/>
                  </w:tcBorders>
                  <w:vAlign w:val="center"/>
                </w:tcPr>
                <w:p w14:paraId="6A1762C5">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TP</w:t>
                  </w:r>
                </w:p>
              </w:tc>
              <w:tc>
                <w:tcPr>
                  <w:tcW w:w="550" w:type="pct"/>
                  <w:vMerge w:val="continue"/>
                  <w:tcBorders>
                    <w:tl2br w:val="nil"/>
                    <w:tr2bl w:val="nil"/>
                  </w:tcBorders>
                  <w:vAlign w:val="center"/>
                </w:tcPr>
                <w:p w14:paraId="31E87282">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576" w:type="pct"/>
                  <w:tcBorders>
                    <w:tl2br w:val="nil"/>
                    <w:tr2bl w:val="nil"/>
                  </w:tcBorders>
                  <w:vAlign w:val="center"/>
                </w:tcPr>
                <w:p w14:paraId="4CA1397D">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r>
                    <w:rPr>
                      <w:rFonts w:hint="eastAsia"/>
                      <w:b w:val="0"/>
                      <w:bCs w:val="0"/>
                      <w:color w:val="auto"/>
                      <w:szCs w:val="21"/>
                    </w:rPr>
                    <w:t>4</w:t>
                  </w:r>
                </w:p>
              </w:tc>
              <w:tc>
                <w:tcPr>
                  <w:tcW w:w="540" w:type="pct"/>
                  <w:tcBorders>
                    <w:tl2br w:val="nil"/>
                    <w:tr2bl w:val="nil"/>
                  </w:tcBorders>
                  <w:vAlign w:val="center"/>
                </w:tcPr>
                <w:p w14:paraId="1F9CDBFB">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eastAsia="宋体"/>
                      <w:b w:val="0"/>
                      <w:bCs w:val="0"/>
                      <w:color w:val="auto"/>
                      <w:szCs w:val="21"/>
                      <w:lang w:val="en-US" w:eastAsia="zh-CN"/>
                    </w:rPr>
                    <w:t>0.00768</w:t>
                  </w:r>
                </w:p>
              </w:tc>
              <w:tc>
                <w:tcPr>
                  <w:tcW w:w="293" w:type="pct"/>
                  <w:vMerge w:val="continue"/>
                  <w:tcBorders>
                    <w:tl2br w:val="nil"/>
                    <w:tr2bl w:val="nil"/>
                  </w:tcBorders>
                  <w:vAlign w:val="center"/>
                </w:tcPr>
                <w:p w14:paraId="0C9EAF22">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p>
              </w:tc>
              <w:tc>
                <w:tcPr>
                  <w:tcW w:w="336" w:type="pct"/>
                  <w:tcBorders>
                    <w:tl2br w:val="nil"/>
                    <w:tr2bl w:val="nil"/>
                  </w:tcBorders>
                  <w:vAlign w:val="center"/>
                </w:tcPr>
                <w:p w14:paraId="66ACF7BD">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r>
                    <w:rPr>
                      <w:b w:val="0"/>
                      <w:bCs w:val="0"/>
                      <w:color w:val="auto"/>
                      <w:szCs w:val="21"/>
                    </w:rPr>
                    <w:t>0</w:t>
                  </w:r>
                </w:p>
              </w:tc>
              <w:tc>
                <w:tcPr>
                  <w:tcW w:w="585" w:type="pct"/>
                  <w:vMerge w:val="continue"/>
                  <w:tcBorders>
                    <w:tl2br w:val="nil"/>
                    <w:tr2bl w:val="nil"/>
                  </w:tcBorders>
                  <w:vAlign w:val="center"/>
                </w:tcPr>
                <w:p w14:paraId="095503A9">
                  <w:pPr>
                    <w:keepNext w:val="0"/>
                    <w:keepLines w:val="0"/>
                    <w:pageBreakBefore w:val="0"/>
                    <w:widowControl/>
                    <w:kinsoku/>
                    <w:wordWrap/>
                    <w:overflowPunct/>
                    <w:topLinePunct w:val="0"/>
                    <w:autoSpaceDE/>
                    <w:autoSpaceDN/>
                    <w:bidi w:val="0"/>
                    <w:adjustRightInd w:val="0"/>
                    <w:snapToGrid w:val="0"/>
                    <w:ind w:firstLine="0"/>
                    <w:jc w:val="center"/>
                    <w:textAlignment w:val="auto"/>
                    <w:rPr>
                      <w:b w:val="0"/>
                      <w:bCs w:val="0"/>
                      <w:color w:val="auto"/>
                      <w:szCs w:val="21"/>
                    </w:rPr>
                  </w:pPr>
                </w:p>
              </w:tc>
              <w:tc>
                <w:tcPr>
                  <w:tcW w:w="647" w:type="pct"/>
                  <w:tcBorders>
                    <w:tl2br w:val="nil"/>
                    <w:tr2bl w:val="nil"/>
                  </w:tcBorders>
                  <w:shd w:val="clear" w:color="auto" w:fill="auto"/>
                  <w:vAlign w:val="center"/>
                </w:tcPr>
                <w:p w14:paraId="7CEC8104">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eastAsia="宋体" w:cs="Times New Roman"/>
                      <w:b w:val="0"/>
                      <w:bCs w:val="0"/>
                      <w:color w:val="auto"/>
                      <w:kern w:val="2"/>
                      <w:sz w:val="21"/>
                      <w:szCs w:val="21"/>
                      <w:lang w:val="en-US" w:eastAsia="zh-CN" w:bidi="ar-SA"/>
                    </w:rPr>
                    <w:t>4</w:t>
                  </w:r>
                </w:p>
              </w:tc>
              <w:tc>
                <w:tcPr>
                  <w:tcW w:w="764" w:type="pct"/>
                  <w:tcBorders>
                    <w:tl2br w:val="nil"/>
                    <w:tr2bl w:val="nil"/>
                  </w:tcBorders>
                  <w:shd w:val="clear" w:color="auto" w:fill="auto"/>
                  <w:vAlign w:val="center"/>
                </w:tcPr>
                <w:p w14:paraId="7CFC65B7">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0.00768</w:t>
                  </w:r>
                </w:p>
              </w:tc>
            </w:tr>
            <w:bookmarkEnd w:id="30"/>
            <w:tr w14:paraId="3BEE65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6" w:type="pct"/>
                  <w:vMerge w:val="restart"/>
                  <w:tcBorders>
                    <w:tl2br w:val="nil"/>
                    <w:tr2bl w:val="nil"/>
                  </w:tcBorders>
                  <w:vAlign w:val="center"/>
                </w:tcPr>
                <w:p w14:paraId="2281486A">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食堂废水</w:t>
                  </w:r>
                </w:p>
              </w:tc>
              <w:tc>
                <w:tcPr>
                  <w:tcW w:w="509" w:type="pct"/>
                  <w:tcBorders>
                    <w:tl2br w:val="nil"/>
                    <w:tr2bl w:val="nil"/>
                  </w:tcBorders>
                  <w:vAlign w:val="center"/>
                </w:tcPr>
                <w:p w14:paraId="22EEA4B5">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COD</w:t>
                  </w:r>
                </w:p>
              </w:tc>
              <w:tc>
                <w:tcPr>
                  <w:tcW w:w="550" w:type="pct"/>
                  <w:vMerge w:val="restart"/>
                  <w:tcBorders>
                    <w:tl2br w:val="nil"/>
                    <w:tr2bl w:val="nil"/>
                  </w:tcBorders>
                  <w:vAlign w:val="center"/>
                </w:tcPr>
                <w:p w14:paraId="13F69F45">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val="en-US" w:eastAsia="zh-CN"/>
                    </w:rPr>
                    <w:t>360</w:t>
                  </w:r>
                </w:p>
              </w:tc>
              <w:tc>
                <w:tcPr>
                  <w:tcW w:w="576" w:type="pct"/>
                  <w:tcBorders>
                    <w:tl2br w:val="nil"/>
                    <w:tr2bl w:val="nil"/>
                  </w:tcBorders>
                  <w:vAlign w:val="center"/>
                </w:tcPr>
                <w:p w14:paraId="488106DD">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r>
                    <w:rPr>
                      <w:rFonts w:hint="eastAsia"/>
                      <w:b w:val="0"/>
                      <w:bCs w:val="0"/>
                      <w:color w:val="auto"/>
                      <w:szCs w:val="21"/>
                    </w:rPr>
                    <w:t>350</w:t>
                  </w:r>
                </w:p>
              </w:tc>
              <w:tc>
                <w:tcPr>
                  <w:tcW w:w="540" w:type="pct"/>
                  <w:tcBorders>
                    <w:tl2br w:val="nil"/>
                    <w:tr2bl w:val="nil"/>
                  </w:tcBorders>
                  <w:shd w:val="clear" w:color="auto" w:fill="auto"/>
                  <w:vAlign w:val="center"/>
                </w:tcPr>
                <w:p w14:paraId="3963F424">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0.126</w:t>
                  </w:r>
                </w:p>
              </w:tc>
              <w:tc>
                <w:tcPr>
                  <w:tcW w:w="293" w:type="pct"/>
                  <w:vMerge w:val="restart"/>
                  <w:tcBorders>
                    <w:tl2br w:val="nil"/>
                    <w:tr2bl w:val="nil"/>
                  </w:tcBorders>
                  <w:vAlign w:val="center"/>
                </w:tcPr>
                <w:p w14:paraId="5D5D25D7">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bookmarkStart w:id="31" w:name="OLE_LINK34"/>
                  <w:r>
                    <w:rPr>
                      <w:rFonts w:hint="eastAsia"/>
                      <w:b w:val="0"/>
                      <w:bCs w:val="0"/>
                      <w:color w:val="auto"/>
                      <w:szCs w:val="21"/>
                    </w:rPr>
                    <w:t>隔油池+化粪池</w:t>
                  </w:r>
                  <w:bookmarkEnd w:id="31"/>
                </w:p>
              </w:tc>
              <w:tc>
                <w:tcPr>
                  <w:tcW w:w="336" w:type="pct"/>
                  <w:tcBorders>
                    <w:tl2br w:val="nil"/>
                    <w:tr2bl w:val="nil"/>
                  </w:tcBorders>
                  <w:vAlign w:val="center"/>
                </w:tcPr>
                <w:p w14:paraId="31F29B0B">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b w:val="0"/>
                      <w:bCs w:val="0"/>
                      <w:color w:val="auto"/>
                      <w:szCs w:val="21"/>
                      <w:lang w:eastAsia="zh-CN"/>
                    </w:rPr>
                  </w:pPr>
                  <w:r>
                    <w:rPr>
                      <w:rFonts w:hint="eastAsia"/>
                      <w:b w:val="0"/>
                      <w:bCs w:val="0"/>
                      <w:color w:val="auto"/>
                      <w:szCs w:val="21"/>
                    </w:rPr>
                    <w:t>2</w:t>
                  </w:r>
                  <w:r>
                    <w:rPr>
                      <w:rFonts w:hint="eastAsia"/>
                      <w:b w:val="0"/>
                      <w:bCs w:val="0"/>
                      <w:color w:val="auto"/>
                      <w:szCs w:val="21"/>
                      <w:lang w:val="en-US" w:eastAsia="zh-CN"/>
                    </w:rPr>
                    <w:t>0</w:t>
                  </w:r>
                </w:p>
              </w:tc>
              <w:tc>
                <w:tcPr>
                  <w:tcW w:w="585" w:type="pct"/>
                  <w:vMerge w:val="restart"/>
                  <w:tcBorders>
                    <w:tl2br w:val="nil"/>
                    <w:tr2bl w:val="nil"/>
                  </w:tcBorders>
                  <w:vAlign w:val="center"/>
                </w:tcPr>
                <w:p w14:paraId="75C67B86">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360</w:t>
                  </w:r>
                </w:p>
              </w:tc>
              <w:tc>
                <w:tcPr>
                  <w:tcW w:w="647" w:type="pct"/>
                  <w:tcBorders>
                    <w:tl2br w:val="nil"/>
                    <w:tr2bl w:val="nil"/>
                  </w:tcBorders>
                  <w:shd w:val="clear" w:color="auto" w:fill="auto"/>
                  <w:vAlign w:val="center"/>
                </w:tcPr>
                <w:p w14:paraId="1D69CE2C">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280</w:t>
                  </w:r>
                </w:p>
              </w:tc>
              <w:tc>
                <w:tcPr>
                  <w:tcW w:w="764" w:type="pct"/>
                  <w:tcBorders>
                    <w:tl2br w:val="nil"/>
                    <w:tr2bl w:val="nil"/>
                  </w:tcBorders>
                  <w:vAlign w:val="center"/>
                </w:tcPr>
                <w:p w14:paraId="4566EE9B">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0.1008</w:t>
                  </w:r>
                </w:p>
              </w:tc>
            </w:tr>
            <w:tr w14:paraId="753535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6" w:type="pct"/>
                  <w:vMerge w:val="continue"/>
                  <w:tcBorders>
                    <w:tl2br w:val="nil"/>
                    <w:tr2bl w:val="nil"/>
                  </w:tcBorders>
                  <w:vAlign w:val="center"/>
                </w:tcPr>
                <w:p w14:paraId="54EF180E">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509" w:type="pct"/>
                  <w:tcBorders>
                    <w:tl2br w:val="nil"/>
                    <w:tr2bl w:val="nil"/>
                  </w:tcBorders>
                  <w:vAlign w:val="center"/>
                </w:tcPr>
                <w:p w14:paraId="1DAD68A3">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SS</w:t>
                  </w:r>
                </w:p>
              </w:tc>
              <w:tc>
                <w:tcPr>
                  <w:tcW w:w="550" w:type="pct"/>
                  <w:vMerge w:val="continue"/>
                  <w:tcBorders>
                    <w:tl2br w:val="nil"/>
                    <w:tr2bl w:val="nil"/>
                  </w:tcBorders>
                  <w:vAlign w:val="center"/>
                </w:tcPr>
                <w:p w14:paraId="77404A9B">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576" w:type="pct"/>
                  <w:tcBorders>
                    <w:tl2br w:val="nil"/>
                    <w:tr2bl w:val="nil"/>
                  </w:tcBorders>
                  <w:vAlign w:val="center"/>
                </w:tcPr>
                <w:p w14:paraId="71395413">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r>
                    <w:rPr>
                      <w:rFonts w:hint="eastAsia"/>
                      <w:b w:val="0"/>
                      <w:bCs w:val="0"/>
                      <w:color w:val="auto"/>
                      <w:szCs w:val="21"/>
                    </w:rPr>
                    <w:t>200</w:t>
                  </w:r>
                </w:p>
              </w:tc>
              <w:tc>
                <w:tcPr>
                  <w:tcW w:w="540" w:type="pct"/>
                  <w:tcBorders>
                    <w:tl2br w:val="nil"/>
                    <w:tr2bl w:val="nil"/>
                  </w:tcBorders>
                  <w:shd w:val="clear" w:color="auto" w:fill="auto"/>
                  <w:vAlign w:val="center"/>
                </w:tcPr>
                <w:p w14:paraId="18488978">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0.072</w:t>
                  </w:r>
                </w:p>
              </w:tc>
              <w:tc>
                <w:tcPr>
                  <w:tcW w:w="293" w:type="pct"/>
                  <w:vMerge w:val="continue"/>
                  <w:tcBorders>
                    <w:tl2br w:val="nil"/>
                    <w:tr2bl w:val="nil"/>
                  </w:tcBorders>
                  <w:vAlign w:val="center"/>
                </w:tcPr>
                <w:p w14:paraId="22C8963D">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p>
              </w:tc>
              <w:tc>
                <w:tcPr>
                  <w:tcW w:w="336" w:type="pct"/>
                  <w:tcBorders>
                    <w:tl2br w:val="nil"/>
                    <w:tr2bl w:val="nil"/>
                  </w:tcBorders>
                  <w:vAlign w:val="center"/>
                </w:tcPr>
                <w:p w14:paraId="614B80EC">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r>
                    <w:rPr>
                      <w:rFonts w:hint="eastAsia"/>
                      <w:b w:val="0"/>
                      <w:bCs w:val="0"/>
                      <w:color w:val="auto"/>
                      <w:szCs w:val="21"/>
                    </w:rPr>
                    <w:t>50</w:t>
                  </w:r>
                </w:p>
              </w:tc>
              <w:tc>
                <w:tcPr>
                  <w:tcW w:w="585" w:type="pct"/>
                  <w:vMerge w:val="continue"/>
                  <w:tcBorders>
                    <w:tl2br w:val="nil"/>
                    <w:tr2bl w:val="nil"/>
                  </w:tcBorders>
                  <w:vAlign w:val="center"/>
                </w:tcPr>
                <w:p w14:paraId="5C3C01D4">
                  <w:pPr>
                    <w:keepNext w:val="0"/>
                    <w:keepLines w:val="0"/>
                    <w:pageBreakBefore w:val="0"/>
                    <w:widowControl/>
                    <w:kinsoku/>
                    <w:wordWrap/>
                    <w:overflowPunct/>
                    <w:topLinePunct w:val="0"/>
                    <w:autoSpaceDE/>
                    <w:autoSpaceDN/>
                    <w:bidi w:val="0"/>
                    <w:adjustRightInd w:val="0"/>
                    <w:snapToGrid w:val="0"/>
                    <w:ind w:firstLine="0"/>
                    <w:jc w:val="center"/>
                    <w:textAlignment w:val="auto"/>
                    <w:rPr>
                      <w:b w:val="0"/>
                      <w:bCs w:val="0"/>
                      <w:color w:val="auto"/>
                      <w:szCs w:val="21"/>
                    </w:rPr>
                  </w:pPr>
                </w:p>
              </w:tc>
              <w:tc>
                <w:tcPr>
                  <w:tcW w:w="647" w:type="pct"/>
                  <w:tcBorders>
                    <w:tl2br w:val="nil"/>
                    <w:tr2bl w:val="nil"/>
                  </w:tcBorders>
                  <w:shd w:val="clear" w:color="auto" w:fill="auto"/>
                  <w:vAlign w:val="center"/>
                </w:tcPr>
                <w:p w14:paraId="16A2DBCF">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100</w:t>
                  </w:r>
                </w:p>
              </w:tc>
              <w:tc>
                <w:tcPr>
                  <w:tcW w:w="764" w:type="pct"/>
                  <w:tcBorders>
                    <w:tl2br w:val="nil"/>
                    <w:tr2bl w:val="nil"/>
                  </w:tcBorders>
                  <w:vAlign w:val="center"/>
                </w:tcPr>
                <w:p w14:paraId="183CE3E0">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0.036</w:t>
                  </w:r>
                </w:p>
              </w:tc>
            </w:tr>
            <w:tr w14:paraId="0CBA70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6" w:type="pct"/>
                  <w:vMerge w:val="continue"/>
                  <w:tcBorders>
                    <w:tl2br w:val="nil"/>
                    <w:tr2bl w:val="nil"/>
                  </w:tcBorders>
                  <w:vAlign w:val="center"/>
                </w:tcPr>
                <w:p w14:paraId="3C1D25AA">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509" w:type="pct"/>
                  <w:tcBorders>
                    <w:tl2br w:val="nil"/>
                    <w:tr2bl w:val="nil"/>
                  </w:tcBorders>
                  <w:vAlign w:val="center"/>
                </w:tcPr>
                <w:p w14:paraId="1A5FA751">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NH</w:t>
                  </w:r>
                  <w:r>
                    <w:rPr>
                      <w:color w:val="auto"/>
                      <w:szCs w:val="21"/>
                      <w:vertAlign w:val="subscript"/>
                    </w:rPr>
                    <w:t>3</w:t>
                  </w:r>
                  <w:r>
                    <w:rPr>
                      <w:color w:val="auto"/>
                      <w:szCs w:val="21"/>
                    </w:rPr>
                    <w:t>-N</w:t>
                  </w:r>
                </w:p>
              </w:tc>
              <w:tc>
                <w:tcPr>
                  <w:tcW w:w="550" w:type="pct"/>
                  <w:vMerge w:val="continue"/>
                  <w:tcBorders>
                    <w:tl2br w:val="nil"/>
                    <w:tr2bl w:val="nil"/>
                  </w:tcBorders>
                  <w:vAlign w:val="center"/>
                </w:tcPr>
                <w:p w14:paraId="2E1F4875">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576" w:type="pct"/>
                  <w:tcBorders>
                    <w:tl2br w:val="nil"/>
                    <w:tr2bl w:val="nil"/>
                  </w:tcBorders>
                  <w:vAlign w:val="center"/>
                </w:tcPr>
                <w:p w14:paraId="587C6E3F">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r>
                    <w:rPr>
                      <w:rFonts w:hint="eastAsia"/>
                      <w:b w:val="0"/>
                      <w:bCs w:val="0"/>
                      <w:color w:val="auto"/>
                      <w:szCs w:val="21"/>
                    </w:rPr>
                    <w:t>30</w:t>
                  </w:r>
                </w:p>
              </w:tc>
              <w:tc>
                <w:tcPr>
                  <w:tcW w:w="540" w:type="pct"/>
                  <w:tcBorders>
                    <w:tl2br w:val="nil"/>
                    <w:tr2bl w:val="nil"/>
                  </w:tcBorders>
                  <w:shd w:val="clear" w:color="auto" w:fill="auto"/>
                  <w:vAlign w:val="center"/>
                </w:tcPr>
                <w:p w14:paraId="4FF6DF1D">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0.0108</w:t>
                  </w:r>
                </w:p>
              </w:tc>
              <w:tc>
                <w:tcPr>
                  <w:tcW w:w="293" w:type="pct"/>
                  <w:vMerge w:val="continue"/>
                  <w:tcBorders>
                    <w:tl2br w:val="nil"/>
                    <w:tr2bl w:val="nil"/>
                  </w:tcBorders>
                  <w:vAlign w:val="center"/>
                </w:tcPr>
                <w:p w14:paraId="47A83258">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p>
              </w:tc>
              <w:tc>
                <w:tcPr>
                  <w:tcW w:w="336" w:type="pct"/>
                  <w:tcBorders>
                    <w:tl2br w:val="nil"/>
                    <w:tr2bl w:val="nil"/>
                  </w:tcBorders>
                  <w:vAlign w:val="center"/>
                </w:tcPr>
                <w:p w14:paraId="53C2D7E5">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r>
                    <w:rPr>
                      <w:rFonts w:hint="eastAsia"/>
                      <w:b w:val="0"/>
                      <w:bCs w:val="0"/>
                      <w:color w:val="auto"/>
                      <w:szCs w:val="21"/>
                    </w:rPr>
                    <w:t>0</w:t>
                  </w:r>
                </w:p>
              </w:tc>
              <w:tc>
                <w:tcPr>
                  <w:tcW w:w="585" w:type="pct"/>
                  <w:vMerge w:val="continue"/>
                  <w:tcBorders>
                    <w:tl2br w:val="nil"/>
                    <w:tr2bl w:val="nil"/>
                  </w:tcBorders>
                  <w:vAlign w:val="center"/>
                </w:tcPr>
                <w:p w14:paraId="558CD310">
                  <w:pPr>
                    <w:keepNext w:val="0"/>
                    <w:keepLines w:val="0"/>
                    <w:pageBreakBefore w:val="0"/>
                    <w:widowControl/>
                    <w:kinsoku/>
                    <w:wordWrap/>
                    <w:overflowPunct/>
                    <w:topLinePunct w:val="0"/>
                    <w:autoSpaceDE/>
                    <w:autoSpaceDN/>
                    <w:bidi w:val="0"/>
                    <w:adjustRightInd w:val="0"/>
                    <w:snapToGrid w:val="0"/>
                    <w:ind w:firstLine="0"/>
                    <w:jc w:val="center"/>
                    <w:textAlignment w:val="auto"/>
                    <w:rPr>
                      <w:b w:val="0"/>
                      <w:bCs w:val="0"/>
                      <w:color w:val="auto"/>
                      <w:szCs w:val="21"/>
                    </w:rPr>
                  </w:pPr>
                </w:p>
              </w:tc>
              <w:tc>
                <w:tcPr>
                  <w:tcW w:w="647" w:type="pct"/>
                  <w:tcBorders>
                    <w:tl2br w:val="nil"/>
                    <w:tr2bl w:val="nil"/>
                  </w:tcBorders>
                  <w:shd w:val="clear" w:color="auto" w:fill="auto"/>
                  <w:vAlign w:val="center"/>
                </w:tcPr>
                <w:p w14:paraId="6AA1700F">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30</w:t>
                  </w:r>
                </w:p>
              </w:tc>
              <w:tc>
                <w:tcPr>
                  <w:tcW w:w="764" w:type="pct"/>
                  <w:tcBorders>
                    <w:tl2br w:val="nil"/>
                    <w:tr2bl w:val="nil"/>
                  </w:tcBorders>
                  <w:vAlign w:val="center"/>
                </w:tcPr>
                <w:p w14:paraId="134029F5">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0.0108</w:t>
                  </w:r>
                </w:p>
              </w:tc>
            </w:tr>
            <w:tr w14:paraId="51572C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6" w:type="pct"/>
                  <w:vMerge w:val="continue"/>
                  <w:tcBorders>
                    <w:tl2br w:val="nil"/>
                    <w:tr2bl w:val="nil"/>
                  </w:tcBorders>
                  <w:vAlign w:val="center"/>
                </w:tcPr>
                <w:p w14:paraId="575486D0">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bookmarkStart w:id="32" w:name="OLE_LINK35" w:colFirst="4" w:colLast="4"/>
                </w:p>
              </w:tc>
              <w:tc>
                <w:tcPr>
                  <w:tcW w:w="509" w:type="pct"/>
                  <w:tcBorders>
                    <w:tl2br w:val="nil"/>
                    <w:tr2bl w:val="nil"/>
                  </w:tcBorders>
                  <w:vAlign w:val="center"/>
                </w:tcPr>
                <w:p w14:paraId="2091673D">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TN</w:t>
                  </w:r>
                </w:p>
              </w:tc>
              <w:tc>
                <w:tcPr>
                  <w:tcW w:w="550" w:type="pct"/>
                  <w:vMerge w:val="continue"/>
                  <w:tcBorders>
                    <w:tl2br w:val="nil"/>
                    <w:tr2bl w:val="nil"/>
                  </w:tcBorders>
                  <w:vAlign w:val="center"/>
                </w:tcPr>
                <w:p w14:paraId="01EF24D6">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576" w:type="pct"/>
                  <w:tcBorders>
                    <w:tl2br w:val="nil"/>
                    <w:tr2bl w:val="nil"/>
                  </w:tcBorders>
                  <w:vAlign w:val="center"/>
                </w:tcPr>
                <w:p w14:paraId="16460773">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35</w:t>
                  </w:r>
                </w:p>
              </w:tc>
              <w:tc>
                <w:tcPr>
                  <w:tcW w:w="540" w:type="pct"/>
                  <w:tcBorders>
                    <w:tl2br w:val="nil"/>
                    <w:tr2bl w:val="nil"/>
                  </w:tcBorders>
                  <w:shd w:val="clear" w:color="auto" w:fill="auto"/>
                  <w:vAlign w:val="center"/>
                </w:tcPr>
                <w:p w14:paraId="5B84FDD7">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0.0126</w:t>
                  </w:r>
                </w:p>
              </w:tc>
              <w:tc>
                <w:tcPr>
                  <w:tcW w:w="293" w:type="pct"/>
                  <w:vMerge w:val="continue"/>
                  <w:tcBorders>
                    <w:tl2br w:val="nil"/>
                    <w:tr2bl w:val="nil"/>
                  </w:tcBorders>
                  <w:vAlign w:val="center"/>
                </w:tcPr>
                <w:p w14:paraId="1A672849">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p>
              </w:tc>
              <w:tc>
                <w:tcPr>
                  <w:tcW w:w="336" w:type="pct"/>
                  <w:tcBorders>
                    <w:tl2br w:val="nil"/>
                    <w:tr2bl w:val="nil"/>
                  </w:tcBorders>
                  <w:vAlign w:val="center"/>
                </w:tcPr>
                <w:p w14:paraId="04193C65">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r>
                    <w:rPr>
                      <w:rFonts w:hint="eastAsia"/>
                      <w:b w:val="0"/>
                      <w:bCs w:val="0"/>
                      <w:color w:val="auto"/>
                      <w:szCs w:val="21"/>
                    </w:rPr>
                    <w:t>0</w:t>
                  </w:r>
                </w:p>
              </w:tc>
              <w:tc>
                <w:tcPr>
                  <w:tcW w:w="585" w:type="pct"/>
                  <w:vMerge w:val="continue"/>
                  <w:tcBorders>
                    <w:tl2br w:val="nil"/>
                    <w:tr2bl w:val="nil"/>
                  </w:tcBorders>
                  <w:vAlign w:val="center"/>
                </w:tcPr>
                <w:p w14:paraId="1E89E6D2">
                  <w:pPr>
                    <w:keepNext w:val="0"/>
                    <w:keepLines w:val="0"/>
                    <w:pageBreakBefore w:val="0"/>
                    <w:widowControl/>
                    <w:kinsoku/>
                    <w:wordWrap/>
                    <w:overflowPunct/>
                    <w:topLinePunct w:val="0"/>
                    <w:autoSpaceDE/>
                    <w:autoSpaceDN/>
                    <w:bidi w:val="0"/>
                    <w:adjustRightInd w:val="0"/>
                    <w:snapToGrid w:val="0"/>
                    <w:ind w:firstLine="0"/>
                    <w:jc w:val="center"/>
                    <w:textAlignment w:val="auto"/>
                    <w:rPr>
                      <w:b w:val="0"/>
                      <w:bCs w:val="0"/>
                      <w:color w:val="auto"/>
                      <w:szCs w:val="21"/>
                    </w:rPr>
                  </w:pPr>
                </w:p>
              </w:tc>
              <w:tc>
                <w:tcPr>
                  <w:tcW w:w="647" w:type="pct"/>
                  <w:tcBorders>
                    <w:tl2br w:val="nil"/>
                    <w:tr2bl w:val="nil"/>
                  </w:tcBorders>
                  <w:shd w:val="clear" w:color="auto" w:fill="auto"/>
                  <w:vAlign w:val="center"/>
                </w:tcPr>
                <w:p w14:paraId="2ACBC0BB">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35</w:t>
                  </w:r>
                </w:p>
              </w:tc>
              <w:tc>
                <w:tcPr>
                  <w:tcW w:w="764" w:type="pct"/>
                  <w:tcBorders>
                    <w:tl2br w:val="nil"/>
                    <w:tr2bl w:val="nil"/>
                  </w:tcBorders>
                  <w:shd w:val="clear" w:color="auto" w:fill="auto"/>
                  <w:vAlign w:val="center"/>
                </w:tcPr>
                <w:p w14:paraId="0E8D1181">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0.0126</w:t>
                  </w:r>
                </w:p>
              </w:tc>
            </w:tr>
            <w:tr w14:paraId="6401D1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6" w:type="pct"/>
                  <w:vMerge w:val="continue"/>
                  <w:tcBorders>
                    <w:tl2br w:val="nil"/>
                    <w:tr2bl w:val="nil"/>
                  </w:tcBorders>
                  <w:vAlign w:val="center"/>
                </w:tcPr>
                <w:p w14:paraId="7C4A9425">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509" w:type="pct"/>
                  <w:tcBorders>
                    <w:tl2br w:val="nil"/>
                    <w:tr2bl w:val="nil"/>
                  </w:tcBorders>
                  <w:vAlign w:val="center"/>
                </w:tcPr>
                <w:p w14:paraId="31026983">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TP</w:t>
                  </w:r>
                </w:p>
              </w:tc>
              <w:tc>
                <w:tcPr>
                  <w:tcW w:w="550" w:type="pct"/>
                  <w:vMerge w:val="continue"/>
                  <w:tcBorders>
                    <w:tl2br w:val="nil"/>
                    <w:tr2bl w:val="nil"/>
                  </w:tcBorders>
                  <w:vAlign w:val="center"/>
                </w:tcPr>
                <w:p w14:paraId="34D654BD">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576" w:type="pct"/>
                  <w:tcBorders>
                    <w:tl2br w:val="nil"/>
                    <w:tr2bl w:val="nil"/>
                  </w:tcBorders>
                  <w:vAlign w:val="center"/>
                </w:tcPr>
                <w:p w14:paraId="3C6F2340">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r>
                    <w:rPr>
                      <w:rFonts w:hint="eastAsia"/>
                      <w:b w:val="0"/>
                      <w:bCs w:val="0"/>
                      <w:color w:val="auto"/>
                      <w:szCs w:val="21"/>
                    </w:rPr>
                    <w:t>4</w:t>
                  </w:r>
                </w:p>
              </w:tc>
              <w:tc>
                <w:tcPr>
                  <w:tcW w:w="540" w:type="pct"/>
                  <w:tcBorders>
                    <w:tl2br w:val="nil"/>
                    <w:tr2bl w:val="nil"/>
                  </w:tcBorders>
                  <w:shd w:val="clear" w:color="auto" w:fill="auto"/>
                  <w:vAlign w:val="center"/>
                </w:tcPr>
                <w:p w14:paraId="747B2FFA">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0.00144</w:t>
                  </w:r>
                </w:p>
              </w:tc>
              <w:tc>
                <w:tcPr>
                  <w:tcW w:w="293" w:type="pct"/>
                  <w:vMerge w:val="continue"/>
                  <w:tcBorders>
                    <w:tl2br w:val="nil"/>
                    <w:tr2bl w:val="nil"/>
                  </w:tcBorders>
                  <w:vAlign w:val="center"/>
                </w:tcPr>
                <w:p w14:paraId="67D2212E">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p>
              </w:tc>
              <w:tc>
                <w:tcPr>
                  <w:tcW w:w="336" w:type="pct"/>
                  <w:tcBorders>
                    <w:tl2br w:val="nil"/>
                    <w:tr2bl w:val="nil"/>
                  </w:tcBorders>
                  <w:vAlign w:val="center"/>
                </w:tcPr>
                <w:p w14:paraId="1F50025C">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r>
                    <w:rPr>
                      <w:rFonts w:hint="eastAsia"/>
                      <w:b w:val="0"/>
                      <w:bCs w:val="0"/>
                      <w:color w:val="auto"/>
                      <w:szCs w:val="21"/>
                    </w:rPr>
                    <w:t>0</w:t>
                  </w:r>
                </w:p>
              </w:tc>
              <w:tc>
                <w:tcPr>
                  <w:tcW w:w="585" w:type="pct"/>
                  <w:vMerge w:val="continue"/>
                  <w:tcBorders>
                    <w:tl2br w:val="nil"/>
                    <w:tr2bl w:val="nil"/>
                  </w:tcBorders>
                  <w:vAlign w:val="center"/>
                </w:tcPr>
                <w:p w14:paraId="22198259">
                  <w:pPr>
                    <w:keepNext w:val="0"/>
                    <w:keepLines w:val="0"/>
                    <w:pageBreakBefore w:val="0"/>
                    <w:widowControl/>
                    <w:kinsoku/>
                    <w:wordWrap/>
                    <w:overflowPunct/>
                    <w:topLinePunct w:val="0"/>
                    <w:autoSpaceDE/>
                    <w:autoSpaceDN/>
                    <w:bidi w:val="0"/>
                    <w:adjustRightInd w:val="0"/>
                    <w:snapToGrid w:val="0"/>
                    <w:ind w:firstLine="0"/>
                    <w:jc w:val="center"/>
                    <w:textAlignment w:val="auto"/>
                    <w:rPr>
                      <w:b w:val="0"/>
                      <w:bCs w:val="0"/>
                      <w:color w:val="auto"/>
                      <w:szCs w:val="21"/>
                    </w:rPr>
                  </w:pPr>
                </w:p>
              </w:tc>
              <w:tc>
                <w:tcPr>
                  <w:tcW w:w="647" w:type="pct"/>
                  <w:tcBorders>
                    <w:tl2br w:val="nil"/>
                    <w:tr2bl w:val="nil"/>
                  </w:tcBorders>
                  <w:shd w:val="clear" w:color="auto" w:fill="auto"/>
                  <w:vAlign w:val="center"/>
                </w:tcPr>
                <w:p w14:paraId="657EAB11">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4</w:t>
                  </w:r>
                </w:p>
              </w:tc>
              <w:tc>
                <w:tcPr>
                  <w:tcW w:w="764" w:type="pct"/>
                  <w:tcBorders>
                    <w:tl2br w:val="nil"/>
                    <w:tr2bl w:val="nil"/>
                  </w:tcBorders>
                  <w:shd w:val="clear" w:color="auto" w:fill="auto"/>
                  <w:vAlign w:val="center"/>
                </w:tcPr>
                <w:p w14:paraId="6158E4E2">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0.00144</w:t>
                  </w:r>
                </w:p>
              </w:tc>
            </w:tr>
            <w:bookmarkEnd w:id="32"/>
            <w:tr w14:paraId="577A99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6" w:type="pct"/>
                  <w:vMerge w:val="continue"/>
                  <w:tcBorders>
                    <w:tl2br w:val="nil"/>
                    <w:tr2bl w:val="nil"/>
                  </w:tcBorders>
                  <w:vAlign w:val="center"/>
                </w:tcPr>
                <w:p w14:paraId="72D078C9">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509" w:type="pct"/>
                  <w:tcBorders>
                    <w:tl2br w:val="nil"/>
                    <w:tr2bl w:val="nil"/>
                  </w:tcBorders>
                  <w:vAlign w:val="center"/>
                </w:tcPr>
                <w:p w14:paraId="569D4E03">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动植物油</w:t>
                  </w:r>
                </w:p>
              </w:tc>
              <w:tc>
                <w:tcPr>
                  <w:tcW w:w="550" w:type="pct"/>
                  <w:vMerge w:val="continue"/>
                  <w:tcBorders>
                    <w:tl2br w:val="nil"/>
                    <w:tr2bl w:val="nil"/>
                  </w:tcBorders>
                  <w:vAlign w:val="center"/>
                </w:tcPr>
                <w:p w14:paraId="4FD7370E">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576" w:type="pct"/>
                  <w:tcBorders>
                    <w:tl2br w:val="nil"/>
                    <w:tr2bl w:val="nil"/>
                  </w:tcBorders>
                  <w:vAlign w:val="center"/>
                </w:tcPr>
                <w:p w14:paraId="6011C3C6">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160</w:t>
                  </w:r>
                </w:p>
              </w:tc>
              <w:tc>
                <w:tcPr>
                  <w:tcW w:w="540" w:type="pct"/>
                  <w:tcBorders>
                    <w:tl2br w:val="nil"/>
                    <w:tr2bl w:val="nil"/>
                  </w:tcBorders>
                  <w:vAlign w:val="center"/>
                </w:tcPr>
                <w:p w14:paraId="20EE4DA1">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0.0576</w:t>
                  </w:r>
                </w:p>
              </w:tc>
              <w:tc>
                <w:tcPr>
                  <w:tcW w:w="293" w:type="pct"/>
                  <w:vMerge w:val="continue"/>
                  <w:tcBorders>
                    <w:tl2br w:val="nil"/>
                    <w:tr2bl w:val="nil"/>
                  </w:tcBorders>
                  <w:vAlign w:val="center"/>
                </w:tcPr>
                <w:p w14:paraId="7C5A5177">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p>
              </w:tc>
              <w:tc>
                <w:tcPr>
                  <w:tcW w:w="336" w:type="pct"/>
                  <w:tcBorders>
                    <w:tl2br w:val="nil"/>
                    <w:tr2bl w:val="nil"/>
                  </w:tcBorders>
                  <w:vAlign w:val="center"/>
                </w:tcPr>
                <w:p w14:paraId="4AEFDD93">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r>
                    <w:rPr>
                      <w:rFonts w:hint="eastAsia"/>
                      <w:b w:val="0"/>
                      <w:bCs w:val="0"/>
                      <w:color w:val="auto"/>
                      <w:szCs w:val="21"/>
                    </w:rPr>
                    <w:t>50</w:t>
                  </w:r>
                </w:p>
              </w:tc>
              <w:tc>
                <w:tcPr>
                  <w:tcW w:w="585" w:type="pct"/>
                  <w:vMerge w:val="continue"/>
                  <w:tcBorders>
                    <w:tl2br w:val="nil"/>
                    <w:tr2bl w:val="nil"/>
                  </w:tcBorders>
                  <w:vAlign w:val="center"/>
                </w:tcPr>
                <w:p w14:paraId="4CB6EDB8">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p>
              </w:tc>
              <w:tc>
                <w:tcPr>
                  <w:tcW w:w="647" w:type="pct"/>
                  <w:tcBorders>
                    <w:tl2br w:val="nil"/>
                    <w:tr2bl w:val="nil"/>
                  </w:tcBorders>
                  <w:vAlign w:val="center"/>
                </w:tcPr>
                <w:p w14:paraId="5AC3E79F">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80</w:t>
                  </w:r>
                </w:p>
              </w:tc>
              <w:tc>
                <w:tcPr>
                  <w:tcW w:w="764" w:type="pct"/>
                  <w:tcBorders>
                    <w:tl2br w:val="nil"/>
                    <w:tr2bl w:val="nil"/>
                  </w:tcBorders>
                  <w:vAlign w:val="center"/>
                </w:tcPr>
                <w:p w14:paraId="5C96B3DE">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0.0288</w:t>
                  </w:r>
                </w:p>
              </w:tc>
            </w:tr>
            <w:tr w14:paraId="248AA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6" w:type="pct"/>
                  <w:vMerge w:val="restart"/>
                  <w:tcBorders>
                    <w:tl2br w:val="nil"/>
                    <w:tr2bl w:val="nil"/>
                  </w:tcBorders>
                  <w:vAlign w:val="center"/>
                </w:tcPr>
                <w:p w14:paraId="4AEBCF1D">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综合生活污水</w:t>
                  </w:r>
                </w:p>
              </w:tc>
              <w:tc>
                <w:tcPr>
                  <w:tcW w:w="509" w:type="pct"/>
                  <w:tcBorders>
                    <w:tl2br w:val="nil"/>
                    <w:tr2bl w:val="nil"/>
                  </w:tcBorders>
                  <w:shd w:val="clear" w:color="auto" w:fill="auto"/>
                  <w:vAlign w:val="center"/>
                </w:tcPr>
                <w:p w14:paraId="7AE27F68">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COD</w:t>
                  </w:r>
                </w:p>
              </w:tc>
              <w:tc>
                <w:tcPr>
                  <w:tcW w:w="550" w:type="pct"/>
                  <w:vMerge w:val="restart"/>
                  <w:tcBorders>
                    <w:tl2br w:val="nil"/>
                    <w:tr2bl w:val="nil"/>
                  </w:tcBorders>
                  <w:vAlign w:val="center"/>
                </w:tcPr>
                <w:p w14:paraId="5141911F">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val="en-US" w:eastAsia="zh-CN"/>
                    </w:rPr>
                    <w:t>2280</w:t>
                  </w:r>
                </w:p>
              </w:tc>
              <w:tc>
                <w:tcPr>
                  <w:tcW w:w="576" w:type="pct"/>
                  <w:tcBorders>
                    <w:tl2br w:val="nil"/>
                    <w:tr2bl w:val="nil"/>
                  </w:tcBorders>
                  <w:shd w:val="clear" w:color="auto" w:fill="auto"/>
                  <w:vAlign w:val="center"/>
                </w:tcPr>
                <w:p w14:paraId="6768617D">
                  <w:pPr>
                    <w:keepNext w:val="0"/>
                    <w:keepLines w:val="0"/>
                    <w:pageBreakBefore w:val="0"/>
                    <w:widowControl/>
                    <w:kinsoku/>
                    <w:wordWrap/>
                    <w:overflowPunct/>
                    <w:topLinePunct w:val="0"/>
                    <w:autoSpaceDE/>
                    <w:autoSpaceDN/>
                    <w:bidi w:val="0"/>
                    <w:adjustRightInd w:val="0"/>
                    <w:snapToGrid w:val="0"/>
                    <w:ind w:firstLine="0"/>
                    <w:jc w:val="center"/>
                    <w:textAlignment w:val="auto"/>
                    <w:rPr>
                      <w:b w:val="0"/>
                      <w:bCs w:val="0"/>
                      <w:color w:val="auto"/>
                      <w:szCs w:val="21"/>
                    </w:rPr>
                  </w:pPr>
                  <w:r>
                    <w:rPr>
                      <w:rFonts w:hint="eastAsia"/>
                      <w:b w:val="0"/>
                      <w:bCs w:val="0"/>
                      <w:color w:val="auto"/>
                      <w:szCs w:val="21"/>
                    </w:rPr>
                    <w:t>350</w:t>
                  </w:r>
                </w:p>
              </w:tc>
              <w:tc>
                <w:tcPr>
                  <w:tcW w:w="540" w:type="pct"/>
                  <w:tcBorders>
                    <w:tl2br w:val="nil"/>
                    <w:tr2bl w:val="nil"/>
                  </w:tcBorders>
                  <w:vAlign w:val="center"/>
                </w:tcPr>
                <w:p w14:paraId="65C500CD">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0.798</w:t>
                  </w:r>
                </w:p>
              </w:tc>
              <w:tc>
                <w:tcPr>
                  <w:tcW w:w="293" w:type="pct"/>
                  <w:vMerge w:val="restart"/>
                  <w:tcBorders>
                    <w:tl2br w:val="nil"/>
                    <w:tr2bl w:val="nil"/>
                  </w:tcBorders>
                  <w:vAlign w:val="center"/>
                </w:tcPr>
                <w:p w14:paraId="27FE85C5">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r>
                    <w:rPr>
                      <w:rFonts w:hint="eastAsia"/>
                      <w:b w:val="0"/>
                      <w:bCs w:val="0"/>
                      <w:color w:val="auto"/>
                      <w:szCs w:val="21"/>
                    </w:rPr>
                    <w:t>隔油池+化粪池</w:t>
                  </w:r>
                </w:p>
              </w:tc>
              <w:tc>
                <w:tcPr>
                  <w:tcW w:w="336" w:type="pct"/>
                  <w:tcBorders>
                    <w:tl2br w:val="nil"/>
                    <w:tr2bl w:val="nil"/>
                  </w:tcBorders>
                  <w:shd w:val="clear" w:color="auto" w:fill="auto"/>
                  <w:vAlign w:val="center"/>
                </w:tcPr>
                <w:p w14:paraId="733C3D32">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20</w:t>
                  </w:r>
                </w:p>
              </w:tc>
              <w:tc>
                <w:tcPr>
                  <w:tcW w:w="585" w:type="pct"/>
                  <w:vMerge w:val="restart"/>
                  <w:tcBorders>
                    <w:tl2br w:val="nil"/>
                    <w:tr2bl w:val="nil"/>
                  </w:tcBorders>
                  <w:vAlign w:val="center"/>
                </w:tcPr>
                <w:p w14:paraId="1DF51409">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2280</w:t>
                  </w:r>
                </w:p>
              </w:tc>
              <w:tc>
                <w:tcPr>
                  <w:tcW w:w="647" w:type="pct"/>
                  <w:tcBorders>
                    <w:tl2br w:val="nil"/>
                    <w:tr2bl w:val="nil"/>
                  </w:tcBorders>
                  <w:shd w:val="clear" w:color="auto" w:fill="auto"/>
                  <w:vAlign w:val="center"/>
                </w:tcPr>
                <w:p w14:paraId="646FD24B">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280</w:t>
                  </w:r>
                </w:p>
              </w:tc>
              <w:tc>
                <w:tcPr>
                  <w:tcW w:w="764" w:type="pct"/>
                  <w:tcBorders>
                    <w:tl2br w:val="nil"/>
                    <w:tr2bl w:val="nil"/>
                  </w:tcBorders>
                  <w:vAlign w:val="center"/>
                </w:tcPr>
                <w:p w14:paraId="28F77E9F">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0.6384</w:t>
                  </w:r>
                </w:p>
              </w:tc>
            </w:tr>
            <w:tr w14:paraId="27D8DE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6" w:type="pct"/>
                  <w:vMerge w:val="continue"/>
                  <w:tcBorders>
                    <w:tl2br w:val="nil"/>
                    <w:tr2bl w:val="nil"/>
                  </w:tcBorders>
                  <w:vAlign w:val="center"/>
                </w:tcPr>
                <w:p w14:paraId="31603C15">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509" w:type="pct"/>
                  <w:tcBorders>
                    <w:tl2br w:val="nil"/>
                    <w:tr2bl w:val="nil"/>
                  </w:tcBorders>
                  <w:shd w:val="clear" w:color="auto" w:fill="auto"/>
                  <w:vAlign w:val="center"/>
                </w:tcPr>
                <w:p w14:paraId="60347EAE">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SS</w:t>
                  </w:r>
                </w:p>
              </w:tc>
              <w:tc>
                <w:tcPr>
                  <w:tcW w:w="550" w:type="pct"/>
                  <w:vMerge w:val="continue"/>
                  <w:tcBorders>
                    <w:tl2br w:val="nil"/>
                    <w:tr2bl w:val="nil"/>
                  </w:tcBorders>
                  <w:vAlign w:val="center"/>
                </w:tcPr>
                <w:p w14:paraId="00B09AF0">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576" w:type="pct"/>
                  <w:tcBorders>
                    <w:tl2br w:val="nil"/>
                    <w:tr2bl w:val="nil"/>
                  </w:tcBorders>
                  <w:shd w:val="clear" w:color="auto" w:fill="auto"/>
                  <w:vAlign w:val="center"/>
                </w:tcPr>
                <w:p w14:paraId="35A59EDE">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r>
                    <w:rPr>
                      <w:rFonts w:hint="eastAsia"/>
                      <w:b w:val="0"/>
                      <w:bCs w:val="0"/>
                      <w:color w:val="auto"/>
                      <w:szCs w:val="21"/>
                    </w:rPr>
                    <w:t>200</w:t>
                  </w:r>
                </w:p>
              </w:tc>
              <w:tc>
                <w:tcPr>
                  <w:tcW w:w="540" w:type="pct"/>
                  <w:tcBorders>
                    <w:tl2br w:val="nil"/>
                    <w:tr2bl w:val="nil"/>
                  </w:tcBorders>
                  <w:vAlign w:val="center"/>
                </w:tcPr>
                <w:p w14:paraId="03E175D1">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0.456</w:t>
                  </w:r>
                </w:p>
              </w:tc>
              <w:tc>
                <w:tcPr>
                  <w:tcW w:w="293" w:type="pct"/>
                  <w:vMerge w:val="continue"/>
                  <w:tcBorders>
                    <w:tl2br w:val="nil"/>
                    <w:tr2bl w:val="nil"/>
                  </w:tcBorders>
                  <w:vAlign w:val="center"/>
                </w:tcPr>
                <w:p w14:paraId="4AF36FD2">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p>
              </w:tc>
              <w:tc>
                <w:tcPr>
                  <w:tcW w:w="336" w:type="pct"/>
                  <w:tcBorders>
                    <w:tl2br w:val="nil"/>
                    <w:tr2bl w:val="nil"/>
                  </w:tcBorders>
                  <w:shd w:val="clear" w:color="auto" w:fill="auto"/>
                  <w:vAlign w:val="center"/>
                </w:tcPr>
                <w:p w14:paraId="61929A3F">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50</w:t>
                  </w:r>
                </w:p>
              </w:tc>
              <w:tc>
                <w:tcPr>
                  <w:tcW w:w="585" w:type="pct"/>
                  <w:vMerge w:val="continue"/>
                  <w:tcBorders>
                    <w:tl2br w:val="nil"/>
                    <w:tr2bl w:val="nil"/>
                  </w:tcBorders>
                  <w:vAlign w:val="center"/>
                </w:tcPr>
                <w:p w14:paraId="004A6F1B">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p>
              </w:tc>
              <w:tc>
                <w:tcPr>
                  <w:tcW w:w="647" w:type="pct"/>
                  <w:tcBorders>
                    <w:tl2br w:val="nil"/>
                    <w:tr2bl w:val="nil"/>
                  </w:tcBorders>
                  <w:shd w:val="clear" w:color="auto" w:fill="auto"/>
                  <w:vAlign w:val="center"/>
                </w:tcPr>
                <w:p w14:paraId="7E23CCEA">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100</w:t>
                  </w:r>
                </w:p>
              </w:tc>
              <w:tc>
                <w:tcPr>
                  <w:tcW w:w="764" w:type="pct"/>
                  <w:tcBorders>
                    <w:tl2br w:val="nil"/>
                    <w:tr2bl w:val="nil"/>
                  </w:tcBorders>
                  <w:vAlign w:val="center"/>
                </w:tcPr>
                <w:p w14:paraId="25AEA41A">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0.228</w:t>
                  </w:r>
                </w:p>
              </w:tc>
            </w:tr>
            <w:tr w14:paraId="29DE94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6" w:type="pct"/>
                  <w:vMerge w:val="continue"/>
                  <w:tcBorders>
                    <w:tl2br w:val="nil"/>
                    <w:tr2bl w:val="nil"/>
                  </w:tcBorders>
                  <w:vAlign w:val="center"/>
                </w:tcPr>
                <w:p w14:paraId="3A14D11B">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509" w:type="pct"/>
                  <w:tcBorders>
                    <w:tl2br w:val="nil"/>
                    <w:tr2bl w:val="nil"/>
                  </w:tcBorders>
                  <w:shd w:val="clear" w:color="auto" w:fill="auto"/>
                  <w:vAlign w:val="center"/>
                </w:tcPr>
                <w:p w14:paraId="1BB7A6F2">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NH</w:t>
                  </w:r>
                  <w:r>
                    <w:rPr>
                      <w:color w:val="auto"/>
                      <w:szCs w:val="21"/>
                      <w:vertAlign w:val="subscript"/>
                    </w:rPr>
                    <w:t>3</w:t>
                  </w:r>
                  <w:r>
                    <w:rPr>
                      <w:color w:val="auto"/>
                      <w:szCs w:val="21"/>
                    </w:rPr>
                    <w:t>-N</w:t>
                  </w:r>
                </w:p>
              </w:tc>
              <w:tc>
                <w:tcPr>
                  <w:tcW w:w="550" w:type="pct"/>
                  <w:vMerge w:val="continue"/>
                  <w:tcBorders>
                    <w:tl2br w:val="nil"/>
                    <w:tr2bl w:val="nil"/>
                  </w:tcBorders>
                  <w:vAlign w:val="center"/>
                </w:tcPr>
                <w:p w14:paraId="0664F7F5">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576" w:type="pct"/>
                  <w:tcBorders>
                    <w:tl2br w:val="nil"/>
                    <w:tr2bl w:val="nil"/>
                  </w:tcBorders>
                  <w:shd w:val="clear" w:color="auto" w:fill="auto"/>
                  <w:vAlign w:val="center"/>
                </w:tcPr>
                <w:p w14:paraId="249F5E81">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r>
                    <w:rPr>
                      <w:rFonts w:hint="eastAsia"/>
                      <w:b w:val="0"/>
                      <w:bCs w:val="0"/>
                      <w:color w:val="auto"/>
                      <w:szCs w:val="21"/>
                    </w:rPr>
                    <w:t>30</w:t>
                  </w:r>
                </w:p>
              </w:tc>
              <w:tc>
                <w:tcPr>
                  <w:tcW w:w="540" w:type="pct"/>
                  <w:tcBorders>
                    <w:tl2br w:val="nil"/>
                    <w:tr2bl w:val="nil"/>
                  </w:tcBorders>
                  <w:vAlign w:val="center"/>
                </w:tcPr>
                <w:p w14:paraId="56DCB776">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0.0684</w:t>
                  </w:r>
                </w:p>
              </w:tc>
              <w:tc>
                <w:tcPr>
                  <w:tcW w:w="293" w:type="pct"/>
                  <w:vMerge w:val="continue"/>
                  <w:tcBorders>
                    <w:tl2br w:val="nil"/>
                    <w:tr2bl w:val="nil"/>
                  </w:tcBorders>
                  <w:vAlign w:val="center"/>
                </w:tcPr>
                <w:p w14:paraId="69E9D630">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p>
              </w:tc>
              <w:tc>
                <w:tcPr>
                  <w:tcW w:w="336" w:type="pct"/>
                  <w:tcBorders>
                    <w:tl2br w:val="nil"/>
                    <w:tr2bl w:val="nil"/>
                  </w:tcBorders>
                  <w:shd w:val="clear" w:color="auto" w:fill="auto"/>
                  <w:vAlign w:val="center"/>
                </w:tcPr>
                <w:p w14:paraId="67BF7BB5">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b w:val="0"/>
                      <w:bCs w:val="0"/>
                      <w:color w:val="auto"/>
                      <w:szCs w:val="21"/>
                      <w:lang w:val="en-US" w:eastAsia="zh-CN"/>
                    </w:rPr>
                  </w:pPr>
                  <w:r>
                    <w:rPr>
                      <w:rFonts w:hint="eastAsia"/>
                      <w:b w:val="0"/>
                      <w:bCs w:val="0"/>
                      <w:color w:val="auto"/>
                      <w:szCs w:val="21"/>
                      <w:lang w:val="en-US" w:eastAsia="zh-CN"/>
                    </w:rPr>
                    <w:t>0</w:t>
                  </w:r>
                </w:p>
              </w:tc>
              <w:tc>
                <w:tcPr>
                  <w:tcW w:w="585" w:type="pct"/>
                  <w:vMerge w:val="continue"/>
                  <w:tcBorders>
                    <w:tl2br w:val="nil"/>
                    <w:tr2bl w:val="nil"/>
                  </w:tcBorders>
                  <w:vAlign w:val="center"/>
                </w:tcPr>
                <w:p w14:paraId="5A2E8E21">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p>
              </w:tc>
              <w:tc>
                <w:tcPr>
                  <w:tcW w:w="647" w:type="pct"/>
                  <w:tcBorders>
                    <w:tl2br w:val="nil"/>
                    <w:tr2bl w:val="nil"/>
                  </w:tcBorders>
                  <w:shd w:val="clear" w:color="auto" w:fill="auto"/>
                  <w:vAlign w:val="center"/>
                </w:tcPr>
                <w:p w14:paraId="08EB05CF">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30</w:t>
                  </w:r>
                </w:p>
              </w:tc>
              <w:tc>
                <w:tcPr>
                  <w:tcW w:w="764" w:type="pct"/>
                  <w:tcBorders>
                    <w:tl2br w:val="nil"/>
                    <w:tr2bl w:val="nil"/>
                  </w:tcBorders>
                  <w:shd w:val="clear" w:color="auto" w:fill="auto"/>
                  <w:vAlign w:val="center"/>
                </w:tcPr>
                <w:p w14:paraId="7DDB3D2F">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0.0684</w:t>
                  </w:r>
                </w:p>
              </w:tc>
            </w:tr>
            <w:tr w14:paraId="7B4995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6" w:type="pct"/>
                  <w:vMerge w:val="continue"/>
                  <w:tcBorders>
                    <w:tl2br w:val="nil"/>
                    <w:tr2bl w:val="nil"/>
                  </w:tcBorders>
                  <w:vAlign w:val="center"/>
                </w:tcPr>
                <w:p w14:paraId="480CD79C">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509" w:type="pct"/>
                  <w:tcBorders>
                    <w:tl2br w:val="nil"/>
                    <w:tr2bl w:val="nil"/>
                  </w:tcBorders>
                  <w:shd w:val="clear" w:color="auto" w:fill="auto"/>
                  <w:vAlign w:val="center"/>
                </w:tcPr>
                <w:p w14:paraId="0D3BF18C">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TN</w:t>
                  </w:r>
                </w:p>
              </w:tc>
              <w:tc>
                <w:tcPr>
                  <w:tcW w:w="550" w:type="pct"/>
                  <w:vMerge w:val="continue"/>
                  <w:tcBorders>
                    <w:tl2br w:val="nil"/>
                    <w:tr2bl w:val="nil"/>
                  </w:tcBorders>
                  <w:vAlign w:val="center"/>
                </w:tcPr>
                <w:p w14:paraId="4E5AA7BD">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576" w:type="pct"/>
                  <w:tcBorders>
                    <w:tl2br w:val="nil"/>
                    <w:tr2bl w:val="nil"/>
                  </w:tcBorders>
                  <w:shd w:val="clear" w:color="auto" w:fill="auto"/>
                  <w:vAlign w:val="center"/>
                </w:tcPr>
                <w:p w14:paraId="0EFE773D">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35</w:t>
                  </w:r>
                </w:p>
              </w:tc>
              <w:tc>
                <w:tcPr>
                  <w:tcW w:w="540" w:type="pct"/>
                  <w:tcBorders>
                    <w:tl2br w:val="nil"/>
                    <w:tr2bl w:val="nil"/>
                  </w:tcBorders>
                  <w:vAlign w:val="center"/>
                </w:tcPr>
                <w:p w14:paraId="2C3FD67B">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0.0798</w:t>
                  </w:r>
                </w:p>
              </w:tc>
              <w:tc>
                <w:tcPr>
                  <w:tcW w:w="293" w:type="pct"/>
                  <w:vMerge w:val="continue"/>
                  <w:tcBorders>
                    <w:tl2br w:val="nil"/>
                    <w:tr2bl w:val="nil"/>
                  </w:tcBorders>
                  <w:vAlign w:val="center"/>
                </w:tcPr>
                <w:p w14:paraId="61A71313">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p>
              </w:tc>
              <w:tc>
                <w:tcPr>
                  <w:tcW w:w="336" w:type="pct"/>
                  <w:tcBorders>
                    <w:tl2br w:val="nil"/>
                    <w:tr2bl w:val="nil"/>
                  </w:tcBorders>
                  <w:shd w:val="clear" w:color="auto" w:fill="auto"/>
                  <w:vAlign w:val="center"/>
                </w:tcPr>
                <w:p w14:paraId="68700889">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b w:val="0"/>
                      <w:bCs w:val="0"/>
                      <w:color w:val="auto"/>
                      <w:szCs w:val="21"/>
                      <w:lang w:val="en-US" w:eastAsia="zh-CN"/>
                    </w:rPr>
                  </w:pPr>
                  <w:r>
                    <w:rPr>
                      <w:rFonts w:hint="eastAsia"/>
                      <w:b w:val="0"/>
                      <w:bCs w:val="0"/>
                      <w:color w:val="auto"/>
                      <w:szCs w:val="21"/>
                      <w:lang w:val="en-US" w:eastAsia="zh-CN"/>
                    </w:rPr>
                    <w:t>0</w:t>
                  </w:r>
                </w:p>
              </w:tc>
              <w:tc>
                <w:tcPr>
                  <w:tcW w:w="585" w:type="pct"/>
                  <w:vMerge w:val="continue"/>
                  <w:tcBorders>
                    <w:tl2br w:val="nil"/>
                    <w:tr2bl w:val="nil"/>
                  </w:tcBorders>
                  <w:vAlign w:val="center"/>
                </w:tcPr>
                <w:p w14:paraId="5AC88F09">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p>
              </w:tc>
              <w:tc>
                <w:tcPr>
                  <w:tcW w:w="647" w:type="pct"/>
                  <w:tcBorders>
                    <w:tl2br w:val="nil"/>
                    <w:tr2bl w:val="nil"/>
                  </w:tcBorders>
                  <w:shd w:val="clear" w:color="auto" w:fill="auto"/>
                  <w:vAlign w:val="center"/>
                </w:tcPr>
                <w:p w14:paraId="29DF1098">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35</w:t>
                  </w:r>
                </w:p>
              </w:tc>
              <w:tc>
                <w:tcPr>
                  <w:tcW w:w="764" w:type="pct"/>
                  <w:tcBorders>
                    <w:tl2br w:val="nil"/>
                    <w:tr2bl w:val="nil"/>
                  </w:tcBorders>
                  <w:shd w:val="clear" w:color="auto" w:fill="auto"/>
                  <w:vAlign w:val="center"/>
                </w:tcPr>
                <w:p w14:paraId="4DDD8BF0">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0.0798</w:t>
                  </w:r>
                </w:p>
              </w:tc>
            </w:tr>
            <w:tr w14:paraId="363D25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6" w:type="pct"/>
                  <w:vMerge w:val="continue"/>
                  <w:tcBorders>
                    <w:tl2br w:val="nil"/>
                    <w:tr2bl w:val="nil"/>
                  </w:tcBorders>
                  <w:vAlign w:val="center"/>
                </w:tcPr>
                <w:p w14:paraId="70A72015">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509" w:type="pct"/>
                  <w:tcBorders>
                    <w:tl2br w:val="nil"/>
                    <w:tr2bl w:val="nil"/>
                  </w:tcBorders>
                  <w:shd w:val="clear" w:color="auto" w:fill="auto"/>
                  <w:vAlign w:val="center"/>
                </w:tcPr>
                <w:p w14:paraId="4D16D401">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TP</w:t>
                  </w:r>
                </w:p>
              </w:tc>
              <w:tc>
                <w:tcPr>
                  <w:tcW w:w="550" w:type="pct"/>
                  <w:vMerge w:val="continue"/>
                  <w:tcBorders>
                    <w:tl2br w:val="nil"/>
                    <w:tr2bl w:val="nil"/>
                  </w:tcBorders>
                  <w:vAlign w:val="center"/>
                </w:tcPr>
                <w:p w14:paraId="60890804">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576" w:type="pct"/>
                  <w:tcBorders>
                    <w:tl2br w:val="nil"/>
                    <w:tr2bl w:val="nil"/>
                  </w:tcBorders>
                  <w:shd w:val="clear" w:color="auto" w:fill="auto"/>
                  <w:vAlign w:val="center"/>
                </w:tcPr>
                <w:p w14:paraId="57D68DE8">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r>
                    <w:rPr>
                      <w:rFonts w:hint="eastAsia"/>
                      <w:b w:val="0"/>
                      <w:bCs w:val="0"/>
                      <w:color w:val="auto"/>
                      <w:szCs w:val="21"/>
                    </w:rPr>
                    <w:t>4</w:t>
                  </w:r>
                </w:p>
              </w:tc>
              <w:tc>
                <w:tcPr>
                  <w:tcW w:w="540" w:type="pct"/>
                  <w:tcBorders>
                    <w:tl2br w:val="nil"/>
                    <w:tr2bl w:val="nil"/>
                  </w:tcBorders>
                  <w:vAlign w:val="center"/>
                </w:tcPr>
                <w:p w14:paraId="2C93C378">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0.00912</w:t>
                  </w:r>
                </w:p>
              </w:tc>
              <w:tc>
                <w:tcPr>
                  <w:tcW w:w="293" w:type="pct"/>
                  <w:vMerge w:val="continue"/>
                  <w:tcBorders>
                    <w:tl2br w:val="nil"/>
                    <w:tr2bl w:val="nil"/>
                  </w:tcBorders>
                  <w:vAlign w:val="center"/>
                </w:tcPr>
                <w:p w14:paraId="4B56A951">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p>
              </w:tc>
              <w:tc>
                <w:tcPr>
                  <w:tcW w:w="336" w:type="pct"/>
                  <w:tcBorders>
                    <w:tl2br w:val="nil"/>
                    <w:tr2bl w:val="nil"/>
                  </w:tcBorders>
                  <w:shd w:val="clear" w:color="auto" w:fill="auto"/>
                  <w:vAlign w:val="center"/>
                </w:tcPr>
                <w:p w14:paraId="26667F3A">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b w:val="0"/>
                      <w:bCs w:val="0"/>
                      <w:color w:val="auto"/>
                      <w:szCs w:val="21"/>
                      <w:lang w:val="en-US" w:eastAsia="zh-CN"/>
                    </w:rPr>
                  </w:pPr>
                  <w:r>
                    <w:rPr>
                      <w:rFonts w:hint="eastAsia"/>
                      <w:b w:val="0"/>
                      <w:bCs w:val="0"/>
                      <w:color w:val="auto"/>
                      <w:szCs w:val="21"/>
                      <w:lang w:val="en-US" w:eastAsia="zh-CN"/>
                    </w:rPr>
                    <w:t>0</w:t>
                  </w:r>
                </w:p>
              </w:tc>
              <w:tc>
                <w:tcPr>
                  <w:tcW w:w="585" w:type="pct"/>
                  <w:vMerge w:val="continue"/>
                  <w:tcBorders>
                    <w:tl2br w:val="nil"/>
                    <w:tr2bl w:val="nil"/>
                  </w:tcBorders>
                  <w:vAlign w:val="center"/>
                </w:tcPr>
                <w:p w14:paraId="6E051C71">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p>
              </w:tc>
              <w:tc>
                <w:tcPr>
                  <w:tcW w:w="647" w:type="pct"/>
                  <w:tcBorders>
                    <w:tl2br w:val="nil"/>
                    <w:tr2bl w:val="nil"/>
                  </w:tcBorders>
                  <w:shd w:val="clear" w:color="auto" w:fill="auto"/>
                  <w:vAlign w:val="center"/>
                </w:tcPr>
                <w:p w14:paraId="2935D60F">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b w:val="0"/>
                      <w:bCs w:val="0"/>
                      <w:color w:val="auto"/>
                      <w:szCs w:val="21"/>
                      <w:lang w:val="en-US" w:eastAsia="zh-CN"/>
                    </w:rPr>
                  </w:pPr>
                  <w:r>
                    <w:rPr>
                      <w:rFonts w:hint="eastAsia"/>
                      <w:b w:val="0"/>
                      <w:bCs w:val="0"/>
                      <w:color w:val="auto"/>
                      <w:szCs w:val="21"/>
                      <w:lang w:val="en-US" w:eastAsia="zh-CN"/>
                    </w:rPr>
                    <w:t>4</w:t>
                  </w:r>
                </w:p>
              </w:tc>
              <w:tc>
                <w:tcPr>
                  <w:tcW w:w="764" w:type="pct"/>
                  <w:tcBorders>
                    <w:tl2br w:val="nil"/>
                    <w:tr2bl w:val="nil"/>
                  </w:tcBorders>
                  <w:shd w:val="clear" w:color="auto" w:fill="auto"/>
                  <w:vAlign w:val="center"/>
                </w:tcPr>
                <w:p w14:paraId="5BF9773B">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0.00912</w:t>
                  </w:r>
                </w:p>
              </w:tc>
            </w:tr>
            <w:tr w14:paraId="161B5D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6" w:type="pct"/>
                  <w:vMerge w:val="continue"/>
                  <w:tcBorders>
                    <w:tl2br w:val="nil"/>
                    <w:tr2bl w:val="nil"/>
                  </w:tcBorders>
                  <w:vAlign w:val="center"/>
                </w:tcPr>
                <w:p w14:paraId="4D053A54">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509" w:type="pct"/>
                  <w:tcBorders>
                    <w:tl2br w:val="nil"/>
                    <w:tr2bl w:val="nil"/>
                  </w:tcBorders>
                  <w:shd w:val="clear" w:color="auto" w:fill="auto"/>
                  <w:vAlign w:val="center"/>
                </w:tcPr>
                <w:p w14:paraId="2189038D">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动植物油</w:t>
                  </w:r>
                </w:p>
              </w:tc>
              <w:tc>
                <w:tcPr>
                  <w:tcW w:w="550" w:type="pct"/>
                  <w:vMerge w:val="continue"/>
                  <w:tcBorders>
                    <w:tl2br w:val="nil"/>
                    <w:tr2bl w:val="nil"/>
                  </w:tcBorders>
                  <w:vAlign w:val="center"/>
                </w:tcPr>
                <w:p w14:paraId="0B0C545A">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576" w:type="pct"/>
                  <w:tcBorders>
                    <w:tl2br w:val="nil"/>
                    <w:tr2bl w:val="nil"/>
                  </w:tcBorders>
                  <w:vAlign w:val="center"/>
                </w:tcPr>
                <w:p w14:paraId="59A05262">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25.3</w:t>
                  </w:r>
                </w:p>
              </w:tc>
              <w:tc>
                <w:tcPr>
                  <w:tcW w:w="540" w:type="pct"/>
                  <w:tcBorders>
                    <w:tl2br w:val="nil"/>
                    <w:tr2bl w:val="nil"/>
                  </w:tcBorders>
                  <w:vAlign w:val="center"/>
                </w:tcPr>
                <w:p w14:paraId="0264CC31">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0.0576</w:t>
                  </w:r>
                </w:p>
              </w:tc>
              <w:tc>
                <w:tcPr>
                  <w:tcW w:w="293" w:type="pct"/>
                  <w:vMerge w:val="continue"/>
                  <w:tcBorders>
                    <w:tl2br w:val="nil"/>
                    <w:tr2bl w:val="nil"/>
                  </w:tcBorders>
                  <w:vAlign w:val="center"/>
                </w:tcPr>
                <w:p w14:paraId="0BC41982">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p>
              </w:tc>
              <w:tc>
                <w:tcPr>
                  <w:tcW w:w="336" w:type="pct"/>
                  <w:tcBorders>
                    <w:tl2br w:val="nil"/>
                    <w:tr2bl w:val="nil"/>
                  </w:tcBorders>
                  <w:vAlign w:val="center"/>
                </w:tcPr>
                <w:p w14:paraId="0C77AEB5">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50</w:t>
                  </w:r>
                </w:p>
              </w:tc>
              <w:tc>
                <w:tcPr>
                  <w:tcW w:w="585" w:type="pct"/>
                  <w:vMerge w:val="continue"/>
                  <w:tcBorders>
                    <w:tl2br w:val="nil"/>
                    <w:tr2bl w:val="nil"/>
                  </w:tcBorders>
                  <w:vAlign w:val="center"/>
                </w:tcPr>
                <w:p w14:paraId="4375229C">
                  <w:pPr>
                    <w:keepNext w:val="0"/>
                    <w:keepLines w:val="0"/>
                    <w:pageBreakBefore w:val="0"/>
                    <w:kinsoku/>
                    <w:wordWrap/>
                    <w:overflowPunct/>
                    <w:topLinePunct w:val="0"/>
                    <w:autoSpaceDE/>
                    <w:autoSpaceDN/>
                    <w:bidi w:val="0"/>
                    <w:adjustRightInd w:val="0"/>
                    <w:snapToGrid w:val="0"/>
                    <w:ind w:firstLine="0"/>
                    <w:jc w:val="center"/>
                    <w:textAlignment w:val="auto"/>
                    <w:rPr>
                      <w:b w:val="0"/>
                      <w:bCs w:val="0"/>
                      <w:color w:val="auto"/>
                      <w:szCs w:val="21"/>
                    </w:rPr>
                  </w:pPr>
                </w:p>
              </w:tc>
              <w:tc>
                <w:tcPr>
                  <w:tcW w:w="647" w:type="pct"/>
                  <w:tcBorders>
                    <w:tl2br w:val="nil"/>
                    <w:tr2bl w:val="nil"/>
                  </w:tcBorders>
                  <w:shd w:val="clear" w:color="auto" w:fill="auto"/>
                  <w:vAlign w:val="center"/>
                </w:tcPr>
                <w:p w14:paraId="3600892F">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12.6</w:t>
                  </w:r>
                </w:p>
              </w:tc>
              <w:tc>
                <w:tcPr>
                  <w:tcW w:w="764" w:type="pct"/>
                  <w:tcBorders>
                    <w:tl2br w:val="nil"/>
                    <w:tr2bl w:val="nil"/>
                  </w:tcBorders>
                  <w:vAlign w:val="center"/>
                </w:tcPr>
                <w:p w14:paraId="671D3B3F">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eastAsia="宋体"/>
                      <w:b w:val="0"/>
                      <w:bCs w:val="0"/>
                      <w:color w:val="auto"/>
                      <w:szCs w:val="21"/>
                      <w:lang w:val="en-US" w:eastAsia="zh-CN"/>
                    </w:rPr>
                  </w:pPr>
                  <w:r>
                    <w:rPr>
                      <w:rFonts w:hint="eastAsia"/>
                      <w:b w:val="0"/>
                      <w:bCs w:val="0"/>
                      <w:color w:val="auto"/>
                      <w:szCs w:val="21"/>
                      <w:lang w:val="en-US" w:eastAsia="zh-CN"/>
                    </w:rPr>
                    <w:t>0.0288</w:t>
                  </w:r>
                </w:p>
              </w:tc>
            </w:tr>
          </w:tbl>
          <w:p w14:paraId="1DA1B8F8">
            <w:pPr>
              <w:adjustRightInd w:val="0"/>
              <w:snapToGrid w:val="0"/>
              <w:spacing w:before="120" w:beforeLines="50"/>
              <w:ind w:firstLine="482" w:firstLineChars="200"/>
              <w:jc w:val="center"/>
              <w:rPr>
                <w:b/>
                <w:color w:val="auto"/>
                <w:sz w:val="24"/>
              </w:rPr>
            </w:pPr>
            <w:r>
              <w:rPr>
                <w:b/>
                <w:color w:val="auto"/>
                <w:sz w:val="24"/>
              </w:rPr>
              <w:t>表4-</w:t>
            </w:r>
            <w:r>
              <w:rPr>
                <w:rFonts w:hint="eastAsia"/>
                <w:b/>
                <w:color w:val="auto"/>
                <w:sz w:val="24"/>
              </w:rPr>
              <w:t>1</w:t>
            </w:r>
            <w:r>
              <w:rPr>
                <w:rFonts w:hint="eastAsia"/>
                <w:b/>
                <w:color w:val="auto"/>
                <w:sz w:val="24"/>
                <w:lang w:val="en-US" w:eastAsia="zh-CN"/>
              </w:rPr>
              <w:t>4</w:t>
            </w:r>
            <w:r>
              <w:rPr>
                <w:rFonts w:hint="eastAsia" w:hAnsi="宋体"/>
                <w:b/>
                <w:color w:val="auto"/>
                <w:sz w:val="24"/>
                <w:szCs w:val="21"/>
                <w:lang w:bidi="ar"/>
              </w:rPr>
              <w:t>废水类别、污染物及污染治理设施信息表</w:t>
            </w:r>
          </w:p>
          <w:tbl>
            <w:tblPr>
              <w:tblStyle w:val="88"/>
              <w:tblW w:w="4998" w:type="pct"/>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50"/>
              <w:gridCol w:w="940"/>
              <w:gridCol w:w="912"/>
              <w:gridCol w:w="709"/>
              <w:gridCol w:w="582"/>
              <w:gridCol w:w="633"/>
              <w:gridCol w:w="567"/>
              <w:gridCol w:w="1030"/>
              <w:gridCol w:w="671"/>
              <w:gridCol w:w="568"/>
              <w:gridCol w:w="857"/>
              <w:gridCol w:w="337"/>
            </w:tblGrid>
            <w:tr w14:paraId="270A3CD1">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84" w:type="pct"/>
                  <w:vMerge w:val="restart"/>
                  <w:tcBorders>
                    <w:top w:val="single" w:color="auto" w:sz="12" w:space="0"/>
                    <w:left w:val="nil"/>
                    <w:bottom w:val="single" w:color="auto" w:sz="6" w:space="0"/>
                    <w:right w:val="single" w:color="auto" w:sz="6" w:space="0"/>
                  </w:tcBorders>
                  <w:shd w:val="clear" w:color="auto" w:fill="auto"/>
                  <w:vAlign w:val="center"/>
                </w:tcPr>
                <w:p w14:paraId="0B3E3C89">
                  <w:pPr>
                    <w:pStyle w:val="81"/>
                    <w:keepNext w:val="0"/>
                    <w:keepLines w:val="0"/>
                    <w:pageBreakBefore w:val="0"/>
                    <w:kinsoku/>
                    <w:wordWrap/>
                    <w:overflowPunct/>
                    <w:topLinePunct w:val="0"/>
                    <w:autoSpaceDE/>
                    <w:autoSpaceDN/>
                    <w:bidi w:val="0"/>
                    <w:adjustRightInd w:val="0"/>
                    <w:snapToGrid w:val="0"/>
                    <w:spacing w:before="0" w:beforeAutospacing="0" w:after="0" w:afterAutospacing="0"/>
                    <w:ind w:left="-105" w:leftChars="-50" w:right="-105" w:rightChars="-50" w:firstLine="0"/>
                    <w:jc w:val="center"/>
                    <w:textAlignment w:val="auto"/>
                    <w:rPr>
                      <w:rFonts w:ascii="Times New Roman" w:hAnsi="Times New Roman"/>
                      <w:color w:val="auto"/>
                      <w:sz w:val="21"/>
                      <w:szCs w:val="21"/>
                    </w:rPr>
                  </w:pPr>
                  <w:r>
                    <w:rPr>
                      <w:rFonts w:hint="eastAsia" w:ascii="Times New Roman" w:cs="宋体"/>
                      <w:color w:val="auto"/>
                      <w:sz w:val="21"/>
                      <w:szCs w:val="21"/>
                    </w:rPr>
                    <w:t>废水</w:t>
                  </w:r>
                </w:p>
                <w:p w14:paraId="59468892">
                  <w:pPr>
                    <w:pStyle w:val="81"/>
                    <w:keepNext w:val="0"/>
                    <w:keepLines w:val="0"/>
                    <w:pageBreakBefore w:val="0"/>
                    <w:kinsoku/>
                    <w:wordWrap/>
                    <w:overflowPunct/>
                    <w:topLinePunct w:val="0"/>
                    <w:autoSpaceDE/>
                    <w:autoSpaceDN/>
                    <w:bidi w:val="0"/>
                    <w:adjustRightInd w:val="0"/>
                    <w:snapToGrid w:val="0"/>
                    <w:spacing w:before="0" w:beforeAutospacing="0" w:after="0" w:afterAutospacing="0"/>
                    <w:ind w:left="-105" w:leftChars="-50" w:right="-105" w:rightChars="-50" w:firstLine="0"/>
                    <w:jc w:val="center"/>
                    <w:textAlignment w:val="auto"/>
                    <w:rPr>
                      <w:rFonts w:ascii="Times New Roman" w:hAnsi="Times New Roman"/>
                      <w:color w:val="auto"/>
                      <w:sz w:val="21"/>
                      <w:szCs w:val="21"/>
                    </w:rPr>
                  </w:pPr>
                  <w:r>
                    <w:rPr>
                      <w:rFonts w:hint="eastAsia" w:ascii="Times New Roman" w:cs="宋体"/>
                      <w:color w:val="auto"/>
                      <w:sz w:val="21"/>
                      <w:szCs w:val="21"/>
                    </w:rPr>
                    <w:t>类别</w:t>
                  </w:r>
                </w:p>
              </w:tc>
              <w:tc>
                <w:tcPr>
                  <w:tcW w:w="555" w:type="pct"/>
                  <w:vMerge w:val="restart"/>
                  <w:tcBorders>
                    <w:top w:val="single" w:color="auto" w:sz="12" w:space="0"/>
                    <w:left w:val="single" w:color="auto" w:sz="6" w:space="0"/>
                    <w:bottom w:val="single" w:color="auto" w:sz="6" w:space="0"/>
                    <w:right w:val="single" w:color="auto" w:sz="6" w:space="0"/>
                  </w:tcBorders>
                  <w:shd w:val="clear" w:color="auto" w:fill="auto"/>
                  <w:vAlign w:val="center"/>
                </w:tcPr>
                <w:p w14:paraId="0CDF3915">
                  <w:pPr>
                    <w:pStyle w:val="81"/>
                    <w:keepNext w:val="0"/>
                    <w:keepLines w:val="0"/>
                    <w:pageBreakBefore w:val="0"/>
                    <w:kinsoku/>
                    <w:wordWrap/>
                    <w:overflowPunct/>
                    <w:topLinePunct w:val="0"/>
                    <w:autoSpaceDE/>
                    <w:autoSpaceDN/>
                    <w:bidi w:val="0"/>
                    <w:adjustRightInd w:val="0"/>
                    <w:snapToGrid w:val="0"/>
                    <w:spacing w:before="0" w:beforeAutospacing="0" w:after="0" w:afterAutospacing="0"/>
                    <w:ind w:left="-105" w:leftChars="-50" w:right="-105" w:rightChars="-50" w:firstLine="0"/>
                    <w:jc w:val="center"/>
                    <w:textAlignment w:val="auto"/>
                    <w:rPr>
                      <w:rFonts w:ascii="Times New Roman" w:hAnsi="Times New Roman"/>
                      <w:color w:val="auto"/>
                      <w:sz w:val="21"/>
                      <w:szCs w:val="21"/>
                    </w:rPr>
                  </w:pPr>
                  <w:r>
                    <w:rPr>
                      <w:rFonts w:hint="eastAsia" w:ascii="Times New Roman" w:cs="宋体"/>
                      <w:color w:val="auto"/>
                      <w:sz w:val="21"/>
                      <w:szCs w:val="21"/>
                    </w:rPr>
                    <w:t>污染物种类</w:t>
                  </w:r>
                </w:p>
              </w:tc>
              <w:tc>
                <w:tcPr>
                  <w:tcW w:w="1674" w:type="pct"/>
                  <w:gridSpan w:val="4"/>
                  <w:tcBorders>
                    <w:top w:val="single" w:color="auto" w:sz="12" w:space="0"/>
                    <w:left w:val="single" w:color="auto" w:sz="6" w:space="0"/>
                    <w:bottom w:val="single" w:color="auto" w:sz="6" w:space="0"/>
                    <w:right w:val="single" w:color="auto" w:sz="6" w:space="0"/>
                  </w:tcBorders>
                  <w:shd w:val="clear" w:color="auto" w:fill="auto"/>
                  <w:vAlign w:val="center"/>
                </w:tcPr>
                <w:p w14:paraId="10AFB604">
                  <w:pPr>
                    <w:pStyle w:val="81"/>
                    <w:keepNext w:val="0"/>
                    <w:keepLines w:val="0"/>
                    <w:pageBreakBefore w:val="0"/>
                    <w:kinsoku/>
                    <w:wordWrap/>
                    <w:overflowPunct/>
                    <w:topLinePunct w:val="0"/>
                    <w:autoSpaceDE/>
                    <w:autoSpaceDN/>
                    <w:bidi w:val="0"/>
                    <w:adjustRightInd w:val="0"/>
                    <w:snapToGrid w:val="0"/>
                    <w:spacing w:before="0" w:beforeAutospacing="0" w:after="0" w:afterAutospacing="0"/>
                    <w:ind w:left="-105" w:leftChars="-50" w:right="-105" w:rightChars="-50" w:firstLine="0"/>
                    <w:jc w:val="center"/>
                    <w:textAlignment w:val="auto"/>
                    <w:rPr>
                      <w:rFonts w:ascii="Times New Roman" w:hAnsi="Times New Roman"/>
                      <w:color w:val="auto"/>
                      <w:sz w:val="21"/>
                      <w:szCs w:val="21"/>
                    </w:rPr>
                  </w:pPr>
                  <w:r>
                    <w:rPr>
                      <w:rFonts w:hint="eastAsia" w:ascii="Times New Roman" w:cs="宋体"/>
                      <w:color w:val="auto"/>
                      <w:sz w:val="21"/>
                      <w:szCs w:val="21"/>
                    </w:rPr>
                    <w:t>污染治理设施情况</w:t>
                  </w:r>
                </w:p>
              </w:tc>
              <w:tc>
                <w:tcPr>
                  <w:tcW w:w="335" w:type="pct"/>
                  <w:vMerge w:val="restart"/>
                  <w:tcBorders>
                    <w:top w:val="single" w:color="auto" w:sz="12" w:space="0"/>
                    <w:left w:val="single" w:color="auto" w:sz="6" w:space="0"/>
                    <w:bottom w:val="single" w:color="auto" w:sz="6" w:space="0"/>
                    <w:right w:val="single" w:color="auto" w:sz="6" w:space="0"/>
                  </w:tcBorders>
                  <w:shd w:val="clear" w:color="auto" w:fill="auto"/>
                  <w:vAlign w:val="center"/>
                </w:tcPr>
                <w:p w14:paraId="7B790D7B">
                  <w:pPr>
                    <w:pStyle w:val="81"/>
                    <w:keepNext w:val="0"/>
                    <w:keepLines w:val="0"/>
                    <w:pageBreakBefore w:val="0"/>
                    <w:kinsoku/>
                    <w:wordWrap/>
                    <w:overflowPunct/>
                    <w:topLinePunct w:val="0"/>
                    <w:autoSpaceDE/>
                    <w:autoSpaceDN/>
                    <w:bidi w:val="0"/>
                    <w:adjustRightInd w:val="0"/>
                    <w:snapToGrid w:val="0"/>
                    <w:spacing w:before="0" w:beforeAutospacing="0" w:after="0" w:afterAutospacing="0"/>
                    <w:ind w:left="-105" w:leftChars="-50" w:right="-105" w:rightChars="-50" w:firstLine="0"/>
                    <w:jc w:val="center"/>
                    <w:textAlignment w:val="auto"/>
                    <w:rPr>
                      <w:rFonts w:ascii="Times New Roman" w:hAnsi="Times New Roman"/>
                      <w:color w:val="auto"/>
                      <w:sz w:val="21"/>
                      <w:szCs w:val="21"/>
                    </w:rPr>
                  </w:pPr>
                  <w:r>
                    <w:rPr>
                      <w:rFonts w:hint="eastAsia" w:ascii="Times New Roman" w:cs="宋体"/>
                      <w:color w:val="auto"/>
                      <w:sz w:val="21"/>
                      <w:szCs w:val="21"/>
                    </w:rPr>
                    <w:t>排放去向</w:t>
                  </w:r>
                </w:p>
              </w:tc>
              <w:tc>
                <w:tcPr>
                  <w:tcW w:w="608" w:type="pct"/>
                  <w:vMerge w:val="restart"/>
                  <w:tcBorders>
                    <w:top w:val="single" w:color="auto" w:sz="12" w:space="0"/>
                    <w:left w:val="single" w:color="auto" w:sz="6" w:space="0"/>
                    <w:bottom w:val="single" w:color="auto" w:sz="6" w:space="0"/>
                    <w:right w:val="single" w:color="auto" w:sz="6" w:space="0"/>
                  </w:tcBorders>
                  <w:shd w:val="clear" w:color="auto" w:fill="auto"/>
                  <w:vAlign w:val="center"/>
                </w:tcPr>
                <w:p w14:paraId="302234A7">
                  <w:pPr>
                    <w:pStyle w:val="81"/>
                    <w:keepNext w:val="0"/>
                    <w:keepLines w:val="0"/>
                    <w:pageBreakBefore w:val="0"/>
                    <w:kinsoku/>
                    <w:wordWrap/>
                    <w:overflowPunct/>
                    <w:topLinePunct w:val="0"/>
                    <w:autoSpaceDE/>
                    <w:autoSpaceDN/>
                    <w:bidi w:val="0"/>
                    <w:adjustRightInd w:val="0"/>
                    <w:snapToGrid w:val="0"/>
                    <w:spacing w:before="0" w:beforeAutospacing="0" w:after="0" w:afterAutospacing="0"/>
                    <w:ind w:left="-105" w:leftChars="-50" w:right="-105" w:rightChars="-50" w:firstLine="0"/>
                    <w:jc w:val="center"/>
                    <w:textAlignment w:val="auto"/>
                    <w:rPr>
                      <w:rFonts w:ascii="Times New Roman" w:hAnsi="Times New Roman"/>
                      <w:color w:val="auto"/>
                      <w:sz w:val="21"/>
                      <w:szCs w:val="21"/>
                    </w:rPr>
                  </w:pPr>
                  <w:r>
                    <w:rPr>
                      <w:rFonts w:hint="eastAsia" w:ascii="Times New Roman" w:cs="宋体"/>
                      <w:color w:val="auto"/>
                      <w:sz w:val="21"/>
                      <w:szCs w:val="21"/>
                    </w:rPr>
                    <w:t>排放方式</w:t>
                  </w:r>
                </w:p>
              </w:tc>
              <w:tc>
                <w:tcPr>
                  <w:tcW w:w="397" w:type="pct"/>
                  <w:vMerge w:val="restart"/>
                  <w:tcBorders>
                    <w:top w:val="single" w:color="auto" w:sz="12" w:space="0"/>
                    <w:left w:val="single" w:color="auto" w:sz="6" w:space="0"/>
                    <w:bottom w:val="single" w:color="auto" w:sz="6" w:space="0"/>
                    <w:right w:val="single" w:color="auto" w:sz="6" w:space="0"/>
                  </w:tcBorders>
                  <w:shd w:val="clear" w:color="auto" w:fill="auto"/>
                  <w:vAlign w:val="center"/>
                </w:tcPr>
                <w:p w14:paraId="239D05FC">
                  <w:pPr>
                    <w:pStyle w:val="81"/>
                    <w:keepNext w:val="0"/>
                    <w:keepLines w:val="0"/>
                    <w:pageBreakBefore w:val="0"/>
                    <w:kinsoku/>
                    <w:wordWrap/>
                    <w:overflowPunct/>
                    <w:topLinePunct w:val="0"/>
                    <w:autoSpaceDE/>
                    <w:autoSpaceDN/>
                    <w:bidi w:val="0"/>
                    <w:adjustRightInd w:val="0"/>
                    <w:snapToGrid w:val="0"/>
                    <w:spacing w:before="0" w:beforeAutospacing="0" w:after="0" w:afterAutospacing="0"/>
                    <w:ind w:left="-105" w:leftChars="-50" w:right="-105" w:rightChars="-50" w:firstLine="0"/>
                    <w:jc w:val="center"/>
                    <w:textAlignment w:val="auto"/>
                    <w:rPr>
                      <w:rFonts w:ascii="Times New Roman" w:hAnsi="Times New Roman"/>
                      <w:color w:val="auto"/>
                      <w:sz w:val="21"/>
                      <w:szCs w:val="21"/>
                    </w:rPr>
                  </w:pPr>
                  <w:r>
                    <w:rPr>
                      <w:rFonts w:hint="eastAsia" w:ascii="Times New Roman" w:cs="宋体"/>
                      <w:color w:val="auto"/>
                      <w:sz w:val="21"/>
                      <w:szCs w:val="21"/>
                    </w:rPr>
                    <w:t>排放</w:t>
                  </w:r>
                </w:p>
                <w:p w14:paraId="69D17F4E">
                  <w:pPr>
                    <w:pStyle w:val="81"/>
                    <w:keepNext w:val="0"/>
                    <w:keepLines w:val="0"/>
                    <w:pageBreakBefore w:val="0"/>
                    <w:kinsoku/>
                    <w:wordWrap/>
                    <w:overflowPunct/>
                    <w:topLinePunct w:val="0"/>
                    <w:autoSpaceDE/>
                    <w:autoSpaceDN/>
                    <w:bidi w:val="0"/>
                    <w:adjustRightInd w:val="0"/>
                    <w:snapToGrid w:val="0"/>
                    <w:spacing w:before="0" w:beforeAutospacing="0" w:after="0" w:afterAutospacing="0"/>
                    <w:ind w:left="-105" w:leftChars="-50" w:right="-105" w:rightChars="-50" w:firstLine="0"/>
                    <w:jc w:val="center"/>
                    <w:textAlignment w:val="auto"/>
                    <w:rPr>
                      <w:rFonts w:ascii="Times New Roman" w:hAnsi="Times New Roman"/>
                      <w:color w:val="auto"/>
                      <w:sz w:val="21"/>
                      <w:szCs w:val="21"/>
                    </w:rPr>
                  </w:pPr>
                  <w:r>
                    <w:rPr>
                      <w:rFonts w:hint="eastAsia" w:ascii="Times New Roman" w:cs="宋体"/>
                      <w:color w:val="auto"/>
                      <w:sz w:val="21"/>
                      <w:szCs w:val="21"/>
                    </w:rPr>
                    <w:t>规律</w:t>
                  </w:r>
                </w:p>
              </w:tc>
              <w:tc>
                <w:tcPr>
                  <w:tcW w:w="336" w:type="pct"/>
                  <w:vMerge w:val="restart"/>
                  <w:tcBorders>
                    <w:top w:val="single" w:color="auto" w:sz="12" w:space="0"/>
                    <w:left w:val="single" w:color="auto" w:sz="6" w:space="0"/>
                    <w:bottom w:val="single" w:color="auto" w:sz="6" w:space="0"/>
                    <w:right w:val="single" w:color="auto" w:sz="6" w:space="0"/>
                  </w:tcBorders>
                  <w:shd w:val="clear" w:color="auto" w:fill="auto"/>
                  <w:vAlign w:val="center"/>
                </w:tcPr>
                <w:p w14:paraId="4FA0356A">
                  <w:pPr>
                    <w:pStyle w:val="81"/>
                    <w:keepNext w:val="0"/>
                    <w:keepLines w:val="0"/>
                    <w:pageBreakBefore w:val="0"/>
                    <w:kinsoku/>
                    <w:wordWrap/>
                    <w:overflowPunct/>
                    <w:topLinePunct w:val="0"/>
                    <w:autoSpaceDE/>
                    <w:autoSpaceDN/>
                    <w:bidi w:val="0"/>
                    <w:adjustRightInd w:val="0"/>
                    <w:snapToGrid w:val="0"/>
                    <w:spacing w:before="0" w:beforeAutospacing="0" w:after="0" w:afterAutospacing="0"/>
                    <w:ind w:left="-105" w:leftChars="-50" w:right="-105" w:rightChars="-50" w:firstLine="0"/>
                    <w:jc w:val="center"/>
                    <w:textAlignment w:val="auto"/>
                    <w:rPr>
                      <w:rFonts w:ascii="Times New Roman" w:hAnsi="Times New Roman"/>
                      <w:color w:val="auto"/>
                      <w:sz w:val="21"/>
                      <w:szCs w:val="21"/>
                    </w:rPr>
                  </w:pPr>
                  <w:r>
                    <w:rPr>
                      <w:rFonts w:hint="eastAsia" w:ascii="Times New Roman" w:cs="宋体"/>
                      <w:color w:val="auto"/>
                      <w:sz w:val="21"/>
                      <w:szCs w:val="21"/>
                    </w:rPr>
                    <w:t>排放口编号</w:t>
                  </w:r>
                </w:p>
              </w:tc>
              <w:tc>
                <w:tcPr>
                  <w:tcW w:w="506" w:type="pct"/>
                  <w:vMerge w:val="restart"/>
                  <w:tcBorders>
                    <w:top w:val="single" w:color="auto" w:sz="12" w:space="0"/>
                    <w:left w:val="single" w:color="auto" w:sz="6" w:space="0"/>
                    <w:bottom w:val="single" w:color="auto" w:sz="6" w:space="0"/>
                    <w:right w:val="single" w:color="auto" w:sz="6" w:space="0"/>
                  </w:tcBorders>
                  <w:shd w:val="clear" w:color="auto" w:fill="auto"/>
                  <w:vAlign w:val="center"/>
                </w:tcPr>
                <w:p w14:paraId="164142D1">
                  <w:pPr>
                    <w:pStyle w:val="81"/>
                    <w:keepNext w:val="0"/>
                    <w:keepLines w:val="0"/>
                    <w:pageBreakBefore w:val="0"/>
                    <w:kinsoku/>
                    <w:wordWrap/>
                    <w:overflowPunct/>
                    <w:topLinePunct w:val="0"/>
                    <w:autoSpaceDE/>
                    <w:autoSpaceDN/>
                    <w:bidi w:val="0"/>
                    <w:adjustRightInd w:val="0"/>
                    <w:snapToGrid w:val="0"/>
                    <w:spacing w:before="0" w:beforeAutospacing="0" w:after="0" w:afterAutospacing="0"/>
                    <w:ind w:left="-105" w:leftChars="-50" w:right="-105" w:rightChars="-50" w:firstLine="0"/>
                    <w:jc w:val="center"/>
                    <w:textAlignment w:val="auto"/>
                    <w:rPr>
                      <w:rFonts w:ascii="Times New Roman" w:hAnsi="Times New Roman"/>
                      <w:color w:val="auto"/>
                      <w:sz w:val="21"/>
                      <w:szCs w:val="21"/>
                    </w:rPr>
                  </w:pPr>
                  <w:r>
                    <w:rPr>
                      <w:rFonts w:hint="eastAsia" w:ascii="Times New Roman" w:cs="宋体"/>
                      <w:color w:val="auto"/>
                      <w:sz w:val="21"/>
                      <w:szCs w:val="21"/>
                    </w:rPr>
                    <w:t>排放口类型</w:t>
                  </w:r>
                </w:p>
              </w:tc>
              <w:tc>
                <w:tcPr>
                  <w:tcW w:w="199" w:type="pct"/>
                  <w:vMerge w:val="restart"/>
                  <w:tcBorders>
                    <w:top w:val="single" w:color="auto" w:sz="12" w:space="0"/>
                    <w:left w:val="single" w:color="auto" w:sz="6" w:space="0"/>
                    <w:bottom w:val="single" w:color="auto" w:sz="6" w:space="0"/>
                    <w:right w:val="nil"/>
                  </w:tcBorders>
                  <w:shd w:val="clear" w:color="auto" w:fill="auto"/>
                  <w:vAlign w:val="center"/>
                </w:tcPr>
                <w:p w14:paraId="09864137">
                  <w:pPr>
                    <w:pStyle w:val="81"/>
                    <w:keepNext w:val="0"/>
                    <w:keepLines w:val="0"/>
                    <w:pageBreakBefore w:val="0"/>
                    <w:kinsoku/>
                    <w:wordWrap/>
                    <w:overflowPunct/>
                    <w:topLinePunct w:val="0"/>
                    <w:autoSpaceDE/>
                    <w:autoSpaceDN/>
                    <w:bidi w:val="0"/>
                    <w:adjustRightInd w:val="0"/>
                    <w:snapToGrid w:val="0"/>
                    <w:spacing w:before="0" w:beforeAutospacing="0" w:after="0" w:afterAutospacing="0"/>
                    <w:ind w:left="-105" w:leftChars="-50" w:right="-105" w:rightChars="-50" w:firstLine="0"/>
                    <w:jc w:val="center"/>
                    <w:textAlignment w:val="auto"/>
                    <w:rPr>
                      <w:rFonts w:ascii="Times New Roman" w:hAnsi="Times New Roman"/>
                      <w:color w:val="auto"/>
                      <w:sz w:val="21"/>
                      <w:szCs w:val="21"/>
                    </w:rPr>
                  </w:pPr>
                  <w:r>
                    <w:rPr>
                      <w:rFonts w:hint="eastAsia" w:ascii="Times New Roman" w:cs="宋体"/>
                      <w:color w:val="auto"/>
                      <w:sz w:val="21"/>
                      <w:szCs w:val="21"/>
                    </w:rPr>
                    <w:t>执行标准</w:t>
                  </w:r>
                </w:p>
              </w:tc>
            </w:tr>
            <w:tr w14:paraId="4FBA184F">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621" w:hRule="atLeast"/>
                <w:jc w:val="center"/>
              </w:trPr>
              <w:tc>
                <w:tcPr>
                  <w:tcW w:w="384" w:type="pct"/>
                  <w:vMerge w:val="continue"/>
                  <w:tcBorders>
                    <w:top w:val="single" w:color="auto" w:sz="12" w:space="0"/>
                    <w:left w:val="nil"/>
                    <w:bottom w:val="single" w:color="auto" w:sz="6" w:space="0"/>
                    <w:right w:val="single" w:color="auto" w:sz="6" w:space="0"/>
                  </w:tcBorders>
                  <w:shd w:val="clear" w:color="auto" w:fill="auto"/>
                  <w:vAlign w:val="center"/>
                </w:tcPr>
                <w:p w14:paraId="5C2CCCA1">
                  <w:pPr>
                    <w:keepNext w:val="0"/>
                    <w:keepLines w:val="0"/>
                    <w:pageBreakBefore w:val="0"/>
                    <w:kinsoku/>
                    <w:wordWrap/>
                    <w:overflowPunct/>
                    <w:topLinePunct w:val="0"/>
                    <w:autoSpaceDE/>
                    <w:autoSpaceDN/>
                    <w:bidi w:val="0"/>
                    <w:adjustRightInd w:val="0"/>
                    <w:snapToGrid w:val="0"/>
                    <w:ind w:firstLine="0"/>
                    <w:textAlignment w:val="auto"/>
                    <w:rPr>
                      <w:color w:val="auto"/>
                      <w:szCs w:val="21"/>
                    </w:rPr>
                  </w:pPr>
                </w:p>
              </w:tc>
              <w:tc>
                <w:tcPr>
                  <w:tcW w:w="555" w:type="pct"/>
                  <w:vMerge w:val="continue"/>
                  <w:tcBorders>
                    <w:top w:val="single" w:color="auto" w:sz="12" w:space="0"/>
                    <w:left w:val="single" w:color="auto" w:sz="6" w:space="0"/>
                    <w:bottom w:val="single" w:color="auto" w:sz="6" w:space="0"/>
                    <w:right w:val="single" w:color="auto" w:sz="6" w:space="0"/>
                  </w:tcBorders>
                  <w:shd w:val="clear" w:color="auto" w:fill="auto"/>
                  <w:vAlign w:val="center"/>
                </w:tcPr>
                <w:p w14:paraId="4B9EAF91">
                  <w:pPr>
                    <w:keepNext w:val="0"/>
                    <w:keepLines w:val="0"/>
                    <w:pageBreakBefore w:val="0"/>
                    <w:kinsoku/>
                    <w:wordWrap/>
                    <w:overflowPunct/>
                    <w:topLinePunct w:val="0"/>
                    <w:autoSpaceDE/>
                    <w:autoSpaceDN/>
                    <w:bidi w:val="0"/>
                    <w:adjustRightInd w:val="0"/>
                    <w:snapToGrid w:val="0"/>
                    <w:ind w:firstLine="0"/>
                    <w:textAlignment w:val="auto"/>
                    <w:rPr>
                      <w:color w:val="auto"/>
                      <w:szCs w:val="21"/>
                    </w:rPr>
                  </w:pPr>
                </w:p>
              </w:tc>
              <w:tc>
                <w:tcPr>
                  <w:tcW w:w="538" w:type="pct"/>
                  <w:tcBorders>
                    <w:top w:val="single" w:color="auto" w:sz="6" w:space="0"/>
                    <w:left w:val="single" w:color="auto" w:sz="6" w:space="0"/>
                    <w:bottom w:val="single" w:color="auto" w:sz="6" w:space="0"/>
                    <w:right w:val="single" w:color="auto" w:sz="6" w:space="0"/>
                  </w:tcBorders>
                  <w:shd w:val="clear" w:color="auto" w:fill="auto"/>
                  <w:vAlign w:val="center"/>
                </w:tcPr>
                <w:p w14:paraId="486010BA">
                  <w:pPr>
                    <w:pStyle w:val="81"/>
                    <w:keepNext w:val="0"/>
                    <w:keepLines w:val="0"/>
                    <w:pageBreakBefore w:val="0"/>
                    <w:kinsoku/>
                    <w:wordWrap/>
                    <w:overflowPunct/>
                    <w:topLinePunct w:val="0"/>
                    <w:autoSpaceDE/>
                    <w:autoSpaceDN/>
                    <w:bidi w:val="0"/>
                    <w:adjustRightInd w:val="0"/>
                    <w:snapToGrid w:val="0"/>
                    <w:spacing w:before="0" w:beforeAutospacing="0" w:after="0" w:afterAutospacing="0"/>
                    <w:ind w:left="-105" w:leftChars="-50" w:right="-105" w:rightChars="-50" w:firstLine="0"/>
                    <w:jc w:val="center"/>
                    <w:textAlignment w:val="auto"/>
                    <w:rPr>
                      <w:rFonts w:ascii="Times New Roman" w:hAnsi="Times New Roman"/>
                      <w:color w:val="auto"/>
                      <w:sz w:val="21"/>
                      <w:szCs w:val="21"/>
                    </w:rPr>
                  </w:pPr>
                  <w:r>
                    <w:rPr>
                      <w:rFonts w:hint="eastAsia" w:ascii="Times New Roman" w:cs="宋体"/>
                      <w:color w:val="auto"/>
                      <w:sz w:val="21"/>
                      <w:szCs w:val="21"/>
                    </w:rPr>
                    <w:t>污染治理设施编号</w:t>
                  </w:r>
                </w:p>
              </w:tc>
              <w:tc>
                <w:tcPr>
                  <w:tcW w:w="418" w:type="pct"/>
                  <w:tcBorders>
                    <w:top w:val="single" w:color="auto" w:sz="6" w:space="0"/>
                    <w:left w:val="single" w:color="auto" w:sz="6" w:space="0"/>
                    <w:bottom w:val="single" w:color="auto" w:sz="6" w:space="0"/>
                    <w:right w:val="single" w:color="auto" w:sz="6" w:space="0"/>
                  </w:tcBorders>
                  <w:shd w:val="clear" w:color="auto" w:fill="auto"/>
                  <w:vAlign w:val="center"/>
                </w:tcPr>
                <w:p w14:paraId="53684AE1">
                  <w:pPr>
                    <w:pStyle w:val="81"/>
                    <w:keepNext w:val="0"/>
                    <w:keepLines w:val="0"/>
                    <w:pageBreakBefore w:val="0"/>
                    <w:kinsoku/>
                    <w:wordWrap/>
                    <w:overflowPunct/>
                    <w:topLinePunct w:val="0"/>
                    <w:autoSpaceDE/>
                    <w:autoSpaceDN/>
                    <w:bidi w:val="0"/>
                    <w:adjustRightInd w:val="0"/>
                    <w:snapToGrid w:val="0"/>
                    <w:spacing w:before="0" w:beforeAutospacing="0" w:after="0" w:afterAutospacing="0"/>
                    <w:ind w:left="-105" w:leftChars="-50" w:right="-105" w:rightChars="-50" w:firstLine="0"/>
                    <w:jc w:val="center"/>
                    <w:textAlignment w:val="auto"/>
                    <w:rPr>
                      <w:rFonts w:ascii="Times New Roman" w:hAnsi="Times New Roman"/>
                      <w:color w:val="auto"/>
                      <w:sz w:val="21"/>
                      <w:szCs w:val="21"/>
                    </w:rPr>
                  </w:pPr>
                  <w:r>
                    <w:rPr>
                      <w:rFonts w:hint="eastAsia" w:ascii="Times New Roman" w:cs="宋体"/>
                      <w:color w:val="auto"/>
                      <w:sz w:val="21"/>
                      <w:szCs w:val="21"/>
                    </w:rPr>
                    <w:t>污染治理设施工艺</w:t>
                  </w:r>
                </w:p>
              </w:tc>
              <w:tc>
                <w:tcPr>
                  <w:tcW w:w="344" w:type="pct"/>
                  <w:tcBorders>
                    <w:top w:val="single" w:color="auto" w:sz="6" w:space="0"/>
                    <w:left w:val="single" w:color="auto" w:sz="6" w:space="0"/>
                    <w:bottom w:val="single" w:color="auto" w:sz="6" w:space="0"/>
                    <w:right w:val="single" w:color="auto" w:sz="6" w:space="0"/>
                  </w:tcBorders>
                  <w:shd w:val="clear" w:color="auto" w:fill="auto"/>
                  <w:vAlign w:val="center"/>
                </w:tcPr>
                <w:p w14:paraId="0F838BCC">
                  <w:pPr>
                    <w:pStyle w:val="81"/>
                    <w:keepNext w:val="0"/>
                    <w:keepLines w:val="0"/>
                    <w:pageBreakBefore w:val="0"/>
                    <w:kinsoku/>
                    <w:wordWrap/>
                    <w:overflowPunct/>
                    <w:topLinePunct w:val="0"/>
                    <w:autoSpaceDE/>
                    <w:autoSpaceDN/>
                    <w:bidi w:val="0"/>
                    <w:adjustRightInd w:val="0"/>
                    <w:snapToGrid w:val="0"/>
                    <w:spacing w:before="0" w:beforeAutospacing="0" w:after="0" w:afterAutospacing="0"/>
                    <w:ind w:left="-105" w:leftChars="-50" w:right="-105" w:rightChars="-50" w:firstLine="0"/>
                    <w:jc w:val="center"/>
                    <w:textAlignment w:val="auto"/>
                    <w:rPr>
                      <w:rFonts w:ascii="Times New Roman" w:hAnsi="Times New Roman"/>
                      <w:color w:val="auto"/>
                      <w:sz w:val="21"/>
                      <w:szCs w:val="21"/>
                    </w:rPr>
                  </w:pPr>
                  <w:r>
                    <w:rPr>
                      <w:rFonts w:hint="eastAsia" w:ascii="Times New Roman" w:cs="宋体"/>
                      <w:color w:val="auto"/>
                      <w:sz w:val="21"/>
                      <w:szCs w:val="21"/>
                    </w:rPr>
                    <w:t>处理</w:t>
                  </w:r>
                </w:p>
                <w:p w14:paraId="11CBE1E1">
                  <w:pPr>
                    <w:pStyle w:val="81"/>
                    <w:keepNext w:val="0"/>
                    <w:keepLines w:val="0"/>
                    <w:pageBreakBefore w:val="0"/>
                    <w:kinsoku/>
                    <w:wordWrap/>
                    <w:overflowPunct/>
                    <w:topLinePunct w:val="0"/>
                    <w:autoSpaceDE/>
                    <w:autoSpaceDN/>
                    <w:bidi w:val="0"/>
                    <w:adjustRightInd w:val="0"/>
                    <w:snapToGrid w:val="0"/>
                    <w:spacing w:before="0" w:beforeAutospacing="0" w:after="0" w:afterAutospacing="0"/>
                    <w:ind w:left="-105" w:leftChars="-50" w:right="-105" w:rightChars="-50" w:firstLine="0"/>
                    <w:jc w:val="center"/>
                    <w:textAlignment w:val="auto"/>
                    <w:rPr>
                      <w:rFonts w:ascii="Times New Roman" w:hAnsi="Times New Roman"/>
                      <w:color w:val="auto"/>
                      <w:sz w:val="21"/>
                      <w:szCs w:val="21"/>
                    </w:rPr>
                  </w:pPr>
                  <w:r>
                    <w:rPr>
                      <w:rFonts w:hint="eastAsia" w:ascii="Times New Roman" w:cs="宋体"/>
                      <w:color w:val="auto"/>
                      <w:sz w:val="21"/>
                      <w:szCs w:val="21"/>
                    </w:rPr>
                    <w:t>能力</w:t>
                  </w:r>
                </w:p>
              </w:tc>
              <w:tc>
                <w:tcPr>
                  <w:tcW w:w="374" w:type="pct"/>
                  <w:tcBorders>
                    <w:top w:val="single" w:color="auto" w:sz="6" w:space="0"/>
                    <w:left w:val="single" w:color="auto" w:sz="6" w:space="0"/>
                    <w:bottom w:val="single" w:color="auto" w:sz="6" w:space="0"/>
                    <w:right w:val="single" w:color="auto" w:sz="6" w:space="0"/>
                  </w:tcBorders>
                  <w:shd w:val="clear" w:color="auto" w:fill="auto"/>
                  <w:vAlign w:val="center"/>
                </w:tcPr>
                <w:p w14:paraId="73E6457A">
                  <w:pPr>
                    <w:pStyle w:val="81"/>
                    <w:keepNext w:val="0"/>
                    <w:keepLines w:val="0"/>
                    <w:pageBreakBefore w:val="0"/>
                    <w:kinsoku/>
                    <w:wordWrap/>
                    <w:overflowPunct/>
                    <w:topLinePunct w:val="0"/>
                    <w:autoSpaceDE/>
                    <w:autoSpaceDN/>
                    <w:bidi w:val="0"/>
                    <w:adjustRightInd w:val="0"/>
                    <w:snapToGrid w:val="0"/>
                    <w:spacing w:before="0" w:beforeAutospacing="0" w:after="0" w:afterAutospacing="0"/>
                    <w:ind w:left="-105" w:leftChars="-50" w:right="-105" w:rightChars="-50" w:firstLine="0"/>
                    <w:jc w:val="center"/>
                    <w:textAlignment w:val="auto"/>
                    <w:rPr>
                      <w:rFonts w:ascii="Times New Roman" w:hAnsi="Times New Roman"/>
                      <w:color w:val="auto"/>
                      <w:sz w:val="21"/>
                      <w:szCs w:val="21"/>
                    </w:rPr>
                  </w:pPr>
                  <w:r>
                    <w:rPr>
                      <w:rFonts w:hint="eastAsia" w:ascii="Times New Roman" w:cs="宋体"/>
                      <w:color w:val="auto"/>
                      <w:sz w:val="21"/>
                      <w:szCs w:val="21"/>
                    </w:rPr>
                    <w:t>是否为可行技术</w:t>
                  </w:r>
                </w:p>
              </w:tc>
              <w:tc>
                <w:tcPr>
                  <w:tcW w:w="335" w:type="pct"/>
                  <w:vMerge w:val="continue"/>
                  <w:tcBorders>
                    <w:top w:val="single" w:color="auto" w:sz="12" w:space="0"/>
                    <w:left w:val="single" w:color="auto" w:sz="6" w:space="0"/>
                    <w:bottom w:val="single" w:color="auto" w:sz="6" w:space="0"/>
                    <w:right w:val="single" w:color="auto" w:sz="6" w:space="0"/>
                  </w:tcBorders>
                  <w:shd w:val="clear" w:color="auto" w:fill="auto"/>
                  <w:vAlign w:val="center"/>
                </w:tcPr>
                <w:p w14:paraId="71038F56">
                  <w:pPr>
                    <w:keepNext w:val="0"/>
                    <w:keepLines w:val="0"/>
                    <w:pageBreakBefore w:val="0"/>
                    <w:kinsoku/>
                    <w:wordWrap/>
                    <w:overflowPunct/>
                    <w:topLinePunct w:val="0"/>
                    <w:autoSpaceDE/>
                    <w:autoSpaceDN/>
                    <w:bidi w:val="0"/>
                    <w:adjustRightInd w:val="0"/>
                    <w:snapToGrid w:val="0"/>
                    <w:ind w:firstLine="0"/>
                    <w:textAlignment w:val="auto"/>
                    <w:rPr>
                      <w:color w:val="auto"/>
                      <w:szCs w:val="21"/>
                    </w:rPr>
                  </w:pPr>
                </w:p>
              </w:tc>
              <w:tc>
                <w:tcPr>
                  <w:tcW w:w="608" w:type="pct"/>
                  <w:vMerge w:val="continue"/>
                  <w:tcBorders>
                    <w:top w:val="single" w:color="auto" w:sz="12" w:space="0"/>
                    <w:left w:val="single" w:color="auto" w:sz="6" w:space="0"/>
                    <w:bottom w:val="single" w:color="auto" w:sz="6" w:space="0"/>
                    <w:right w:val="single" w:color="auto" w:sz="6" w:space="0"/>
                  </w:tcBorders>
                  <w:shd w:val="clear" w:color="auto" w:fill="auto"/>
                  <w:vAlign w:val="center"/>
                </w:tcPr>
                <w:p w14:paraId="4C1E86DB">
                  <w:pPr>
                    <w:keepNext w:val="0"/>
                    <w:keepLines w:val="0"/>
                    <w:pageBreakBefore w:val="0"/>
                    <w:kinsoku/>
                    <w:wordWrap/>
                    <w:overflowPunct/>
                    <w:topLinePunct w:val="0"/>
                    <w:autoSpaceDE/>
                    <w:autoSpaceDN/>
                    <w:bidi w:val="0"/>
                    <w:adjustRightInd w:val="0"/>
                    <w:snapToGrid w:val="0"/>
                    <w:ind w:firstLine="0"/>
                    <w:textAlignment w:val="auto"/>
                    <w:rPr>
                      <w:color w:val="auto"/>
                      <w:szCs w:val="21"/>
                    </w:rPr>
                  </w:pPr>
                </w:p>
              </w:tc>
              <w:tc>
                <w:tcPr>
                  <w:tcW w:w="397" w:type="pct"/>
                  <w:vMerge w:val="continue"/>
                  <w:tcBorders>
                    <w:top w:val="single" w:color="auto" w:sz="12" w:space="0"/>
                    <w:left w:val="single" w:color="auto" w:sz="6" w:space="0"/>
                    <w:bottom w:val="single" w:color="auto" w:sz="6" w:space="0"/>
                    <w:right w:val="single" w:color="auto" w:sz="6" w:space="0"/>
                  </w:tcBorders>
                  <w:shd w:val="clear" w:color="auto" w:fill="auto"/>
                  <w:vAlign w:val="center"/>
                </w:tcPr>
                <w:p w14:paraId="6442F336">
                  <w:pPr>
                    <w:keepNext w:val="0"/>
                    <w:keepLines w:val="0"/>
                    <w:pageBreakBefore w:val="0"/>
                    <w:kinsoku/>
                    <w:wordWrap/>
                    <w:overflowPunct/>
                    <w:topLinePunct w:val="0"/>
                    <w:autoSpaceDE/>
                    <w:autoSpaceDN/>
                    <w:bidi w:val="0"/>
                    <w:adjustRightInd w:val="0"/>
                    <w:snapToGrid w:val="0"/>
                    <w:ind w:firstLine="0"/>
                    <w:textAlignment w:val="auto"/>
                    <w:rPr>
                      <w:color w:val="auto"/>
                      <w:szCs w:val="21"/>
                    </w:rPr>
                  </w:pPr>
                </w:p>
              </w:tc>
              <w:tc>
                <w:tcPr>
                  <w:tcW w:w="336" w:type="pct"/>
                  <w:vMerge w:val="continue"/>
                  <w:tcBorders>
                    <w:top w:val="single" w:color="auto" w:sz="12" w:space="0"/>
                    <w:left w:val="single" w:color="auto" w:sz="6" w:space="0"/>
                    <w:bottom w:val="single" w:color="auto" w:sz="6" w:space="0"/>
                    <w:right w:val="single" w:color="auto" w:sz="6" w:space="0"/>
                  </w:tcBorders>
                  <w:shd w:val="clear" w:color="auto" w:fill="auto"/>
                  <w:vAlign w:val="center"/>
                </w:tcPr>
                <w:p w14:paraId="04994E4F">
                  <w:pPr>
                    <w:keepNext w:val="0"/>
                    <w:keepLines w:val="0"/>
                    <w:pageBreakBefore w:val="0"/>
                    <w:kinsoku/>
                    <w:wordWrap/>
                    <w:overflowPunct/>
                    <w:topLinePunct w:val="0"/>
                    <w:autoSpaceDE/>
                    <w:autoSpaceDN/>
                    <w:bidi w:val="0"/>
                    <w:adjustRightInd w:val="0"/>
                    <w:snapToGrid w:val="0"/>
                    <w:ind w:firstLine="0"/>
                    <w:textAlignment w:val="auto"/>
                    <w:rPr>
                      <w:color w:val="auto"/>
                      <w:szCs w:val="21"/>
                    </w:rPr>
                  </w:pPr>
                </w:p>
              </w:tc>
              <w:tc>
                <w:tcPr>
                  <w:tcW w:w="506" w:type="pct"/>
                  <w:vMerge w:val="continue"/>
                  <w:tcBorders>
                    <w:top w:val="single" w:color="auto" w:sz="12" w:space="0"/>
                    <w:left w:val="single" w:color="auto" w:sz="6" w:space="0"/>
                    <w:bottom w:val="single" w:color="auto" w:sz="6" w:space="0"/>
                    <w:right w:val="single" w:color="auto" w:sz="6" w:space="0"/>
                  </w:tcBorders>
                  <w:shd w:val="clear" w:color="auto" w:fill="auto"/>
                  <w:vAlign w:val="center"/>
                </w:tcPr>
                <w:p w14:paraId="3C9BEE93">
                  <w:pPr>
                    <w:keepNext w:val="0"/>
                    <w:keepLines w:val="0"/>
                    <w:pageBreakBefore w:val="0"/>
                    <w:kinsoku/>
                    <w:wordWrap/>
                    <w:overflowPunct/>
                    <w:topLinePunct w:val="0"/>
                    <w:autoSpaceDE/>
                    <w:autoSpaceDN/>
                    <w:bidi w:val="0"/>
                    <w:adjustRightInd w:val="0"/>
                    <w:snapToGrid w:val="0"/>
                    <w:ind w:firstLine="0"/>
                    <w:textAlignment w:val="auto"/>
                    <w:rPr>
                      <w:color w:val="auto"/>
                      <w:szCs w:val="21"/>
                    </w:rPr>
                  </w:pPr>
                </w:p>
              </w:tc>
              <w:tc>
                <w:tcPr>
                  <w:tcW w:w="199" w:type="pct"/>
                  <w:vMerge w:val="continue"/>
                  <w:tcBorders>
                    <w:top w:val="single" w:color="auto" w:sz="12" w:space="0"/>
                    <w:left w:val="single" w:color="auto" w:sz="6" w:space="0"/>
                    <w:bottom w:val="single" w:color="auto" w:sz="6" w:space="0"/>
                    <w:right w:val="nil"/>
                  </w:tcBorders>
                  <w:shd w:val="clear" w:color="auto" w:fill="auto"/>
                  <w:vAlign w:val="center"/>
                </w:tcPr>
                <w:p w14:paraId="3B56E4A2">
                  <w:pPr>
                    <w:keepNext w:val="0"/>
                    <w:keepLines w:val="0"/>
                    <w:pageBreakBefore w:val="0"/>
                    <w:kinsoku/>
                    <w:wordWrap/>
                    <w:overflowPunct/>
                    <w:topLinePunct w:val="0"/>
                    <w:autoSpaceDE/>
                    <w:autoSpaceDN/>
                    <w:bidi w:val="0"/>
                    <w:adjustRightInd w:val="0"/>
                    <w:snapToGrid w:val="0"/>
                    <w:ind w:firstLine="0"/>
                    <w:textAlignment w:val="auto"/>
                    <w:rPr>
                      <w:color w:val="auto"/>
                      <w:szCs w:val="21"/>
                    </w:rPr>
                  </w:pPr>
                </w:p>
              </w:tc>
            </w:tr>
            <w:tr w14:paraId="6F4E7DE1">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84" w:type="pct"/>
                  <w:tcBorders>
                    <w:top w:val="single" w:color="auto" w:sz="6" w:space="0"/>
                    <w:left w:val="nil"/>
                    <w:bottom w:val="single" w:color="auto" w:sz="12" w:space="0"/>
                    <w:right w:val="single" w:color="auto" w:sz="6" w:space="0"/>
                  </w:tcBorders>
                  <w:shd w:val="clear" w:color="auto" w:fill="auto"/>
                  <w:vAlign w:val="center"/>
                </w:tcPr>
                <w:p w14:paraId="2B27319D">
                  <w:pPr>
                    <w:keepNext w:val="0"/>
                    <w:keepLines w:val="0"/>
                    <w:pageBreakBefore w:val="0"/>
                    <w:kinsoku/>
                    <w:wordWrap/>
                    <w:overflowPunct/>
                    <w:topLinePunct w:val="0"/>
                    <w:autoSpaceDE/>
                    <w:autoSpaceDN/>
                    <w:bidi w:val="0"/>
                    <w:adjustRightInd w:val="0"/>
                    <w:snapToGrid w:val="0"/>
                    <w:spacing w:line="276" w:lineRule="auto"/>
                    <w:ind w:firstLine="0"/>
                    <w:jc w:val="center"/>
                    <w:textAlignment w:val="auto"/>
                    <w:rPr>
                      <w:color w:val="auto"/>
                      <w:szCs w:val="21"/>
                    </w:rPr>
                  </w:pPr>
                  <w:r>
                    <w:rPr>
                      <w:rFonts w:hint="eastAsia" w:hAnsi="宋体" w:cs="宋体"/>
                      <w:color w:val="auto"/>
                      <w:szCs w:val="21"/>
                      <w:lang w:bidi="ar"/>
                    </w:rPr>
                    <w:t>综合生活污水</w:t>
                  </w:r>
                </w:p>
              </w:tc>
              <w:tc>
                <w:tcPr>
                  <w:tcW w:w="555" w:type="pct"/>
                  <w:tcBorders>
                    <w:top w:val="single" w:color="auto" w:sz="6" w:space="0"/>
                    <w:left w:val="single" w:color="auto" w:sz="6" w:space="0"/>
                    <w:bottom w:val="single" w:color="auto" w:sz="12" w:space="0"/>
                    <w:right w:val="single" w:color="auto" w:sz="6" w:space="0"/>
                  </w:tcBorders>
                  <w:shd w:val="clear" w:color="auto" w:fill="auto"/>
                  <w:vAlign w:val="center"/>
                </w:tcPr>
                <w:p w14:paraId="3CEFB41E">
                  <w:pPr>
                    <w:keepNext w:val="0"/>
                    <w:keepLines w:val="0"/>
                    <w:pageBreakBefore w:val="0"/>
                    <w:kinsoku/>
                    <w:wordWrap/>
                    <w:overflowPunct/>
                    <w:topLinePunct w:val="0"/>
                    <w:autoSpaceDE/>
                    <w:autoSpaceDN/>
                    <w:bidi w:val="0"/>
                    <w:adjustRightInd w:val="0"/>
                    <w:snapToGrid w:val="0"/>
                    <w:spacing w:line="276" w:lineRule="auto"/>
                    <w:ind w:firstLine="0"/>
                    <w:jc w:val="center"/>
                    <w:textAlignment w:val="auto"/>
                    <w:rPr>
                      <w:color w:val="auto"/>
                      <w:szCs w:val="21"/>
                    </w:rPr>
                  </w:pPr>
                  <w:r>
                    <w:rPr>
                      <w:color w:val="auto"/>
                      <w:szCs w:val="21"/>
                      <w:lang w:bidi="ar"/>
                    </w:rPr>
                    <w:t>COD</w:t>
                  </w:r>
                  <w:r>
                    <w:rPr>
                      <w:rFonts w:hint="eastAsia" w:hAnsi="宋体" w:cs="宋体"/>
                      <w:color w:val="auto"/>
                      <w:szCs w:val="21"/>
                      <w:lang w:bidi="ar"/>
                    </w:rPr>
                    <w:t>、</w:t>
                  </w:r>
                  <w:r>
                    <w:rPr>
                      <w:color w:val="auto"/>
                      <w:szCs w:val="21"/>
                      <w:lang w:bidi="ar"/>
                    </w:rPr>
                    <w:t>SS</w:t>
                  </w:r>
                  <w:r>
                    <w:rPr>
                      <w:rFonts w:hint="eastAsia" w:hAnsi="宋体" w:cs="宋体"/>
                      <w:color w:val="auto"/>
                      <w:szCs w:val="21"/>
                      <w:lang w:bidi="ar"/>
                    </w:rPr>
                    <w:t>、</w:t>
                  </w:r>
                  <w:r>
                    <w:rPr>
                      <w:color w:val="auto"/>
                      <w:szCs w:val="21"/>
                      <w:lang w:bidi="ar"/>
                    </w:rPr>
                    <w:t>NH</w:t>
                  </w:r>
                  <w:r>
                    <w:rPr>
                      <w:color w:val="auto"/>
                      <w:szCs w:val="21"/>
                      <w:vertAlign w:val="subscript"/>
                      <w:lang w:bidi="ar"/>
                    </w:rPr>
                    <w:t>3</w:t>
                  </w:r>
                  <w:r>
                    <w:rPr>
                      <w:color w:val="auto"/>
                      <w:szCs w:val="21"/>
                      <w:lang w:bidi="ar"/>
                    </w:rPr>
                    <w:t>-N</w:t>
                  </w:r>
                  <w:r>
                    <w:rPr>
                      <w:rFonts w:hint="eastAsia" w:hAnsi="宋体" w:cs="宋体"/>
                      <w:color w:val="auto"/>
                      <w:szCs w:val="21"/>
                      <w:lang w:bidi="ar"/>
                    </w:rPr>
                    <w:t>、</w:t>
                  </w:r>
                  <w:r>
                    <w:rPr>
                      <w:color w:val="auto"/>
                      <w:szCs w:val="21"/>
                      <w:lang w:bidi="ar"/>
                    </w:rPr>
                    <w:t>TN</w:t>
                  </w:r>
                  <w:r>
                    <w:rPr>
                      <w:rFonts w:hint="eastAsia" w:hAnsi="宋体" w:cs="宋体"/>
                      <w:color w:val="auto"/>
                      <w:szCs w:val="21"/>
                      <w:lang w:bidi="ar"/>
                    </w:rPr>
                    <w:t>、</w:t>
                  </w:r>
                  <w:r>
                    <w:rPr>
                      <w:color w:val="auto"/>
                      <w:szCs w:val="21"/>
                      <w:lang w:bidi="ar"/>
                    </w:rPr>
                    <w:t>TP</w:t>
                  </w:r>
                  <w:r>
                    <w:rPr>
                      <w:rFonts w:hint="eastAsia"/>
                      <w:color w:val="auto"/>
                      <w:szCs w:val="21"/>
                      <w:lang w:bidi="ar"/>
                    </w:rPr>
                    <w:t>、石油类</w:t>
                  </w:r>
                </w:p>
              </w:tc>
              <w:tc>
                <w:tcPr>
                  <w:tcW w:w="538" w:type="pct"/>
                  <w:tcBorders>
                    <w:top w:val="single" w:color="auto" w:sz="6" w:space="0"/>
                    <w:left w:val="single" w:color="auto" w:sz="6" w:space="0"/>
                    <w:bottom w:val="single" w:color="auto" w:sz="12" w:space="0"/>
                    <w:right w:val="single" w:color="auto" w:sz="6" w:space="0"/>
                  </w:tcBorders>
                  <w:shd w:val="clear" w:color="auto" w:fill="auto"/>
                  <w:vAlign w:val="center"/>
                </w:tcPr>
                <w:p w14:paraId="6F1D4FC9">
                  <w:pPr>
                    <w:keepNext w:val="0"/>
                    <w:keepLines w:val="0"/>
                    <w:pageBreakBefore w:val="0"/>
                    <w:kinsoku/>
                    <w:wordWrap/>
                    <w:overflowPunct/>
                    <w:topLinePunct w:val="0"/>
                    <w:autoSpaceDE/>
                    <w:autoSpaceDN/>
                    <w:bidi w:val="0"/>
                    <w:adjustRightInd w:val="0"/>
                    <w:snapToGrid w:val="0"/>
                    <w:spacing w:line="276" w:lineRule="auto"/>
                    <w:ind w:firstLine="0"/>
                    <w:jc w:val="center"/>
                    <w:textAlignment w:val="auto"/>
                    <w:rPr>
                      <w:color w:val="auto"/>
                      <w:szCs w:val="21"/>
                    </w:rPr>
                  </w:pPr>
                  <w:r>
                    <w:rPr>
                      <w:color w:val="auto"/>
                      <w:szCs w:val="21"/>
                      <w:lang w:bidi="ar"/>
                    </w:rPr>
                    <w:t>TW001</w:t>
                  </w:r>
                </w:p>
              </w:tc>
              <w:tc>
                <w:tcPr>
                  <w:tcW w:w="418" w:type="pct"/>
                  <w:tcBorders>
                    <w:top w:val="single" w:color="auto" w:sz="6" w:space="0"/>
                    <w:left w:val="single" w:color="auto" w:sz="6" w:space="0"/>
                    <w:bottom w:val="single" w:color="auto" w:sz="12" w:space="0"/>
                    <w:right w:val="single" w:color="auto" w:sz="6" w:space="0"/>
                  </w:tcBorders>
                  <w:shd w:val="clear" w:color="auto" w:fill="auto"/>
                  <w:vAlign w:val="center"/>
                </w:tcPr>
                <w:p w14:paraId="655AEC5D">
                  <w:pPr>
                    <w:keepNext w:val="0"/>
                    <w:keepLines w:val="0"/>
                    <w:pageBreakBefore w:val="0"/>
                    <w:kinsoku/>
                    <w:wordWrap/>
                    <w:overflowPunct/>
                    <w:topLinePunct w:val="0"/>
                    <w:autoSpaceDE/>
                    <w:autoSpaceDN/>
                    <w:bidi w:val="0"/>
                    <w:adjustRightInd w:val="0"/>
                    <w:snapToGrid w:val="0"/>
                    <w:spacing w:line="276" w:lineRule="auto"/>
                    <w:ind w:firstLine="0"/>
                    <w:jc w:val="center"/>
                    <w:textAlignment w:val="auto"/>
                    <w:rPr>
                      <w:color w:val="auto"/>
                      <w:szCs w:val="21"/>
                    </w:rPr>
                  </w:pPr>
                  <w:r>
                    <w:rPr>
                      <w:rFonts w:hint="eastAsia"/>
                      <w:bCs/>
                      <w:color w:val="auto"/>
                      <w:szCs w:val="21"/>
                    </w:rPr>
                    <w:t>隔油池+</w:t>
                  </w:r>
                  <w:r>
                    <w:rPr>
                      <w:bCs/>
                      <w:color w:val="auto"/>
                      <w:szCs w:val="21"/>
                    </w:rPr>
                    <w:t>化粪池</w:t>
                  </w:r>
                </w:p>
              </w:tc>
              <w:tc>
                <w:tcPr>
                  <w:tcW w:w="344" w:type="pct"/>
                  <w:tcBorders>
                    <w:top w:val="single" w:color="auto" w:sz="6" w:space="0"/>
                    <w:left w:val="single" w:color="auto" w:sz="6" w:space="0"/>
                    <w:bottom w:val="single" w:color="auto" w:sz="12" w:space="0"/>
                    <w:right w:val="single" w:color="auto" w:sz="6" w:space="0"/>
                  </w:tcBorders>
                  <w:shd w:val="clear" w:color="auto" w:fill="auto"/>
                  <w:vAlign w:val="center"/>
                </w:tcPr>
                <w:p w14:paraId="6FDF6DC0">
                  <w:pPr>
                    <w:pStyle w:val="81"/>
                    <w:keepNext w:val="0"/>
                    <w:keepLines w:val="0"/>
                    <w:pageBreakBefore w:val="0"/>
                    <w:kinsoku/>
                    <w:wordWrap/>
                    <w:overflowPunct/>
                    <w:topLinePunct w:val="0"/>
                    <w:autoSpaceDE/>
                    <w:autoSpaceDN/>
                    <w:bidi w:val="0"/>
                    <w:adjustRightInd w:val="0"/>
                    <w:snapToGrid w:val="0"/>
                    <w:spacing w:before="0" w:beforeAutospacing="0" w:after="0" w:afterAutospacing="0"/>
                    <w:ind w:left="-105" w:leftChars="-50" w:right="-105" w:rightChars="-50" w:firstLine="0"/>
                    <w:jc w:val="center"/>
                    <w:textAlignment w:val="auto"/>
                    <w:rPr>
                      <w:rFonts w:ascii="Times New Roman" w:hAnsi="Times New Roman"/>
                      <w:color w:val="auto"/>
                      <w:sz w:val="21"/>
                      <w:szCs w:val="21"/>
                      <w:lang w:val="en-US"/>
                    </w:rPr>
                  </w:pPr>
                  <w:r>
                    <w:rPr>
                      <w:rFonts w:hint="eastAsia" w:ascii="Times New Roman" w:cs="宋体"/>
                      <w:color w:val="auto"/>
                      <w:sz w:val="21"/>
                      <w:szCs w:val="21"/>
                    </w:rPr>
                    <w:t>化粪池</w:t>
                  </w:r>
                  <w:r>
                    <w:rPr>
                      <w:rFonts w:hint="eastAsia" w:ascii="Times New Roman" w:cs="宋体"/>
                      <w:color w:val="auto"/>
                      <w:sz w:val="21"/>
                      <w:szCs w:val="21"/>
                      <w:lang w:val="en-US" w:eastAsia="zh-CN"/>
                    </w:rPr>
                    <w:t>10</w:t>
                  </w:r>
                  <w:r>
                    <w:rPr>
                      <w:rFonts w:ascii="Times New Roman" w:hAnsi="Times New Roman"/>
                      <w:color w:val="auto"/>
                      <w:sz w:val="21"/>
                      <w:szCs w:val="21"/>
                      <w:lang w:val="en-US"/>
                    </w:rPr>
                    <w:t>t/d</w:t>
                  </w:r>
                  <w:r>
                    <w:rPr>
                      <w:rFonts w:hint="eastAsia" w:ascii="Times New Roman" w:hAnsi="Times New Roman"/>
                      <w:color w:val="auto"/>
                      <w:sz w:val="21"/>
                      <w:szCs w:val="21"/>
                      <w:lang w:val="en-US"/>
                    </w:rPr>
                    <w:t>，隔油池</w:t>
                  </w:r>
                  <w:r>
                    <w:rPr>
                      <w:rFonts w:hint="eastAsia" w:ascii="Times New Roman" w:hAnsi="Times New Roman"/>
                      <w:color w:val="auto"/>
                      <w:sz w:val="21"/>
                      <w:szCs w:val="21"/>
                      <w:lang w:val="en-US" w:eastAsia="zh-CN"/>
                    </w:rPr>
                    <w:t>2</w:t>
                  </w:r>
                  <w:r>
                    <w:rPr>
                      <w:rFonts w:ascii="Times New Roman" w:hAnsi="Times New Roman"/>
                      <w:color w:val="auto"/>
                      <w:sz w:val="21"/>
                      <w:szCs w:val="21"/>
                      <w:lang w:val="en-US"/>
                    </w:rPr>
                    <w:t>t/d</w:t>
                  </w:r>
                </w:p>
              </w:tc>
              <w:tc>
                <w:tcPr>
                  <w:tcW w:w="374" w:type="pct"/>
                  <w:tcBorders>
                    <w:top w:val="single" w:color="auto" w:sz="6" w:space="0"/>
                    <w:left w:val="single" w:color="auto" w:sz="6" w:space="0"/>
                    <w:bottom w:val="single" w:color="auto" w:sz="12" w:space="0"/>
                    <w:right w:val="single" w:color="auto" w:sz="6" w:space="0"/>
                  </w:tcBorders>
                  <w:shd w:val="clear" w:color="auto" w:fill="auto"/>
                  <w:vAlign w:val="center"/>
                </w:tcPr>
                <w:p w14:paraId="01EC1801">
                  <w:pPr>
                    <w:pStyle w:val="81"/>
                    <w:keepNext w:val="0"/>
                    <w:keepLines w:val="0"/>
                    <w:pageBreakBefore w:val="0"/>
                    <w:kinsoku/>
                    <w:wordWrap/>
                    <w:overflowPunct/>
                    <w:topLinePunct w:val="0"/>
                    <w:autoSpaceDE/>
                    <w:autoSpaceDN/>
                    <w:bidi w:val="0"/>
                    <w:adjustRightInd w:val="0"/>
                    <w:snapToGrid w:val="0"/>
                    <w:spacing w:before="0" w:beforeAutospacing="0" w:after="0" w:afterAutospacing="0"/>
                    <w:ind w:left="-105" w:leftChars="-50" w:right="-105" w:rightChars="-50" w:firstLine="0"/>
                    <w:jc w:val="center"/>
                    <w:textAlignment w:val="auto"/>
                    <w:rPr>
                      <w:rFonts w:ascii="Times New Roman" w:hAnsi="Times New Roman"/>
                      <w:color w:val="auto"/>
                      <w:sz w:val="21"/>
                      <w:szCs w:val="21"/>
                      <w:lang w:val="en-US"/>
                    </w:rPr>
                  </w:pPr>
                  <w:r>
                    <w:rPr>
                      <w:rFonts w:hint="eastAsia" w:ascii="Times New Roman" w:cs="宋体"/>
                      <w:color w:val="auto"/>
                      <w:sz w:val="21"/>
                      <w:szCs w:val="21"/>
                    </w:rPr>
                    <w:t>是</w:t>
                  </w:r>
                </w:p>
              </w:tc>
              <w:tc>
                <w:tcPr>
                  <w:tcW w:w="335" w:type="pct"/>
                  <w:tcBorders>
                    <w:top w:val="single" w:color="auto" w:sz="6" w:space="0"/>
                    <w:left w:val="single" w:color="auto" w:sz="6" w:space="0"/>
                    <w:bottom w:val="single" w:color="auto" w:sz="12" w:space="0"/>
                    <w:right w:val="single" w:color="auto" w:sz="6" w:space="0"/>
                  </w:tcBorders>
                  <w:shd w:val="clear" w:color="auto" w:fill="auto"/>
                  <w:vAlign w:val="center"/>
                </w:tcPr>
                <w:p w14:paraId="659679A0">
                  <w:pPr>
                    <w:pStyle w:val="81"/>
                    <w:keepNext w:val="0"/>
                    <w:keepLines w:val="0"/>
                    <w:pageBreakBefore w:val="0"/>
                    <w:kinsoku/>
                    <w:wordWrap/>
                    <w:overflowPunct/>
                    <w:topLinePunct w:val="0"/>
                    <w:autoSpaceDE/>
                    <w:autoSpaceDN/>
                    <w:bidi w:val="0"/>
                    <w:adjustRightInd w:val="0"/>
                    <w:snapToGrid w:val="0"/>
                    <w:spacing w:before="0" w:beforeAutospacing="0" w:after="0" w:afterAutospacing="0"/>
                    <w:ind w:left="-105" w:leftChars="-50" w:right="-105" w:rightChars="-50" w:firstLine="0"/>
                    <w:jc w:val="center"/>
                    <w:textAlignment w:val="auto"/>
                    <w:rPr>
                      <w:rFonts w:ascii="Times New Roman" w:hAnsi="Times New Roman"/>
                      <w:color w:val="auto"/>
                      <w:sz w:val="21"/>
                      <w:szCs w:val="21"/>
                      <w:lang w:val="en-US"/>
                    </w:rPr>
                  </w:pPr>
                  <w:r>
                    <w:rPr>
                      <w:rFonts w:hint="eastAsia" w:ascii="Times New Roman" w:cs="宋体"/>
                      <w:color w:val="auto"/>
                      <w:sz w:val="21"/>
                      <w:szCs w:val="21"/>
                    </w:rPr>
                    <w:t>间接排放</w:t>
                  </w:r>
                </w:p>
              </w:tc>
              <w:tc>
                <w:tcPr>
                  <w:tcW w:w="608" w:type="pct"/>
                  <w:tcBorders>
                    <w:top w:val="single" w:color="auto" w:sz="6" w:space="0"/>
                    <w:left w:val="single" w:color="auto" w:sz="6" w:space="0"/>
                    <w:bottom w:val="single" w:color="auto" w:sz="12" w:space="0"/>
                    <w:right w:val="single" w:color="auto" w:sz="6" w:space="0"/>
                  </w:tcBorders>
                  <w:shd w:val="clear" w:color="auto" w:fill="auto"/>
                  <w:vAlign w:val="center"/>
                </w:tcPr>
                <w:p w14:paraId="56210299">
                  <w:pPr>
                    <w:pStyle w:val="81"/>
                    <w:keepNext w:val="0"/>
                    <w:keepLines w:val="0"/>
                    <w:pageBreakBefore w:val="0"/>
                    <w:kinsoku/>
                    <w:wordWrap/>
                    <w:overflowPunct/>
                    <w:topLinePunct w:val="0"/>
                    <w:autoSpaceDE/>
                    <w:autoSpaceDN/>
                    <w:bidi w:val="0"/>
                    <w:adjustRightInd w:val="0"/>
                    <w:snapToGrid w:val="0"/>
                    <w:spacing w:before="0" w:beforeAutospacing="0" w:after="0" w:afterAutospacing="0"/>
                    <w:ind w:left="-105" w:leftChars="-50" w:right="-105" w:rightChars="-50" w:firstLine="0"/>
                    <w:jc w:val="center"/>
                    <w:textAlignment w:val="auto"/>
                    <w:rPr>
                      <w:rFonts w:ascii="Times New Roman" w:hAnsi="Times New Roman"/>
                      <w:color w:val="auto"/>
                      <w:sz w:val="21"/>
                      <w:szCs w:val="21"/>
                    </w:rPr>
                  </w:pPr>
                  <w:r>
                    <w:rPr>
                      <w:rFonts w:hint="eastAsia" w:ascii="Times New Roman" w:cs="宋体"/>
                      <w:color w:val="auto"/>
                      <w:sz w:val="21"/>
                      <w:szCs w:val="21"/>
                    </w:rPr>
                    <w:t>间接排放，排放期间流量不稳定，但有规律，且不属于非周期性规律</w:t>
                  </w:r>
                </w:p>
              </w:tc>
              <w:tc>
                <w:tcPr>
                  <w:tcW w:w="397" w:type="pct"/>
                  <w:tcBorders>
                    <w:top w:val="single" w:color="auto" w:sz="6" w:space="0"/>
                    <w:left w:val="single" w:color="auto" w:sz="6" w:space="0"/>
                    <w:bottom w:val="single" w:color="auto" w:sz="12" w:space="0"/>
                    <w:right w:val="single" w:color="auto" w:sz="6" w:space="0"/>
                  </w:tcBorders>
                  <w:shd w:val="clear" w:color="auto" w:fill="auto"/>
                  <w:vAlign w:val="center"/>
                </w:tcPr>
                <w:p w14:paraId="3F7DC8B9">
                  <w:pPr>
                    <w:pStyle w:val="81"/>
                    <w:keepNext w:val="0"/>
                    <w:keepLines w:val="0"/>
                    <w:pageBreakBefore w:val="0"/>
                    <w:kinsoku/>
                    <w:wordWrap/>
                    <w:overflowPunct/>
                    <w:topLinePunct w:val="0"/>
                    <w:autoSpaceDE/>
                    <w:autoSpaceDN/>
                    <w:bidi w:val="0"/>
                    <w:adjustRightInd w:val="0"/>
                    <w:snapToGrid w:val="0"/>
                    <w:spacing w:before="0" w:beforeAutospacing="0" w:after="0" w:afterAutospacing="0"/>
                    <w:ind w:left="-105" w:leftChars="-50" w:right="-105" w:rightChars="-50" w:firstLine="0"/>
                    <w:jc w:val="center"/>
                    <w:textAlignment w:val="auto"/>
                    <w:rPr>
                      <w:rFonts w:ascii="Times New Roman" w:hAnsi="Times New Roman"/>
                      <w:color w:val="auto"/>
                      <w:sz w:val="21"/>
                      <w:szCs w:val="21"/>
                    </w:rPr>
                  </w:pPr>
                  <w:r>
                    <w:rPr>
                      <w:rFonts w:ascii="Times New Roman" w:hAnsi="Times New Roman"/>
                      <w:color w:val="auto"/>
                      <w:sz w:val="21"/>
                      <w:szCs w:val="21"/>
                    </w:rPr>
                    <w:t>DW001</w:t>
                  </w:r>
                </w:p>
              </w:tc>
              <w:tc>
                <w:tcPr>
                  <w:tcW w:w="336" w:type="pct"/>
                  <w:tcBorders>
                    <w:top w:val="single" w:color="auto" w:sz="6" w:space="0"/>
                    <w:left w:val="single" w:color="auto" w:sz="6" w:space="0"/>
                    <w:bottom w:val="single" w:color="auto" w:sz="12" w:space="0"/>
                    <w:right w:val="single" w:color="auto" w:sz="6" w:space="0"/>
                  </w:tcBorders>
                  <w:shd w:val="clear" w:color="auto" w:fill="auto"/>
                  <w:vAlign w:val="center"/>
                </w:tcPr>
                <w:p w14:paraId="51E01780">
                  <w:pPr>
                    <w:pStyle w:val="81"/>
                    <w:keepNext w:val="0"/>
                    <w:keepLines w:val="0"/>
                    <w:pageBreakBefore w:val="0"/>
                    <w:kinsoku/>
                    <w:wordWrap/>
                    <w:overflowPunct/>
                    <w:topLinePunct w:val="0"/>
                    <w:autoSpaceDE/>
                    <w:autoSpaceDN/>
                    <w:bidi w:val="0"/>
                    <w:adjustRightInd w:val="0"/>
                    <w:snapToGrid w:val="0"/>
                    <w:spacing w:before="0" w:beforeAutospacing="0" w:after="0" w:afterAutospacing="0"/>
                    <w:ind w:left="-105" w:leftChars="-50" w:right="-105" w:rightChars="-50" w:firstLine="0"/>
                    <w:jc w:val="center"/>
                    <w:textAlignment w:val="auto"/>
                    <w:rPr>
                      <w:rFonts w:ascii="Times New Roman" w:hAnsi="Times New Roman"/>
                      <w:color w:val="auto"/>
                      <w:sz w:val="21"/>
                      <w:szCs w:val="21"/>
                    </w:rPr>
                  </w:pPr>
                  <w:r>
                    <w:rPr>
                      <w:rFonts w:hint="eastAsia" w:ascii="Times New Roman" w:cs="宋体"/>
                      <w:color w:val="auto"/>
                      <w:sz w:val="21"/>
                      <w:szCs w:val="21"/>
                    </w:rPr>
                    <w:t>一般排放口</w:t>
                  </w:r>
                </w:p>
              </w:tc>
              <w:tc>
                <w:tcPr>
                  <w:tcW w:w="506" w:type="pct"/>
                  <w:tcBorders>
                    <w:top w:val="single" w:color="auto" w:sz="6" w:space="0"/>
                    <w:left w:val="single" w:color="auto" w:sz="6" w:space="0"/>
                    <w:bottom w:val="single" w:color="auto" w:sz="12" w:space="0"/>
                    <w:right w:val="single" w:color="auto" w:sz="6" w:space="0"/>
                  </w:tcBorders>
                  <w:shd w:val="clear" w:color="auto" w:fill="auto"/>
                  <w:vAlign w:val="center"/>
                </w:tcPr>
                <w:p w14:paraId="30565CC5">
                  <w:pPr>
                    <w:keepNext w:val="0"/>
                    <w:keepLines w:val="0"/>
                    <w:pageBreakBefore w:val="0"/>
                    <w:kinsoku/>
                    <w:wordWrap/>
                    <w:overflowPunct/>
                    <w:topLinePunct w:val="0"/>
                    <w:autoSpaceDE/>
                    <w:autoSpaceDN/>
                    <w:bidi w:val="0"/>
                    <w:adjustRightInd w:val="0"/>
                    <w:snapToGrid w:val="0"/>
                    <w:spacing w:line="276" w:lineRule="auto"/>
                    <w:ind w:firstLine="0"/>
                    <w:jc w:val="center"/>
                    <w:textAlignment w:val="auto"/>
                    <w:rPr>
                      <w:color w:val="auto"/>
                      <w:kern w:val="0"/>
                      <w:szCs w:val="21"/>
                      <w:lang w:val="zh-CN"/>
                    </w:rPr>
                  </w:pPr>
                  <w:r>
                    <w:rPr>
                      <w:rFonts w:hint="eastAsia" w:hAnsi="宋体" w:cs="宋体"/>
                      <w:color w:val="auto"/>
                      <w:szCs w:val="21"/>
                      <w:lang w:bidi="ar"/>
                    </w:rPr>
                    <w:t>涟水县经济开发区西区污水处理厂接管标准</w:t>
                  </w:r>
                </w:p>
              </w:tc>
              <w:tc>
                <w:tcPr>
                  <w:tcW w:w="199" w:type="pct"/>
                  <w:tcBorders>
                    <w:top w:val="single" w:color="auto" w:sz="6" w:space="0"/>
                    <w:left w:val="single" w:color="auto" w:sz="6" w:space="0"/>
                    <w:bottom w:val="single" w:color="auto" w:sz="12" w:space="0"/>
                    <w:right w:val="nil"/>
                  </w:tcBorders>
                  <w:shd w:val="clear" w:color="auto" w:fill="auto"/>
                  <w:vAlign w:val="center"/>
                </w:tcPr>
                <w:p w14:paraId="018793C3">
                  <w:pPr>
                    <w:pStyle w:val="81"/>
                    <w:keepNext w:val="0"/>
                    <w:keepLines w:val="0"/>
                    <w:pageBreakBefore w:val="0"/>
                    <w:kinsoku/>
                    <w:wordWrap/>
                    <w:overflowPunct/>
                    <w:topLinePunct w:val="0"/>
                    <w:autoSpaceDE/>
                    <w:autoSpaceDN/>
                    <w:bidi w:val="0"/>
                    <w:adjustRightInd w:val="0"/>
                    <w:snapToGrid w:val="0"/>
                    <w:spacing w:before="0" w:beforeAutospacing="0" w:after="0" w:afterAutospacing="0"/>
                    <w:ind w:left="-105" w:leftChars="-50" w:right="-105" w:rightChars="-50" w:firstLine="0"/>
                    <w:jc w:val="center"/>
                    <w:textAlignment w:val="auto"/>
                    <w:rPr>
                      <w:rFonts w:ascii="Times New Roman" w:hAnsi="Times New Roman"/>
                      <w:color w:val="auto"/>
                      <w:sz w:val="21"/>
                      <w:szCs w:val="21"/>
                      <w:lang w:val="en-US"/>
                    </w:rPr>
                  </w:pPr>
                  <w:r>
                    <w:rPr>
                      <w:rFonts w:hint="eastAsia" w:ascii="Times New Roman" w:cs="宋体"/>
                      <w:color w:val="auto"/>
                      <w:sz w:val="21"/>
                      <w:szCs w:val="21"/>
                    </w:rPr>
                    <w:t>间接排放</w:t>
                  </w:r>
                </w:p>
              </w:tc>
            </w:tr>
          </w:tbl>
          <w:p w14:paraId="44A4C85B">
            <w:pPr>
              <w:adjustRightInd w:val="0"/>
              <w:snapToGrid w:val="0"/>
              <w:spacing w:before="120" w:beforeLines="50"/>
              <w:ind w:firstLine="482" w:firstLineChars="200"/>
              <w:jc w:val="center"/>
              <w:rPr>
                <w:b/>
                <w:color w:val="auto"/>
                <w:sz w:val="24"/>
              </w:rPr>
            </w:pPr>
            <w:r>
              <w:rPr>
                <w:rFonts w:hint="eastAsia"/>
                <w:b/>
                <w:color w:val="auto"/>
                <w:sz w:val="24"/>
              </w:rPr>
              <w:t>表4-1</w:t>
            </w:r>
            <w:r>
              <w:rPr>
                <w:rFonts w:hint="eastAsia"/>
                <w:b/>
                <w:color w:val="auto"/>
                <w:sz w:val="24"/>
                <w:lang w:val="en-US" w:eastAsia="zh-CN"/>
              </w:rPr>
              <w:t>5</w:t>
            </w:r>
            <w:r>
              <w:rPr>
                <w:rFonts w:hint="eastAsia"/>
                <w:b/>
                <w:color w:val="auto"/>
                <w:sz w:val="24"/>
              </w:rPr>
              <w:t>建设单位废水排放口基本情况表</w:t>
            </w:r>
          </w:p>
          <w:tbl>
            <w:tblPr>
              <w:tblStyle w:val="88"/>
              <w:tblW w:w="4998" w:type="pct"/>
              <w:jc w:val="center"/>
              <w:tblBorders>
                <w:top w:val="single" w:color="auto" w:sz="12" w:space="0"/>
                <w:left w:val="none" w:color="auto" w:sz="6" w:space="0"/>
                <w:bottom w:val="single" w:color="auto" w:sz="12" w:space="0"/>
                <w:right w:val="none" w:color="auto" w:sz="6" w:space="0"/>
                <w:insideH w:val="single" w:color="auto" w:sz="4" w:space="0"/>
                <w:insideV w:val="single" w:color="auto" w:sz="6" w:space="0"/>
              </w:tblBorders>
              <w:tblLayout w:type="fixed"/>
              <w:tblCellMar>
                <w:top w:w="0" w:type="dxa"/>
                <w:left w:w="108" w:type="dxa"/>
                <w:bottom w:w="0" w:type="dxa"/>
                <w:right w:w="108" w:type="dxa"/>
              </w:tblCellMar>
            </w:tblPr>
            <w:tblGrid>
              <w:gridCol w:w="380"/>
              <w:gridCol w:w="749"/>
              <w:gridCol w:w="831"/>
              <w:gridCol w:w="887"/>
              <w:gridCol w:w="941"/>
              <w:gridCol w:w="1172"/>
              <w:gridCol w:w="763"/>
              <w:gridCol w:w="826"/>
              <w:gridCol w:w="1096"/>
              <w:gridCol w:w="812"/>
            </w:tblGrid>
            <w:tr w14:paraId="43D0424B">
              <w:tblPrEx>
                <w:tblBorders>
                  <w:top w:val="single" w:color="auto" w:sz="12" w:space="0"/>
                  <w:left w:val="none" w:color="auto" w:sz="6" w:space="0"/>
                  <w:bottom w:val="single" w:color="auto" w:sz="12" w:space="0"/>
                  <w:right w:val="none" w:color="auto" w:sz="6"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224" w:type="pct"/>
                  <w:vMerge w:val="restart"/>
                  <w:tcBorders>
                    <w:top w:val="single" w:color="auto" w:sz="12" w:space="0"/>
                    <w:left w:val="nil"/>
                    <w:bottom w:val="single" w:color="auto" w:sz="4" w:space="0"/>
                    <w:right w:val="single" w:color="auto" w:sz="6" w:space="0"/>
                  </w:tcBorders>
                  <w:shd w:val="clear" w:color="auto" w:fill="auto"/>
                  <w:vAlign w:val="center"/>
                </w:tcPr>
                <w:p w14:paraId="3D140D4F">
                  <w:pPr>
                    <w:keepNext w:val="0"/>
                    <w:keepLines w:val="0"/>
                    <w:pageBreakBefore w:val="0"/>
                    <w:kinsoku/>
                    <w:wordWrap/>
                    <w:overflowPunct/>
                    <w:topLinePunct w:val="0"/>
                    <w:autoSpaceDE/>
                    <w:autoSpaceDN/>
                    <w:bidi w:val="0"/>
                    <w:adjustRightInd w:val="0"/>
                    <w:snapToGrid w:val="0"/>
                    <w:ind w:left="2" w:leftChars="1" w:firstLine="0"/>
                    <w:jc w:val="center"/>
                    <w:textAlignment w:val="auto"/>
                    <w:rPr>
                      <w:b/>
                      <w:bCs/>
                      <w:color w:val="auto"/>
                      <w:szCs w:val="21"/>
                    </w:rPr>
                  </w:pPr>
                  <w:r>
                    <w:rPr>
                      <w:rFonts w:hint="eastAsia" w:cs="宋体"/>
                      <w:b/>
                      <w:bCs/>
                      <w:color w:val="auto"/>
                      <w:szCs w:val="21"/>
                      <w:lang w:bidi="ar"/>
                    </w:rPr>
                    <w:t>序号</w:t>
                  </w:r>
                </w:p>
              </w:tc>
              <w:tc>
                <w:tcPr>
                  <w:tcW w:w="442" w:type="pct"/>
                  <w:vMerge w:val="restart"/>
                  <w:tcBorders>
                    <w:top w:val="single" w:color="auto" w:sz="12" w:space="0"/>
                    <w:left w:val="single" w:color="auto" w:sz="6" w:space="0"/>
                    <w:bottom w:val="single" w:color="auto" w:sz="4" w:space="0"/>
                    <w:right w:val="single" w:color="auto" w:sz="6" w:space="0"/>
                  </w:tcBorders>
                  <w:shd w:val="clear" w:color="auto" w:fill="auto"/>
                  <w:vAlign w:val="center"/>
                </w:tcPr>
                <w:p w14:paraId="2BA9FC70">
                  <w:pPr>
                    <w:keepNext w:val="0"/>
                    <w:keepLines w:val="0"/>
                    <w:pageBreakBefore w:val="0"/>
                    <w:kinsoku/>
                    <w:wordWrap/>
                    <w:overflowPunct/>
                    <w:topLinePunct w:val="0"/>
                    <w:autoSpaceDE/>
                    <w:autoSpaceDN/>
                    <w:bidi w:val="0"/>
                    <w:adjustRightInd w:val="0"/>
                    <w:snapToGrid w:val="0"/>
                    <w:ind w:left="2" w:leftChars="1" w:firstLine="0"/>
                    <w:jc w:val="center"/>
                    <w:textAlignment w:val="auto"/>
                    <w:rPr>
                      <w:b/>
                      <w:bCs/>
                      <w:color w:val="auto"/>
                      <w:szCs w:val="21"/>
                    </w:rPr>
                  </w:pPr>
                  <w:r>
                    <w:rPr>
                      <w:rFonts w:hint="eastAsia" w:cs="宋体"/>
                      <w:b/>
                      <w:bCs/>
                      <w:color w:val="auto"/>
                      <w:szCs w:val="21"/>
                      <w:lang w:bidi="ar"/>
                    </w:rPr>
                    <w:t>排放口编号</w:t>
                  </w:r>
                </w:p>
              </w:tc>
              <w:tc>
                <w:tcPr>
                  <w:tcW w:w="1015" w:type="pct"/>
                  <w:gridSpan w:val="2"/>
                  <w:tcBorders>
                    <w:top w:val="single" w:color="auto" w:sz="12" w:space="0"/>
                    <w:left w:val="single" w:color="auto" w:sz="6" w:space="0"/>
                    <w:bottom w:val="single" w:color="auto" w:sz="4" w:space="0"/>
                    <w:right w:val="single" w:color="auto" w:sz="6" w:space="0"/>
                  </w:tcBorders>
                  <w:shd w:val="clear" w:color="auto" w:fill="auto"/>
                  <w:vAlign w:val="center"/>
                </w:tcPr>
                <w:p w14:paraId="048F10D4">
                  <w:pPr>
                    <w:keepNext w:val="0"/>
                    <w:keepLines w:val="0"/>
                    <w:pageBreakBefore w:val="0"/>
                    <w:kinsoku/>
                    <w:wordWrap/>
                    <w:overflowPunct/>
                    <w:topLinePunct w:val="0"/>
                    <w:autoSpaceDE/>
                    <w:autoSpaceDN/>
                    <w:bidi w:val="0"/>
                    <w:adjustRightInd w:val="0"/>
                    <w:snapToGrid w:val="0"/>
                    <w:ind w:left="2" w:leftChars="1" w:firstLine="0"/>
                    <w:jc w:val="center"/>
                    <w:textAlignment w:val="auto"/>
                    <w:rPr>
                      <w:b/>
                      <w:bCs/>
                      <w:color w:val="auto"/>
                      <w:szCs w:val="21"/>
                    </w:rPr>
                  </w:pPr>
                  <w:r>
                    <w:rPr>
                      <w:rFonts w:hint="eastAsia" w:cs="宋体"/>
                      <w:b/>
                      <w:bCs/>
                      <w:color w:val="auto"/>
                      <w:szCs w:val="21"/>
                      <w:lang w:bidi="ar"/>
                    </w:rPr>
                    <w:t>排放口地理坐标</w:t>
                  </w:r>
                </w:p>
              </w:tc>
              <w:tc>
                <w:tcPr>
                  <w:tcW w:w="556" w:type="pct"/>
                  <w:vMerge w:val="restart"/>
                  <w:tcBorders>
                    <w:top w:val="single" w:color="auto" w:sz="12" w:space="0"/>
                    <w:left w:val="single" w:color="auto" w:sz="6" w:space="0"/>
                    <w:bottom w:val="single" w:color="auto" w:sz="4" w:space="0"/>
                    <w:right w:val="single" w:color="auto" w:sz="6" w:space="0"/>
                  </w:tcBorders>
                  <w:shd w:val="clear" w:color="auto" w:fill="auto"/>
                  <w:vAlign w:val="center"/>
                </w:tcPr>
                <w:p w14:paraId="7DADCC52">
                  <w:pPr>
                    <w:keepNext w:val="0"/>
                    <w:keepLines w:val="0"/>
                    <w:pageBreakBefore w:val="0"/>
                    <w:kinsoku/>
                    <w:wordWrap/>
                    <w:overflowPunct/>
                    <w:topLinePunct w:val="0"/>
                    <w:autoSpaceDE/>
                    <w:autoSpaceDN/>
                    <w:bidi w:val="0"/>
                    <w:adjustRightInd w:val="0"/>
                    <w:snapToGrid w:val="0"/>
                    <w:ind w:left="2" w:leftChars="1" w:firstLine="0"/>
                    <w:jc w:val="center"/>
                    <w:textAlignment w:val="auto"/>
                    <w:rPr>
                      <w:b/>
                      <w:bCs/>
                      <w:color w:val="auto"/>
                      <w:szCs w:val="21"/>
                    </w:rPr>
                  </w:pPr>
                  <w:r>
                    <w:rPr>
                      <w:rFonts w:hint="eastAsia" w:cs="宋体"/>
                      <w:b/>
                      <w:bCs/>
                      <w:color w:val="auto"/>
                      <w:szCs w:val="21"/>
                      <w:lang w:bidi="ar"/>
                    </w:rPr>
                    <w:t>废水排放量（</w:t>
                  </w:r>
                  <w:r>
                    <w:rPr>
                      <w:b/>
                      <w:bCs/>
                      <w:color w:val="auto"/>
                      <w:szCs w:val="21"/>
                      <w:lang w:bidi="ar"/>
                    </w:rPr>
                    <w:t>t/a</w:t>
                  </w:r>
                  <w:r>
                    <w:rPr>
                      <w:rFonts w:hint="eastAsia" w:cs="宋体"/>
                      <w:b/>
                      <w:bCs/>
                      <w:color w:val="auto"/>
                      <w:szCs w:val="21"/>
                      <w:lang w:bidi="ar"/>
                    </w:rPr>
                    <w:t>）</w:t>
                  </w:r>
                </w:p>
              </w:tc>
              <w:tc>
                <w:tcPr>
                  <w:tcW w:w="692" w:type="pct"/>
                  <w:vMerge w:val="restart"/>
                  <w:tcBorders>
                    <w:top w:val="single" w:color="auto" w:sz="12" w:space="0"/>
                    <w:left w:val="single" w:color="auto" w:sz="6" w:space="0"/>
                    <w:bottom w:val="single" w:color="auto" w:sz="4" w:space="0"/>
                    <w:right w:val="single" w:color="auto" w:sz="6" w:space="0"/>
                  </w:tcBorders>
                  <w:shd w:val="clear" w:color="auto" w:fill="auto"/>
                  <w:vAlign w:val="center"/>
                </w:tcPr>
                <w:p w14:paraId="129E8BAF">
                  <w:pPr>
                    <w:keepNext w:val="0"/>
                    <w:keepLines w:val="0"/>
                    <w:pageBreakBefore w:val="0"/>
                    <w:kinsoku/>
                    <w:wordWrap/>
                    <w:overflowPunct/>
                    <w:topLinePunct w:val="0"/>
                    <w:autoSpaceDE/>
                    <w:autoSpaceDN/>
                    <w:bidi w:val="0"/>
                    <w:adjustRightInd w:val="0"/>
                    <w:snapToGrid w:val="0"/>
                    <w:ind w:left="2" w:leftChars="1" w:firstLine="0"/>
                    <w:jc w:val="center"/>
                    <w:textAlignment w:val="auto"/>
                    <w:rPr>
                      <w:b/>
                      <w:bCs/>
                      <w:color w:val="auto"/>
                      <w:szCs w:val="21"/>
                    </w:rPr>
                  </w:pPr>
                  <w:r>
                    <w:rPr>
                      <w:rFonts w:hint="eastAsia" w:cs="宋体"/>
                      <w:b/>
                      <w:bCs/>
                      <w:color w:val="auto"/>
                      <w:szCs w:val="21"/>
                      <w:lang w:bidi="ar"/>
                    </w:rPr>
                    <w:t>排放规律</w:t>
                  </w:r>
                </w:p>
              </w:tc>
              <w:tc>
                <w:tcPr>
                  <w:tcW w:w="451" w:type="pct"/>
                  <w:vMerge w:val="restart"/>
                  <w:tcBorders>
                    <w:top w:val="single" w:color="auto" w:sz="12" w:space="0"/>
                    <w:left w:val="single" w:color="auto" w:sz="6" w:space="0"/>
                    <w:bottom w:val="single" w:color="auto" w:sz="4" w:space="0"/>
                    <w:right w:val="single" w:color="auto" w:sz="6" w:space="0"/>
                  </w:tcBorders>
                  <w:shd w:val="clear" w:color="auto" w:fill="auto"/>
                  <w:vAlign w:val="center"/>
                </w:tcPr>
                <w:p w14:paraId="23C57105">
                  <w:pPr>
                    <w:keepNext w:val="0"/>
                    <w:keepLines w:val="0"/>
                    <w:pageBreakBefore w:val="0"/>
                    <w:kinsoku/>
                    <w:wordWrap/>
                    <w:overflowPunct/>
                    <w:topLinePunct w:val="0"/>
                    <w:autoSpaceDE/>
                    <w:autoSpaceDN/>
                    <w:bidi w:val="0"/>
                    <w:adjustRightInd w:val="0"/>
                    <w:snapToGrid w:val="0"/>
                    <w:ind w:left="2" w:leftChars="1" w:firstLine="0"/>
                    <w:jc w:val="center"/>
                    <w:textAlignment w:val="auto"/>
                    <w:rPr>
                      <w:b/>
                      <w:bCs/>
                      <w:color w:val="auto"/>
                      <w:szCs w:val="21"/>
                    </w:rPr>
                  </w:pPr>
                  <w:r>
                    <w:rPr>
                      <w:rFonts w:hint="eastAsia" w:cs="宋体"/>
                      <w:b/>
                      <w:bCs/>
                      <w:color w:val="auto"/>
                      <w:szCs w:val="21"/>
                      <w:lang w:bidi="ar"/>
                    </w:rPr>
                    <w:t>间歇排放时段</w:t>
                  </w:r>
                </w:p>
              </w:tc>
              <w:tc>
                <w:tcPr>
                  <w:tcW w:w="1616" w:type="pct"/>
                  <w:gridSpan w:val="3"/>
                  <w:tcBorders>
                    <w:top w:val="single" w:color="auto" w:sz="12" w:space="0"/>
                    <w:left w:val="single" w:color="auto" w:sz="6" w:space="0"/>
                    <w:bottom w:val="single" w:color="auto" w:sz="4" w:space="0"/>
                    <w:right w:val="nil"/>
                  </w:tcBorders>
                  <w:shd w:val="clear" w:color="auto" w:fill="auto"/>
                  <w:vAlign w:val="center"/>
                </w:tcPr>
                <w:p w14:paraId="198F442D">
                  <w:pPr>
                    <w:keepNext w:val="0"/>
                    <w:keepLines w:val="0"/>
                    <w:pageBreakBefore w:val="0"/>
                    <w:kinsoku/>
                    <w:wordWrap/>
                    <w:overflowPunct/>
                    <w:topLinePunct w:val="0"/>
                    <w:autoSpaceDE/>
                    <w:autoSpaceDN/>
                    <w:bidi w:val="0"/>
                    <w:adjustRightInd w:val="0"/>
                    <w:snapToGrid w:val="0"/>
                    <w:ind w:left="2" w:leftChars="1" w:firstLine="0"/>
                    <w:jc w:val="center"/>
                    <w:textAlignment w:val="auto"/>
                    <w:rPr>
                      <w:b/>
                      <w:bCs/>
                      <w:color w:val="auto"/>
                      <w:szCs w:val="21"/>
                    </w:rPr>
                  </w:pPr>
                  <w:r>
                    <w:rPr>
                      <w:rFonts w:hint="eastAsia" w:cs="宋体"/>
                      <w:b/>
                      <w:bCs/>
                      <w:color w:val="auto"/>
                      <w:szCs w:val="21"/>
                      <w:lang w:bidi="ar"/>
                    </w:rPr>
                    <w:t>受纳污水处理厂信息</w:t>
                  </w:r>
                </w:p>
              </w:tc>
            </w:tr>
            <w:tr w14:paraId="499E571D">
              <w:tblPrEx>
                <w:tblBorders>
                  <w:top w:val="single" w:color="auto" w:sz="12" w:space="0"/>
                  <w:left w:val="none" w:color="auto" w:sz="6" w:space="0"/>
                  <w:bottom w:val="single" w:color="auto" w:sz="12" w:space="0"/>
                  <w:right w:val="none" w:color="auto" w:sz="6"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224" w:type="pct"/>
                  <w:vMerge w:val="continue"/>
                  <w:tcBorders>
                    <w:top w:val="single" w:color="auto" w:sz="12" w:space="0"/>
                    <w:left w:val="nil"/>
                    <w:bottom w:val="single" w:color="auto" w:sz="4" w:space="0"/>
                    <w:right w:val="single" w:color="auto" w:sz="6" w:space="0"/>
                  </w:tcBorders>
                  <w:shd w:val="clear" w:color="auto" w:fill="auto"/>
                  <w:vAlign w:val="center"/>
                </w:tcPr>
                <w:p w14:paraId="4E08AED6">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442" w:type="pct"/>
                  <w:vMerge w:val="continue"/>
                  <w:tcBorders>
                    <w:top w:val="single" w:color="auto" w:sz="12" w:space="0"/>
                    <w:left w:val="single" w:color="auto" w:sz="6" w:space="0"/>
                    <w:bottom w:val="single" w:color="auto" w:sz="4" w:space="0"/>
                    <w:right w:val="single" w:color="auto" w:sz="6" w:space="0"/>
                  </w:tcBorders>
                  <w:shd w:val="clear" w:color="auto" w:fill="auto"/>
                  <w:vAlign w:val="center"/>
                </w:tcPr>
                <w:p w14:paraId="025039AB">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491" w:type="pct"/>
                  <w:tcBorders>
                    <w:top w:val="single" w:color="auto" w:sz="4" w:space="0"/>
                    <w:left w:val="single" w:color="auto" w:sz="6" w:space="0"/>
                    <w:bottom w:val="single" w:color="auto" w:sz="4" w:space="0"/>
                    <w:right w:val="single" w:color="auto" w:sz="6" w:space="0"/>
                  </w:tcBorders>
                  <w:shd w:val="clear" w:color="auto" w:fill="auto"/>
                  <w:vAlign w:val="center"/>
                </w:tcPr>
                <w:p w14:paraId="6AB2387A">
                  <w:pPr>
                    <w:keepNext w:val="0"/>
                    <w:keepLines w:val="0"/>
                    <w:pageBreakBefore w:val="0"/>
                    <w:kinsoku/>
                    <w:wordWrap/>
                    <w:overflowPunct/>
                    <w:topLinePunct w:val="0"/>
                    <w:autoSpaceDE/>
                    <w:autoSpaceDN/>
                    <w:bidi w:val="0"/>
                    <w:adjustRightInd w:val="0"/>
                    <w:snapToGrid w:val="0"/>
                    <w:ind w:left="2" w:leftChars="1" w:firstLine="0"/>
                    <w:jc w:val="center"/>
                    <w:textAlignment w:val="auto"/>
                    <w:rPr>
                      <w:b/>
                      <w:bCs/>
                      <w:color w:val="auto"/>
                      <w:szCs w:val="21"/>
                    </w:rPr>
                  </w:pPr>
                  <w:r>
                    <w:rPr>
                      <w:rFonts w:hint="eastAsia" w:cs="宋体"/>
                      <w:b/>
                      <w:bCs/>
                      <w:color w:val="auto"/>
                      <w:szCs w:val="21"/>
                      <w:lang w:bidi="ar"/>
                    </w:rPr>
                    <w:t>经度</w:t>
                  </w:r>
                </w:p>
              </w:tc>
              <w:tc>
                <w:tcPr>
                  <w:tcW w:w="524" w:type="pct"/>
                  <w:tcBorders>
                    <w:top w:val="single" w:color="auto" w:sz="4" w:space="0"/>
                    <w:left w:val="single" w:color="auto" w:sz="6" w:space="0"/>
                    <w:bottom w:val="single" w:color="auto" w:sz="4" w:space="0"/>
                    <w:right w:val="single" w:color="auto" w:sz="6" w:space="0"/>
                  </w:tcBorders>
                  <w:shd w:val="clear" w:color="auto" w:fill="auto"/>
                  <w:vAlign w:val="center"/>
                </w:tcPr>
                <w:p w14:paraId="01E92206">
                  <w:pPr>
                    <w:keepNext w:val="0"/>
                    <w:keepLines w:val="0"/>
                    <w:pageBreakBefore w:val="0"/>
                    <w:kinsoku/>
                    <w:wordWrap/>
                    <w:overflowPunct/>
                    <w:topLinePunct w:val="0"/>
                    <w:autoSpaceDE/>
                    <w:autoSpaceDN/>
                    <w:bidi w:val="0"/>
                    <w:adjustRightInd w:val="0"/>
                    <w:snapToGrid w:val="0"/>
                    <w:ind w:left="2" w:leftChars="1" w:firstLine="0"/>
                    <w:jc w:val="center"/>
                    <w:textAlignment w:val="auto"/>
                    <w:rPr>
                      <w:b/>
                      <w:bCs/>
                      <w:color w:val="auto"/>
                      <w:szCs w:val="21"/>
                    </w:rPr>
                  </w:pPr>
                  <w:r>
                    <w:rPr>
                      <w:rFonts w:hint="eastAsia" w:cs="宋体"/>
                      <w:b/>
                      <w:bCs/>
                      <w:color w:val="auto"/>
                      <w:szCs w:val="21"/>
                      <w:lang w:bidi="ar"/>
                    </w:rPr>
                    <w:t>纬度</w:t>
                  </w:r>
                </w:p>
              </w:tc>
              <w:tc>
                <w:tcPr>
                  <w:tcW w:w="556" w:type="pct"/>
                  <w:vMerge w:val="continue"/>
                  <w:tcBorders>
                    <w:top w:val="single" w:color="auto" w:sz="12" w:space="0"/>
                    <w:left w:val="single" w:color="auto" w:sz="6" w:space="0"/>
                    <w:bottom w:val="single" w:color="auto" w:sz="4" w:space="0"/>
                    <w:right w:val="single" w:color="auto" w:sz="6" w:space="0"/>
                  </w:tcBorders>
                  <w:shd w:val="clear" w:color="auto" w:fill="auto"/>
                  <w:vAlign w:val="center"/>
                </w:tcPr>
                <w:p w14:paraId="6EED4F3D">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692" w:type="pct"/>
                  <w:vMerge w:val="continue"/>
                  <w:tcBorders>
                    <w:top w:val="single" w:color="auto" w:sz="12" w:space="0"/>
                    <w:left w:val="single" w:color="auto" w:sz="6" w:space="0"/>
                    <w:bottom w:val="single" w:color="auto" w:sz="4" w:space="0"/>
                    <w:right w:val="single" w:color="auto" w:sz="6" w:space="0"/>
                  </w:tcBorders>
                  <w:shd w:val="clear" w:color="auto" w:fill="auto"/>
                  <w:vAlign w:val="center"/>
                </w:tcPr>
                <w:p w14:paraId="0E009FA4">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451" w:type="pct"/>
                  <w:vMerge w:val="continue"/>
                  <w:tcBorders>
                    <w:top w:val="single" w:color="auto" w:sz="12" w:space="0"/>
                    <w:left w:val="single" w:color="auto" w:sz="6" w:space="0"/>
                    <w:bottom w:val="single" w:color="auto" w:sz="4" w:space="0"/>
                    <w:right w:val="single" w:color="auto" w:sz="6" w:space="0"/>
                  </w:tcBorders>
                  <w:shd w:val="clear" w:color="auto" w:fill="auto"/>
                  <w:vAlign w:val="center"/>
                </w:tcPr>
                <w:p w14:paraId="1FAC9CD6">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488" w:type="pct"/>
                  <w:tcBorders>
                    <w:top w:val="single" w:color="auto" w:sz="4" w:space="0"/>
                    <w:left w:val="single" w:color="auto" w:sz="6" w:space="0"/>
                    <w:bottom w:val="single" w:color="auto" w:sz="4" w:space="0"/>
                    <w:right w:val="single" w:color="auto" w:sz="6" w:space="0"/>
                  </w:tcBorders>
                  <w:shd w:val="clear" w:color="auto" w:fill="auto"/>
                  <w:vAlign w:val="center"/>
                </w:tcPr>
                <w:p w14:paraId="17E6057E">
                  <w:pPr>
                    <w:keepNext w:val="0"/>
                    <w:keepLines w:val="0"/>
                    <w:pageBreakBefore w:val="0"/>
                    <w:widowControl/>
                    <w:kinsoku/>
                    <w:wordWrap/>
                    <w:overflowPunct/>
                    <w:topLinePunct w:val="0"/>
                    <w:autoSpaceDE/>
                    <w:autoSpaceDN/>
                    <w:bidi w:val="0"/>
                    <w:adjustRightInd w:val="0"/>
                    <w:snapToGrid w:val="0"/>
                    <w:ind w:left="2" w:leftChars="1" w:firstLine="0"/>
                    <w:jc w:val="center"/>
                    <w:textAlignment w:val="auto"/>
                    <w:rPr>
                      <w:b/>
                      <w:color w:val="auto"/>
                      <w:szCs w:val="21"/>
                    </w:rPr>
                  </w:pPr>
                  <w:r>
                    <w:rPr>
                      <w:rFonts w:hint="eastAsia" w:cs="宋体"/>
                      <w:b/>
                      <w:color w:val="auto"/>
                      <w:szCs w:val="21"/>
                      <w:lang w:bidi="ar"/>
                    </w:rPr>
                    <w:t>排放去向</w:t>
                  </w:r>
                </w:p>
              </w:tc>
              <w:tc>
                <w:tcPr>
                  <w:tcW w:w="647" w:type="pct"/>
                  <w:tcBorders>
                    <w:top w:val="single" w:color="auto" w:sz="4" w:space="0"/>
                    <w:left w:val="single" w:color="auto" w:sz="6" w:space="0"/>
                    <w:bottom w:val="single" w:color="auto" w:sz="4" w:space="0"/>
                    <w:right w:val="single" w:color="auto" w:sz="6" w:space="0"/>
                  </w:tcBorders>
                  <w:shd w:val="clear" w:color="auto" w:fill="auto"/>
                  <w:vAlign w:val="center"/>
                </w:tcPr>
                <w:p w14:paraId="717CD905">
                  <w:pPr>
                    <w:keepNext w:val="0"/>
                    <w:keepLines w:val="0"/>
                    <w:pageBreakBefore w:val="0"/>
                    <w:widowControl/>
                    <w:kinsoku/>
                    <w:wordWrap/>
                    <w:overflowPunct/>
                    <w:topLinePunct w:val="0"/>
                    <w:autoSpaceDE/>
                    <w:autoSpaceDN/>
                    <w:bidi w:val="0"/>
                    <w:adjustRightInd w:val="0"/>
                    <w:snapToGrid w:val="0"/>
                    <w:ind w:left="2" w:leftChars="1" w:firstLine="0"/>
                    <w:jc w:val="center"/>
                    <w:textAlignment w:val="auto"/>
                    <w:rPr>
                      <w:b/>
                      <w:color w:val="auto"/>
                      <w:szCs w:val="21"/>
                    </w:rPr>
                  </w:pPr>
                  <w:r>
                    <w:rPr>
                      <w:rFonts w:hint="eastAsia" w:cs="宋体"/>
                      <w:b/>
                      <w:color w:val="auto"/>
                      <w:szCs w:val="21"/>
                      <w:lang w:bidi="ar"/>
                    </w:rPr>
                    <w:t>污染物种类</w:t>
                  </w:r>
                </w:p>
              </w:tc>
              <w:tc>
                <w:tcPr>
                  <w:tcW w:w="480" w:type="pct"/>
                  <w:tcBorders>
                    <w:top w:val="single" w:color="auto" w:sz="4" w:space="0"/>
                    <w:left w:val="single" w:color="auto" w:sz="6" w:space="0"/>
                    <w:bottom w:val="single" w:color="auto" w:sz="4" w:space="0"/>
                    <w:right w:val="nil"/>
                  </w:tcBorders>
                  <w:shd w:val="clear" w:color="auto" w:fill="auto"/>
                  <w:vAlign w:val="center"/>
                </w:tcPr>
                <w:p w14:paraId="7F3FEAF4">
                  <w:pPr>
                    <w:keepNext w:val="0"/>
                    <w:keepLines w:val="0"/>
                    <w:pageBreakBefore w:val="0"/>
                    <w:widowControl/>
                    <w:kinsoku/>
                    <w:wordWrap/>
                    <w:overflowPunct/>
                    <w:topLinePunct w:val="0"/>
                    <w:autoSpaceDE/>
                    <w:autoSpaceDN/>
                    <w:bidi w:val="0"/>
                    <w:adjustRightInd w:val="0"/>
                    <w:snapToGrid w:val="0"/>
                    <w:ind w:left="2" w:leftChars="1" w:firstLine="0"/>
                    <w:jc w:val="center"/>
                    <w:textAlignment w:val="auto"/>
                    <w:rPr>
                      <w:b/>
                      <w:color w:val="auto"/>
                      <w:szCs w:val="21"/>
                    </w:rPr>
                  </w:pPr>
                  <w:r>
                    <w:rPr>
                      <w:rFonts w:hint="eastAsia" w:cs="宋体"/>
                      <w:b/>
                      <w:color w:val="auto"/>
                      <w:szCs w:val="21"/>
                      <w:lang w:bidi="ar"/>
                    </w:rPr>
                    <w:t>接管浓度</w:t>
                  </w:r>
                </w:p>
              </w:tc>
            </w:tr>
            <w:tr w14:paraId="09F5AE6C">
              <w:tblPrEx>
                <w:tblBorders>
                  <w:top w:val="single" w:color="auto" w:sz="12" w:space="0"/>
                  <w:left w:val="none" w:color="auto" w:sz="6" w:space="0"/>
                  <w:bottom w:val="single" w:color="auto" w:sz="12" w:space="0"/>
                  <w:right w:val="none" w:color="auto" w:sz="6" w:space="0"/>
                  <w:insideH w:val="single" w:color="auto" w:sz="4" w:space="0"/>
                  <w:insideV w:val="single" w:color="auto" w:sz="6" w:space="0"/>
                </w:tblBorders>
                <w:tblCellMar>
                  <w:top w:w="0" w:type="dxa"/>
                  <w:left w:w="108" w:type="dxa"/>
                  <w:bottom w:w="0" w:type="dxa"/>
                  <w:right w:w="108" w:type="dxa"/>
                </w:tblCellMar>
              </w:tblPrEx>
              <w:trPr>
                <w:trHeight w:val="381" w:hRule="atLeast"/>
                <w:jc w:val="center"/>
              </w:trPr>
              <w:tc>
                <w:tcPr>
                  <w:tcW w:w="224" w:type="pct"/>
                  <w:vMerge w:val="restart"/>
                  <w:tcBorders>
                    <w:top w:val="single" w:color="auto" w:sz="4" w:space="0"/>
                    <w:left w:val="nil"/>
                    <w:bottom w:val="single" w:color="auto" w:sz="12" w:space="0"/>
                    <w:right w:val="single" w:color="auto" w:sz="6" w:space="0"/>
                  </w:tcBorders>
                  <w:shd w:val="clear" w:color="auto" w:fill="auto"/>
                  <w:vAlign w:val="center"/>
                </w:tcPr>
                <w:p w14:paraId="6AD61106">
                  <w:pPr>
                    <w:keepNext w:val="0"/>
                    <w:keepLines w:val="0"/>
                    <w:pageBreakBefore w:val="0"/>
                    <w:widowControl/>
                    <w:kinsoku/>
                    <w:wordWrap/>
                    <w:overflowPunct/>
                    <w:topLinePunct w:val="0"/>
                    <w:autoSpaceDE/>
                    <w:autoSpaceDN/>
                    <w:bidi w:val="0"/>
                    <w:adjustRightInd w:val="0"/>
                    <w:snapToGrid w:val="0"/>
                    <w:ind w:left="2" w:leftChars="1" w:firstLine="0"/>
                    <w:jc w:val="center"/>
                    <w:textAlignment w:val="auto"/>
                    <w:rPr>
                      <w:rFonts w:hAnsi="宋体"/>
                      <w:color w:val="auto"/>
                      <w:szCs w:val="21"/>
                    </w:rPr>
                  </w:pPr>
                  <w:r>
                    <w:rPr>
                      <w:rFonts w:hAnsi="宋体"/>
                      <w:color w:val="auto"/>
                      <w:szCs w:val="21"/>
                      <w:lang w:bidi="ar"/>
                    </w:rPr>
                    <w:t>1</w:t>
                  </w:r>
                </w:p>
              </w:tc>
              <w:tc>
                <w:tcPr>
                  <w:tcW w:w="442" w:type="pct"/>
                  <w:vMerge w:val="restart"/>
                  <w:tcBorders>
                    <w:top w:val="single" w:color="auto" w:sz="4" w:space="0"/>
                    <w:left w:val="single" w:color="auto" w:sz="6" w:space="0"/>
                    <w:bottom w:val="single" w:color="auto" w:sz="12" w:space="0"/>
                    <w:right w:val="single" w:color="auto" w:sz="6" w:space="0"/>
                  </w:tcBorders>
                  <w:shd w:val="clear" w:color="auto" w:fill="auto"/>
                  <w:vAlign w:val="center"/>
                </w:tcPr>
                <w:p w14:paraId="5330DAA5">
                  <w:pPr>
                    <w:keepNext w:val="0"/>
                    <w:keepLines w:val="0"/>
                    <w:pageBreakBefore w:val="0"/>
                    <w:widowControl/>
                    <w:kinsoku/>
                    <w:wordWrap/>
                    <w:overflowPunct/>
                    <w:topLinePunct w:val="0"/>
                    <w:autoSpaceDE/>
                    <w:autoSpaceDN/>
                    <w:bidi w:val="0"/>
                    <w:adjustRightInd w:val="0"/>
                    <w:snapToGrid w:val="0"/>
                    <w:ind w:left="2" w:leftChars="1" w:firstLine="0"/>
                    <w:jc w:val="center"/>
                    <w:textAlignment w:val="auto"/>
                    <w:rPr>
                      <w:color w:val="auto"/>
                      <w:szCs w:val="21"/>
                    </w:rPr>
                  </w:pPr>
                  <w:r>
                    <w:rPr>
                      <w:color w:val="auto"/>
                      <w:szCs w:val="21"/>
                      <w:lang w:bidi="ar"/>
                    </w:rPr>
                    <w:t>DW001</w:t>
                  </w:r>
                </w:p>
              </w:tc>
              <w:tc>
                <w:tcPr>
                  <w:tcW w:w="491" w:type="pct"/>
                  <w:vMerge w:val="restart"/>
                  <w:tcBorders>
                    <w:top w:val="single" w:color="auto" w:sz="4" w:space="0"/>
                    <w:left w:val="single" w:color="auto" w:sz="6" w:space="0"/>
                    <w:bottom w:val="single" w:color="auto" w:sz="12" w:space="0"/>
                    <w:right w:val="single" w:color="auto" w:sz="6" w:space="0"/>
                  </w:tcBorders>
                  <w:shd w:val="clear" w:color="auto" w:fill="auto"/>
                  <w:vAlign w:val="center"/>
                </w:tcPr>
                <w:p w14:paraId="0EE40063">
                  <w:pPr>
                    <w:keepNext w:val="0"/>
                    <w:keepLines w:val="0"/>
                    <w:pageBreakBefore w:val="0"/>
                    <w:kinsoku/>
                    <w:wordWrap/>
                    <w:overflowPunct/>
                    <w:topLinePunct w:val="0"/>
                    <w:autoSpaceDE/>
                    <w:autoSpaceDN/>
                    <w:bidi w:val="0"/>
                    <w:adjustRightInd w:val="0"/>
                    <w:snapToGrid w:val="0"/>
                    <w:ind w:left="2" w:leftChars="1" w:firstLine="0"/>
                    <w:jc w:val="center"/>
                    <w:textAlignment w:val="auto"/>
                    <w:rPr>
                      <w:rFonts w:hAnsi="宋体"/>
                      <w:color w:val="auto"/>
                      <w:szCs w:val="21"/>
                    </w:rPr>
                  </w:pPr>
                  <w:r>
                    <w:rPr>
                      <w:bCs/>
                      <w:color w:val="auto"/>
                      <w:szCs w:val="21"/>
                    </w:rPr>
                    <w:t>119°</w:t>
                  </w:r>
                  <w:r>
                    <w:rPr>
                      <w:rFonts w:hint="eastAsia"/>
                      <w:bCs/>
                      <w:color w:val="auto"/>
                      <w:szCs w:val="21"/>
                    </w:rPr>
                    <w:t>15</w:t>
                  </w:r>
                  <w:r>
                    <w:rPr>
                      <w:bCs/>
                      <w:color w:val="auto"/>
                      <w:szCs w:val="21"/>
                    </w:rPr>
                    <w:t>′</w:t>
                  </w:r>
                  <w:r>
                    <w:rPr>
                      <w:rFonts w:hint="eastAsia"/>
                      <w:bCs/>
                      <w:color w:val="auto"/>
                      <w:szCs w:val="21"/>
                    </w:rPr>
                    <w:t>48.670</w:t>
                  </w:r>
                  <w:r>
                    <w:rPr>
                      <w:bCs/>
                      <w:color w:val="auto"/>
                      <w:szCs w:val="21"/>
                    </w:rPr>
                    <w:t>″</w:t>
                  </w:r>
                </w:p>
              </w:tc>
              <w:tc>
                <w:tcPr>
                  <w:tcW w:w="524" w:type="pct"/>
                  <w:vMerge w:val="restart"/>
                  <w:tcBorders>
                    <w:top w:val="single" w:color="auto" w:sz="4" w:space="0"/>
                    <w:left w:val="single" w:color="auto" w:sz="6" w:space="0"/>
                    <w:bottom w:val="single" w:color="auto" w:sz="12" w:space="0"/>
                    <w:right w:val="single" w:color="auto" w:sz="6" w:space="0"/>
                  </w:tcBorders>
                  <w:shd w:val="clear" w:color="auto" w:fill="auto"/>
                  <w:vAlign w:val="center"/>
                </w:tcPr>
                <w:p w14:paraId="66C127D0">
                  <w:pPr>
                    <w:keepNext w:val="0"/>
                    <w:keepLines w:val="0"/>
                    <w:pageBreakBefore w:val="0"/>
                    <w:kinsoku/>
                    <w:wordWrap/>
                    <w:overflowPunct/>
                    <w:topLinePunct w:val="0"/>
                    <w:autoSpaceDE/>
                    <w:autoSpaceDN/>
                    <w:bidi w:val="0"/>
                    <w:adjustRightInd w:val="0"/>
                    <w:snapToGrid w:val="0"/>
                    <w:ind w:left="2" w:leftChars="1" w:firstLine="0"/>
                    <w:jc w:val="center"/>
                    <w:textAlignment w:val="auto"/>
                    <w:rPr>
                      <w:color w:val="auto"/>
                      <w:szCs w:val="21"/>
                    </w:rPr>
                  </w:pPr>
                  <w:r>
                    <w:rPr>
                      <w:bCs/>
                      <w:color w:val="auto"/>
                      <w:szCs w:val="21"/>
                    </w:rPr>
                    <w:t>33°</w:t>
                  </w:r>
                  <w:r>
                    <w:rPr>
                      <w:rFonts w:hint="eastAsia"/>
                      <w:bCs/>
                      <w:color w:val="auto"/>
                      <w:szCs w:val="21"/>
                    </w:rPr>
                    <w:t>49</w:t>
                  </w:r>
                  <w:r>
                    <w:rPr>
                      <w:bCs/>
                      <w:color w:val="auto"/>
                      <w:szCs w:val="21"/>
                    </w:rPr>
                    <w:t>′</w:t>
                  </w:r>
                  <w:r>
                    <w:rPr>
                      <w:rFonts w:hint="eastAsia"/>
                      <w:bCs/>
                      <w:color w:val="auto"/>
                      <w:szCs w:val="21"/>
                    </w:rPr>
                    <w:t>0.503</w:t>
                  </w:r>
                  <w:r>
                    <w:rPr>
                      <w:bCs/>
                      <w:color w:val="auto"/>
                      <w:szCs w:val="21"/>
                    </w:rPr>
                    <w:t>″</w:t>
                  </w:r>
                </w:p>
              </w:tc>
              <w:tc>
                <w:tcPr>
                  <w:tcW w:w="556" w:type="pct"/>
                  <w:vMerge w:val="restart"/>
                  <w:tcBorders>
                    <w:top w:val="single" w:color="auto" w:sz="4" w:space="0"/>
                    <w:left w:val="single" w:color="auto" w:sz="6" w:space="0"/>
                    <w:bottom w:val="single" w:color="auto" w:sz="12" w:space="0"/>
                    <w:right w:val="single" w:color="auto" w:sz="6" w:space="0"/>
                  </w:tcBorders>
                  <w:shd w:val="clear" w:color="auto" w:fill="auto"/>
                  <w:vAlign w:val="center"/>
                </w:tcPr>
                <w:p w14:paraId="4D412FBB">
                  <w:pPr>
                    <w:keepNext w:val="0"/>
                    <w:keepLines w:val="0"/>
                    <w:pageBreakBefore w:val="0"/>
                    <w:widowControl/>
                    <w:kinsoku/>
                    <w:wordWrap/>
                    <w:overflowPunct/>
                    <w:topLinePunct w:val="0"/>
                    <w:autoSpaceDE/>
                    <w:autoSpaceDN/>
                    <w:bidi w:val="0"/>
                    <w:adjustRightInd w:val="0"/>
                    <w:snapToGrid w:val="0"/>
                    <w:ind w:left="2" w:leftChars="1" w:firstLine="0"/>
                    <w:jc w:val="center"/>
                    <w:textAlignment w:val="auto"/>
                    <w:rPr>
                      <w:rFonts w:hint="default" w:eastAsia="宋体"/>
                      <w:color w:val="auto"/>
                      <w:szCs w:val="21"/>
                      <w:lang w:val="en-US" w:eastAsia="zh-CN"/>
                    </w:rPr>
                  </w:pPr>
                  <w:r>
                    <w:rPr>
                      <w:rFonts w:hint="eastAsia"/>
                      <w:color w:val="auto"/>
                      <w:szCs w:val="21"/>
                      <w:lang w:val="en-US" w:eastAsia="zh-CN" w:bidi="ar"/>
                    </w:rPr>
                    <w:t>2280</w:t>
                  </w:r>
                </w:p>
              </w:tc>
              <w:tc>
                <w:tcPr>
                  <w:tcW w:w="692" w:type="pct"/>
                  <w:vMerge w:val="restart"/>
                  <w:tcBorders>
                    <w:top w:val="single" w:color="auto" w:sz="4" w:space="0"/>
                    <w:left w:val="single" w:color="auto" w:sz="6" w:space="0"/>
                    <w:bottom w:val="single" w:color="auto" w:sz="12" w:space="0"/>
                    <w:right w:val="single" w:color="auto" w:sz="6" w:space="0"/>
                  </w:tcBorders>
                  <w:shd w:val="clear" w:color="auto" w:fill="auto"/>
                  <w:vAlign w:val="center"/>
                </w:tcPr>
                <w:p w14:paraId="3C4628AD">
                  <w:pPr>
                    <w:keepNext w:val="0"/>
                    <w:keepLines w:val="0"/>
                    <w:pageBreakBefore w:val="0"/>
                    <w:kinsoku/>
                    <w:wordWrap/>
                    <w:overflowPunct/>
                    <w:topLinePunct w:val="0"/>
                    <w:autoSpaceDE/>
                    <w:autoSpaceDN/>
                    <w:bidi w:val="0"/>
                    <w:adjustRightInd w:val="0"/>
                    <w:snapToGrid w:val="0"/>
                    <w:ind w:left="2" w:leftChars="1" w:firstLine="0"/>
                    <w:jc w:val="center"/>
                    <w:textAlignment w:val="auto"/>
                    <w:rPr>
                      <w:rFonts w:hAnsi="宋体"/>
                      <w:color w:val="auto"/>
                      <w:szCs w:val="21"/>
                    </w:rPr>
                  </w:pPr>
                  <w:r>
                    <w:rPr>
                      <w:rFonts w:hint="eastAsia" w:hAnsi="宋体" w:cs="宋体"/>
                      <w:color w:val="auto"/>
                      <w:szCs w:val="21"/>
                      <w:lang w:bidi="ar"/>
                    </w:rPr>
                    <w:t>间接排放，排放期间流量不稳定，但有规律，且不属于非周期性规律</w:t>
                  </w:r>
                </w:p>
              </w:tc>
              <w:tc>
                <w:tcPr>
                  <w:tcW w:w="451" w:type="pct"/>
                  <w:vMerge w:val="restart"/>
                  <w:tcBorders>
                    <w:top w:val="single" w:color="auto" w:sz="4" w:space="0"/>
                    <w:left w:val="single" w:color="auto" w:sz="6" w:space="0"/>
                    <w:bottom w:val="single" w:color="auto" w:sz="12" w:space="0"/>
                    <w:right w:val="single" w:color="auto" w:sz="6" w:space="0"/>
                  </w:tcBorders>
                  <w:shd w:val="clear" w:color="auto" w:fill="auto"/>
                  <w:vAlign w:val="center"/>
                </w:tcPr>
                <w:p w14:paraId="72BA6C47">
                  <w:pPr>
                    <w:keepNext w:val="0"/>
                    <w:keepLines w:val="0"/>
                    <w:pageBreakBefore w:val="0"/>
                    <w:kinsoku/>
                    <w:wordWrap/>
                    <w:overflowPunct/>
                    <w:topLinePunct w:val="0"/>
                    <w:autoSpaceDE/>
                    <w:autoSpaceDN/>
                    <w:bidi w:val="0"/>
                    <w:adjustRightInd w:val="0"/>
                    <w:snapToGrid w:val="0"/>
                    <w:ind w:left="2" w:leftChars="1" w:firstLine="0"/>
                    <w:jc w:val="center"/>
                    <w:textAlignment w:val="auto"/>
                    <w:rPr>
                      <w:color w:val="auto"/>
                      <w:szCs w:val="21"/>
                    </w:rPr>
                  </w:pPr>
                  <w:r>
                    <w:rPr>
                      <w:rFonts w:hint="eastAsia" w:cs="宋体"/>
                      <w:color w:val="auto"/>
                      <w:szCs w:val="21"/>
                      <w:lang w:bidi="ar"/>
                    </w:rPr>
                    <w:t>全天</w:t>
                  </w:r>
                </w:p>
              </w:tc>
              <w:tc>
                <w:tcPr>
                  <w:tcW w:w="488" w:type="pct"/>
                  <w:vMerge w:val="restart"/>
                  <w:tcBorders>
                    <w:top w:val="single" w:color="auto" w:sz="4" w:space="0"/>
                    <w:left w:val="single" w:color="auto" w:sz="6" w:space="0"/>
                    <w:bottom w:val="single" w:color="auto" w:sz="12" w:space="0"/>
                    <w:right w:val="single" w:color="auto" w:sz="6" w:space="0"/>
                  </w:tcBorders>
                  <w:shd w:val="clear" w:color="auto" w:fill="auto"/>
                  <w:vAlign w:val="center"/>
                </w:tcPr>
                <w:p w14:paraId="045DFC20">
                  <w:pPr>
                    <w:keepNext w:val="0"/>
                    <w:keepLines w:val="0"/>
                    <w:pageBreakBefore w:val="0"/>
                    <w:kinsoku/>
                    <w:wordWrap/>
                    <w:overflowPunct/>
                    <w:topLinePunct w:val="0"/>
                    <w:autoSpaceDE/>
                    <w:autoSpaceDN/>
                    <w:bidi w:val="0"/>
                    <w:adjustRightInd w:val="0"/>
                    <w:snapToGrid w:val="0"/>
                    <w:ind w:left="2" w:leftChars="1" w:firstLine="0"/>
                    <w:jc w:val="center"/>
                    <w:textAlignment w:val="auto"/>
                    <w:rPr>
                      <w:color w:val="auto"/>
                      <w:szCs w:val="21"/>
                    </w:rPr>
                  </w:pPr>
                  <w:r>
                    <w:rPr>
                      <w:rFonts w:hint="eastAsia" w:hAnsi="宋体" w:cs="宋体"/>
                      <w:color w:val="auto"/>
                      <w:szCs w:val="21"/>
                      <w:lang w:bidi="ar"/>
                    </w:rPr>
                    <w:t>涟水县经济开发区西区污水处理厂</w:t>
                  </w:r>
                </w:p>
              </w:tc>
              <w:tc>
                <w:tcPr>
                  <w:tcW w:w="647" w:type="pct"/>
                  <w:tcBorders>
                    <w:top w:val="single" w:color="auto" w:sz="4" w:space="0"/>
                    <w:left w:val="single" w:color="auto" w:sz="6" w:space="0"/>
                    <w:bottom w:val="single" w:color="auto" w:sz="4" w:space="0"/>
                    <w:right w:val="single" w:color="auto" w:sz="6" w:space="0"/>
                  </w:tcBorders>
                  <w:shd w:val="clear" w:color="auto" w:fill="auto"/>
                  <w:vAlign w:val="center"/>
                </w:tcPr>
                <w:p w14:paraId="0401FF12">
                  <w:pPr>
                    <w:keepNext w:val="0"/>
                    <w:keepLines w:val="0"/>
                    <w:pageBreakBefore w:val="0"/>
                    <w:kinsoku/>
                    <w:wordWrap/>
                    <w:overflowPunct/>
                    <w:topLinePunct w:val="0"/>
                    <w:autoSpaceDE/>
                    <w:autoSpaceDN/>
                    <w:bidi w:val="0"/>
                    <w:adjustRightInd w:val="0"/>
                    <w:snapToGrid w:val="0"/>
                    <w:ind w:left="2" w:leftChars="1" w:firstLine="0"/>
                    <w:jc w:val="center"/>
                    <w:textAlignment w:val="auto"/>
                    <w:rPr>
                      <w:color w:val="auto"/>
                      <w:szCs w:val="21"/>
                    </w:rPr>
                  </w:pPr>
                  <w:r>
                    <w:rPr>
                      <w:color w:val="auto"/>
                      <w:szCs w:val="21"/>
                      <w:lang w:bidi="ar"/>
                    </w:rPr>
                    <w:t>COD</w:t>
                  </w:r>
                </w:p>
              </w:tc>
              <w:tc>
                <w:tcPr>
                  <w:tcW w:w="480" w:type="pct"/>
                  <w:tcBorders>
                    <w:top w:val="single" w:color="auto" w:sz="4" w:space="0"/>
                    <w:left w:val="single" w:color="auto" w:sz="6" w:space="0"/>
                    <w:bottom w:val="single" w:color="auto" w:sz="4" w:space="0"/>
                    <w:right w:val="nil"/>
                  </w:tcBorders>
                  <w:shd w:val="clear" w:color="auto" w:fill="auto"/>
                  <w:vAlign w:val="center"/>
                </w:tcPr>
                <w:p w14:paraId="19AD8A18">
                  <w:pPr>
                    <w:keepNext w:val="0"/>
                    <w:keepLines w:val="0"/>
                    <w:pageBreakBefore w:val="0"/>
                    <w:kinsoku/>
                    <w:wordWrap/>
                    <w:overflowPunct/>
                    <w:topLinePunct w:val="0"/>
                    <w:autoSpaceDE/>
                    <w:autoSpaceDN/>
                    <w:bidi w:val="0"/>
                    <w:adjustRightInd w:val="0"/>
                    <w:snapToGrid w:val="0"/>
                    <w:ind w:left="2" w:leftChars="1" w:firstLine="0"/>
                    <w:jc w:val="center"/>
                    <w:textAlignment w:val="auto"/>
                    <w:rPr>
                      <w:color w:val="auto"/>
                      <w:szCs w:val="21"/>
                    </w:rPr>
                  </w:pPr>
                  <w:r>
                    <w:rPr>
                      <w:color w:val="auto"/>
                      <w:szCs w:val="21"/>
                      <w:lang w:bidi="ar"/>
                    </w:rPr>
                    <w:t>500</w:t>
                  </w:r>
                </w:p>
              </w:tc>
            </w:tr>
            <w:tr w14:paraId="73C0D6C1">
              <w:tblPrEx>
                <w:tblBorders>
                  <w:top w:val="single" w:color="auto" w:sz="12" w:space="0"/>
                  <w:left w:val="none" w:color="auto" w:sz="6" w:space="0"/>
                  <w:bottom w:val="single" w:color="auto" w:sz="12" w:space="0"/>
                  <w:right w:val="none" w:color="auto" w:sz="6" w:space="0"/>
                  <w:insideH w:val="single" w:color="auto" w:sz="4" w:space="0"/>
                  <w:insideV w:val="single" w:color="auto" w:sz="6" w:space="0"/>
                </w:tblBorders>
                <w:tblCellMar>
                  <w:top w:w="0" w:type="dxa"/>
                  <w:left w:w="108" w:type="dxa"/>
                  <w:bottom w:w="0" w:type="dxa"/>
                  <w:right w:w="108" w:type="dxa"/>
                </w:tblCellMar>
              </w:tblPrEx>
              <w:trPr>
                <w:trHeight w:val="381" w:hRule="atLeast"/>
                <w:jc w:val="center"/>
              </w:trPr>
              <w:tc>
                <w:tcPr>
                  <w:tcW w:w="224" w:type="pct"/>
                  <w:vMerge w:val="continue"/>
                  <w:tcBorders>
                    <w:top w:val="single" w:color="auto" w:sz="4" w:space="0"/>
                    <w:left w:val="nil"/>
                    <w:bottom w:val="single" w:color="auto" w:sz="12" w:space="0"/>
                    <w:right w:val="single" w:color="auto" w:sz="6" w:space="0"/>
                  </w:tcBorders>
                  <w:shd w:val="clear" w:color="auto" w:fill="auto"/>
                  <w:vAlign w:val="center"/>
                </w:tcPr>
                <w:p w14:paraId="23352733">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442" w:type="pct"/>
                  <w:vMerge w:val="continue"/>
                  <w:tcBorders>
                    <w:top w:val="single" w:color="auto" w:sz="4" w:space="0"/>
                    <w:left w:val="single" w:color="auto" w:sz="6" w:space="0"/>
                    <w:bottom w:val="single" w:color="auto" w:sz="12" w:space="0"/>
                    <w:right w:val="single" w:color="auto" w:sz="6" w:space="0"/>
                  </w:tcBorders>
                  <w:shd w:val="clear" w:color="auto" w:fill="auto"/>
                  <w:vAlign w:val="center"/>
                </w:tcPr>
                <w:p w14:paraId="7E1F8184">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491" w:type="pct"/>
                  <w:vMerge w:val="continue"/>
                  <w:tcBorders>
                    <w:top w:val="single" w:color="auto" w:sz="4" w:space="0"/>
                    <w:left w:val="single" w:color="auto" w:sz="6" w:space="0"/>
                    <w:bottom w:val="single" w:color="auto" w:sz="12" w:space="0"/>
                    <w:right w:val="single" w:color="auto" w:sz="6" w:space="0"/>
                  </w:tcBorders>
                  <w:shd w:val="clear" w:color="auto" w:fill="auto"/>
                  <w:vAlign w:val="center"/>
                </w:tcPr>
                <w:p w14:paraId="5C0C0376">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524" w:type="pct"/>
                  <w:vMerge w:val="continue"/>
                  <w:tcBorders>
                    <w:top w:val="single" w:color="auto" w:sz="4" w:space="0"/>
                    <w:left w:val="single" w:color="auto" w:sz="6" w:space="0"/>
                    <w:bottom w:val="single" w:color="auto" w:sz="12" w:space="0"/>
                    <w:right w:val="single" w:color="auto" w:sz="6" w:space="0"/>
                  </w:tcBorders>
                  <w:shd w:val="clear" w:color="auto" w:fill="auto"/>
                  <w:vAlign w:val="center"/>
                </w:tcPr>
                <w:p w14:paraId="1657F48B">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556" w:type="pct"/>
                  <w:vMerge w:val="continue"/>
                  <w:tcBorders>
                    <w:top w:val="single" w:color="auto" w:sz="4" w:space="0"/>
                    <w:left w:val="single" w:color="auto" w:sz="6" w:space="0"/>
                    <w:bottom w:val="single" w:color="auto" w:sz="12" w:space="0"/>
                    <w:right w:val="single" w:color="auto" w:sz="6" w:space="0"/>
                  </w:tcBorders>
                  <w:shd w:val="clear" w:color="auto" w:fill="auto"/>
                  <w:vAlign w:val="center"/>
                </w:tcPr>
                <w:p w14:paraId="3C2D3E5C">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692" w:type="pct"/>
                  <w:vMerge w:val="continue"/>
                  <w:tcBorders>
                    <w:top w:val="single" w:color="auto" w:sz="4" w:space="0"/>
                    <w:left w:val="single" w:color="auto" w:sz="6" w:space="0"/>
                    <w:bottom w:val="single" w:color="auto" w:sz="12" w:space="0"/>
                    <w:right w:val="single" w:color="auto" w:sz="6" w:space="0"/>
                  </w:tcBorders>
                  <w:shd w:val="clear" w:color="auto" w:fill="auto"/>
                  <w:vAlign w:val="center"/>
                </w:tcPr>
                <w:p w14:paraId="7D9F0DA0">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451" w:type="pct"/>
                  <w:vMerge w:val="continue"/>
                  <w:tcBorders>
                    <w:top w:val="single" w:color="auto" w:sz="4" w:space="0"/>
                    <w:left w:val="single" w:color="auto" w:sz="6" w:space="0"/>
                    <w:bottom w:val="single" w:color="auto" w:sz="12" w:space="0"/>
                    <w:right w:val="single" w:color="auto" w:sz="6" w:space="0"/>
                  </w:tcBorders>
                  <w:shd w:val="clear" w:color="auto" w:fill="auto"/>
                  <w:vAlign w:val="center"/>
                </w:tcPr>
                <w:p w14:paraId="35A67392">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488" w:type="pct"/>
                  <w:vMerge w:val="continue"/>
                  <w:tcBorders>
                    <w:top w:val="single" w:color="auto" w:sz="4" w:space="0"/>
                    <w:left w:val="single" w:color="auto" w:sz="6" w:space="0"/>
                    <w:bottom w:val="single" w:color="auto" w:sz="12" w:space="0"/>
                    <w:right w:val="single" w:color="auto" w:sz="6" w:space="0"/>
                  </w:tcBorders>
                  <w:shd w:val="clear" w:color="auto" w:fill="auto"/>
                  <w:vAlign w:val="center"/>
                </w:tcPr>
                <w:p w14:paraId="22CA2CC4">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647" w:type="pct"/>
                  <w:tcBorders>
                    <w:top w:val="single" w:color="auto" w:sz="4" w:space="0"/>
                    <w:left w:val="single" w:color="auto" w:sz="6" w:space="0"/>
                    <w:bottom w:val="single" w:color="auto" w:sz="4" w:space="0"/>
                    <w:right w:val="single" w:color="auto" w:sz="6" w:space="0"/>
                  </w:tcBorders>
                  <w:shd w:val="clear" w:color="auto" w:fill="auto"/>
                  <w:vAlign w:val="center"/>
                </w:tcPr>
                <w:p w14:paraId="014A9AB2">
                  <w:pPr>
                    <w:keepNext w:val="0"/>
                    <w:keepLines w:val="0"/>
                    <w:pageBreakBefore w:val="0"/>
                    <w:kinsoku/>
                    <w:wordWrap/>
                    <w:overflowPunct/>
                    <w:topLinePunct w:val="0"/>
                    <w:autoSpaceDE/>
                    <w:autoSpaceDN/>
                    <w:bidi w:val="0"/>
                    <w:adjustRightInd w:val="0"/>
                    <w:snapToGrid w:val="0"/>
                    <w:ind w:left="2" w:leftChars="1" w:firstLine="0"/>
                    <w:jc w:val="center"/>
                    <w:textAlignment w:val="auto"/>
                    <w:rPr>
                      <w:color w:val="auto"/>
                      <w:szCs w:val="21"/>
                    </w:rPr>
                  </w:pPr>
                  <w:r>
                    <w:rPr>
                      <w:color w:val="auto"/>
                      <w:szCs w:val="21"/>
                      <w:lang w:bidi="ar"/>
                    </w:rPr>
                    <w:t>SS</w:t>
                  </w:r>
                </w:p>
              </w:tc>
              <w:tc>
                <w:tcPr>
                  <w:tcW w:w="480" w:type="pct"/>
                  <w:tcBorders>
                    <w:top w:val="single" w:color="auto" w:sz="4" w:space="0"/>
                    <w:left w:val="single" w:color="auto" w:sz="6" w:space="0"/>
                    <w:bottom w:val="single" w:color="auto" w:sz="4" w:space="0"/>
                    <w:right w:val="nil"/>
                  </w:tcBorders>
                  <w:shd w:val="clear" w:color="auto" w:fill="auto"/>
                  <w:vAlign w:val="center"/>
                </w:tcPr>
                <w:p w14:paraId="571A4CDA">
                  <w:pPr>
                    <w:keepNext w:val="0"/>
                    <w:keepLines w:val="0"/>
                    <w:pageBreakBefore w:val="0"/>
                    <w:kinsoku/>
                    <w:wordWrap/>
                    <w:overflowPunct/>
                    <w:topLinePunct w:val="0"/>
                    <w:autoSpaceDE/>
                    <w:autoSpaceDN/>
                    <w:bidi w:val="0"/>
                    <w:adjustRightInd w:val="0"/>
                    <w:snapToGrid w:val="0"/>
                    <w:ind w:left="2" w:leftChars="1" w:firstLine="0"/>
                    <w:jc w:val="center"/>
                    <w:textAlignment w:val="auto"/>
                    <w:rPr>
                      <w:color w:val="auto"/>
                      <w:szCs w:val="21"/>
                    </w:rPr>
                  </w:pPr>
                  <w:r>
                    <w:rPr>
                      <w:rFonts w:hint="eastAsia"/>
                      <w:color w:val="auto"/>
                      <w:szCs w:val="21"/>
                      <w:lang w:bidi="ar"/>
                    </w:rPr>
                    <w:t>4</w:t>
                  </w:r>
                  <w:r>
                    <w:rPr>
                      <w:color w:val="auto"/>
                      <w:szCs w:val="21"/>
                      <w:lang w:bidi="ar"/>
                    </w:rPr>
                    <w:t>00</w:t>
                  </w:r>
                </w:p>
              </w:tc>
            </w:tr>
            <w:tr w14:paraId="2E22AF22">
              <w:tblPrEx>
                <w:tblBorders>
                  <w:top w:val="single" w:color="auto" w:sz="12" w:space="0"/>
                  <w:left w:val="none" w:color="auto" w:sz="6" w:space="0"/>
                  <w:bottom w:val="single" w:color="auto" w:sz="12" w:space="0"/>
                  <w:right w:val="none" w:color="auto" w:sz="6" w:space="0"/>
                  <w:insideH w:val="single" w:color="auto" w:sz="4" w:space="0"/>
                  <w:insideV w:val="single" w:color="auto" w:sz="6" w:space="0"/>
                </w:tblBorders>
                <w:tblCellMar>
                  <w:top w:w="0" w:type="dxa"/>
                  <w:left w:w="108" w:type="dxa"/>
                  <w:bottom w:w="0" w:type="dxa"/>
                  <w:right w:w="108" w:type="dxa"/>
                </w:tblCellMar>
              </w:tblPrEx>
              <w:trPr>
                <w:trHeight w:val="381" w:hRule="atLeast"/>
                <w:jc w:val="center"/>
              </w:trPr>
              <w:tc>
                <w:tcPr>
                  <w:tcW w:w="224" w:type="pct"/>
                  <w:vMerge w:val="continue"/>
                  <w:tcBorders>
                    <w:top w:val="single" w:color="auto" w:sz="4" w:space="0"/>
                    <w:left w:val="nil"/>
                    <w:bottom w:val="single" w:color="auto" w:sz="12" w:space="0"/>
                    <w:right w:val="single" w:color="auto" w:sz="6" w:space="0"/>
                  </w:tcBorders>
                  <w:shd w:val="clear" w:color="auto" w:fill="auto"/>
                  <w:vAlign w:val="center"/>
                </w:tcPr>
                <w:p w14:paraId="50526DB7">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442" w:type="pct"/>
                  <w:vMerge w:val="continue"/>
                  <w:tcBorders>
                    <w:top w:val="single" w:color="auto" w:sz="4" w:space="0"/>
                    <w:left w:val="single" w:color="auto" w:sz="6" w:space="0"/>
                    <w:bottom w:val="single" w:color="auto" w:sz="12" w:space="0"/>
                    <w:right w:val="single" w:color="auto" w:sz="6" w:space="0"/>
                  </w:tcBorders>
                  <w:shd w:val="clear" w:color="auto" w:fill="auto"/>
                  <w:vAlign w:val="center"/>
                </w:tcPr>
                <w:p w14:paraId="39A9BF3E">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491" w:type="pct"/>
                  <w:vMerge w:val="continue"/>
                  <w:tcBorders>
                    <w:top w:val="single" w:color="auto" w:sz="4" w:space="0"/>
                    <w:left w:val="single" w:color="auto" w:sz="6" w:space="0"/>
                    <w:bottom w:val="single" w:color="auto" w:sz="12" w:space="0"/>
                    <w:right w:val="single" w:color="auto" w:sz="6" w:space="0"/>
                  </w:tcBorders>
                  <w:shd w:val="clear" w:color="auto" w:fill="auto"/>
                  <w:vAlign w:val="center"/>
                </w:tcPr>
                <w:p w14:paraId="3E067FFD">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524" w:type="pct"/>
                  <w:vMerge w:val="continue"/>
                  <w:tcBorders>
                    <w:top w:val="single" w:color="auto" w:sz="4" w:space="0"/>
                    <w:left w:val="single" w:color="auto" w:sz="6" w:space="0"/>
                    <w:bottom w:val="single" w:color="auto" w:sz="12" w:space="0"/>
                    <w:right w:val="single" w:color="auto" w:sz="6" w:space="0"/>
                  </w:tcBorders>
                  <w:shd w:val="clear" w:color="auto" w:fill="auto"/>
                  <w:vAlign w:val="center"/>
                </w:tcPr>
                <w:p w14:paraId="4C0878A5">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556" w:type="pct"/>
                  <w:vMerge w:val="continue"/>
                  <w:tcBorders>
                    <w:top w:val="single" w:color="auto" w:sz="4" w:space="0"/>
                    <w:left w:val="single" w:color="auto" w:sz="6" w:space="0"/>
                    <w:bottom w:val="single" w:color="auto" w:sz="12" w:space="0"/>
                    <w:right w:val="single" w:color="auto" w:sz="6" w:space="0"/>
                  </w:tcBorders>
                  <w:shd w:val="clear" w:color="auto" w:fill="auto"/>
                  <w:vAlign w:val="center"/>
                </w:tcPr>
                <w:p w14:paraId="27A9B2CC">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692" w:type="pct"/>
                  <w:vMerge w:val="continue"/>
                  <w:tcBorders>
                    <w:top w:val="single" w:color="auto" w:sz="4" w:space="0"/>
                    <w:left w:val="single" w:color="auto" w:sz="6" w:space="0"/>
                    <w:bottom w:val="single" w:color="auto" w:sz="12" w:space="0"/>
                    <w:right w:val="single" w:color="auto" w:sz="6" w:space="0"/>
                  </w:tcBorders>
                  <w:shd w:val="clear" w:color="auto" w:fill="auto"/>
                  <w:vAlign w:val="center"/>
                </w:tcPr>
                <w:p w14:paraId="01D18A41">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451" w:type="pct"/>
                  <w:vMerge w:val="continue"/>
                  <w:tcBorders>
                    <w:top w:val="single" w:color="auto" w:sz="4" w:space="0"/>
                    <w:left w:val="single" w:color="auto" w:sz="6" w:space="0"/>
                    <w:bottom w:val="single" w:color="auto" w:sz="12" w:space="0"/>
                    <w:right w:val="single" w:color="auto" w:sz="6" w:space="0"/>
                  </w:tcBorders>
                  <w:shd w:val="clear" w:color="auto" w:fill="auto"/>
                  <w:vAlign w:val="center"/>
                </w:tcPr>
                <w:p w14:paraId="1D19BE76">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488" w:type="pct"/>
                  <w:vMerge w:val="continue"/>
                  <w:tcBorders>
                    <w:top w:val="single" w:color="auto" w:sz="4" w:space="0"/>
                    <w:left w:val="single" w:color="auto" w:sz="6" w:space="0"/>
                    <w:bottom w:val="single" w:color="auto" w:sz="12" w:space="0"/>
                    <w:right w:val="single" w:color="auto" w:sz="6" w:space="0"/>
                  </w:tcBorders>
                  <w:shd w:val="clear" w:color="auto" w:fill="auto"/>
                  <w:vAlign w:val="center"/>
                </w:tcPr>
                <w:p w14:paraId="7319B67D">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647" w:type="pct"/>
                  <w:tcBorders>
                    <w:top w:val="single" w:color="auto" w:sz="4" w:space="0"/>
                    <w:left w:val="single" w:color="auto" w:sz="6" w:space="0"/>
                    <w:bottom w:val="single" w:color="auto" w:sz="4" w:space="0"/>
                    <w:right w:val="single" w:color="auto" w:sz="6" w:space="0"/>
                  </w:tcBorders>
                  <w:shd w:val="clear" w:color="auto" w:fill="auto"/>
                  <w:vAlign w:val="center"/>
                </w:tcPr>
                <w:p w14:paraId="065F6F7B">
                  <w:pPr>
                    <w:keepNext w:val="0"/>
                    <w:keepLines w:val="0"/>
                    <w:pageBreakBefore w:val="0"/>
                    <w:kinsoku/>
                    <w:wordWrap/>
                    <w:overflowPunct/>
                    <w:topLinePunct w:val="0"/>
                    <w:autoSpaceDE/>
                    <w:autoSpaceDN/>
                    <w:bidi w:val="0"/>
                    <w:adjustRightInd w:val="0"/>
                    <w:snapToGrid w:val="0"/>
                    <w:ind w:left="2" w:leftChars="1" w:firstLine="0"/>
                    <w:jc w:val="center"/>
                    <w:textAlignment w:val="auto"/>
                    <w:rPr>
                      <w:color w:val="auto"/>
                      <w:szCs w:val="21"/>
                    </w:rPr>
                  </w:pPr>
                  <w:r>
                    <w:rPr>
                      <w:color w:val="auto"/>
                      <w:szCs w:val="21"/>
                      <w:lang w:bidi="ar"/>
                    </w:rPr>
                    <w:t>NH</w:t>
                  </w:r>
                  <w:r>
                    <w:rPr>
                      <w:color w:val="auto"/>
                      <w:szCs w:val="21"/>
                      <w:vertAlign w:val="subscript"/>
                      <w:lang w:bidi="ar"/>
                    </w:rPr>
                    <w:t>3</w:t>
                  </w:r>
                  <w:r>
                    <w:rPr>
                      <w:color w:val="auto"/>
                      <w:szCs w:val="21"/>
                      <w:lang w:bidi="ar"/>
                    </w:rPr>
                    <w:t>-N</w:t>
                  </w:r>
                </w:p>
              </w:tc>
              <w:tc>
                <w:tcPr>
                  <w:tcW w:w="480" w:type="pct"/>
                  <w:tcBorders>
                    <w:top w:val="single" w:color="auto" w:sz="4" w:space="0"/>
                    <w:left w:val="single" w:color="auto" w:sz="6" w:space="0"/>
                    <w:bottom w:val="single" w:color="auto" w:sz="4" w:space="0"/>
                    <w:right w:val="nil"/>
                  </w:tcBorders>
                  <w:shd w:val="clear" w:color="auto" w:fill="auto"/>
                  <w:vAlign w:val="center"/>
                </w:tcPr>
                <w:p w14:paraId="3D61994A">
                  <w:pPr>
                    <w:keepNext w:val="0"/>
                    <w:keepLines w:val="0"/>
                    <w:pageBreakBefore w:val="0"/>
                    <w:kinsoku/>
                    <w:wordWrap/>
                    <w:overflowPunct/>
                    <w:topLinePunct w:val="0"/>
                    <w:autoSpaceDE/>
                    <w:autoSpaceDN/>
                    <w:bidi w:val="0"/>
                    <w:adjustRightInd w:val="0"/>
                    <w:snapToGrid w:val="0"/>
                    <w:ind w:left="2" w:leftChars="1" w:firstLine="0"/>
                    <w:jc w:val="center"/>
                    <w:textAlignment w:val="auto"/>
                    <w:rPr>
                      <w:color w:val="auto"/>
                      <w:szCs w:val="21"/>
                    </w:rPr>
                  </w:pPr>
                  <w:r>
                    <w:rPr>
                      <w:color w:val="auto"/>
                      <w:szCs w:val="21"/>
                      <w:lang w:bidi="ar"/>
                    </w:rPr>
                    <w:t>3</w:t>
                  </w:r>
                  <w:r>
                    <w:rPr>
                      <w:rFonts w:hint="eastAsia"/>
                      <w:color w:val="auto"/>
                      <w:szCs w:val="21"/>
                      <w:lang w:bidi="ar"/>
                    </w:rPr>
                    <w:t>0</w:t>
                  </w:r>
                </w:p>
              </w:tc>
            </w:tr>
            <w:tr w14:paraId="4E8C19B7">
              <w:tblPrEx>
                <w:tblBorders>
                  <w:top w:val="single" w:color="auto" w:sz="12" w:space="0"/>
                  <w:left w:val="none" w:color="auto" w:sz="6" w:space="0"/>
                  <w:bottom w:val="single" w:color="auto" w:sz="12" w:space="0"/>
                  <w:right w:val="none" w:color="auto" w:sz="6" w:space="0"/>
                  <w:insideH w:val="single" w:color="auto" w:sz="4" w:space="0"/>
                  <w:insideV w:val="single" w:color="auto" w:sz="6" w:space="0"/>
                </w:tblBorders>
                <w:tblCellMar>
                  <w:top w:w="0" w:type="dxa"/>
                  <w:left w:w="108" w:type="dxa"/>
                  <w:bottom w:w="0" w:type="dxa"/>
                  <w:right w:w="108" w:type="dxa"/>
                </w:tblCellMar>
              </w:tblPrEx>
              <w:trPr>
                <w:trHeight w:val="381" w:hRule="atLeast"/>
                <w:jc w:val="center"/>
              </w:trPr>
              <w:tc>
                <w:tcPr>
                  <w:tcW w:w="224" w:type="pct"/>
                  <w:vMerge w:val="continue"/>
                  <w:tcBorders>
                    <w:top w:val="single" w:color="auto" w:sz="4" w:space="0"/>
                    <w:left w:val="nil"/>
                    <w:bottom w:val="single" w:color="auto" w:sz="12" w:space="0"/>
                    <w:right w:val="single" w:color="auto" w:sz="6" w:space="0"/>
                  </w:tcBorders>
                  <w:shd w:val="clear" w:color="auto" w:fill="auto"/>
                  <w:vAlign w:val="center"/>
                </w:tcPr>
                <w:p w14:paraId="71BBCFA0">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442" w:type="pct"/>
                  <w:vMerge w:val="continue"/>
                  <w:tcBorders>
                    <w:top w:val="single" w:color="auto" w:sz="4" w:space="0"/>
                    <w:left w:val="single" w:color="auto" w:sz="6" w:space="0"/>
                    <w:bottom w:val="single" w:color="auto" w:sz="12" w:space="0"/>
                    <w:right w:val="single" w:color="auto" w:sz="6" w:space="0"/>
                  </w:tcBorders>
                  <w:shd w:val="clear" w:color="auto" w:fill="auto"/>
                  <w:vAlign w:val="center"/>
                </w:tcPr>
                <w:p w14:paraId="7FF4F157">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491" w:type="pct"/>
                  <w:vMerge w:val="continue"/>
                  <w:tcBorders>
                    <w:top w:val="single" w:color="auto" w:sz="4" w:space="0"/>
                    <w:left w:val="single" w:color="auto" w:sz="6" w:space="0"/>
                    <w:bottom w:val="single" w:color="auto" w:sz="12" w:space="0"/>
                    <w:right w:val="single" w:color="auto" w:sz="6" w:space="0"/>
                  </w:tcBorders>
                  <w:shd w:val="clear" w:color="auto" w:fill="auto"/>
                  <w:vAlign w:val="center"/>
                </w:tcPr>
                <w:p w14:paraId="239D832A">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524" w:type="pct"/>
                  <w:vMerge w:val="continue"/>
                  <w:tcBorders>
                    <w:top w:val="single" w:color="auto" w:sz="4" w:space="0"/>
                    <w:left w:val="single" w:color="auto" w:sz="6" w:space="0"/>
                    <w:bottom w:val="single" w:color="auto" w:sz="12" w:space="0"/>
                    <w:right w:val="single" w:color="auto" w:sz="6" w:space="0"/>
                  </w:tcBorders>
                  <w:shd w:val="clear" w:color="auto" w:fill="auto"/>
                  <w:vAlign w:val="center"/>
                </w:tcPr>
                <w:p w14:paraId="1BFC71BB">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556" w:type="pct"/>
                  <w:vMerge w:val="continue"/>
                  <w:tcBorders>
                    <w:top w:val="single" w:color="auto" w:sz="4" w:space="0"/>
                    <w:left w:val="single" w:color="auto" w:sz="6" w:space="0"/>
                    <w:bottom w:val="single" w:color="auto" w:sz="12" w:space="0"/>
                    <w:right w:val="single" w:color="auto" w:sz="6" w:space="0"/>
                  </w:tcBorders>
                  <w:shd w:val="clear" w:color="auto" w:fill="auto"/>
                  <w:vAlign w:val="center"/>
                </w:tcPr>
                <w:p w14:paraId="36FA29E9">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692" w:type="pct"/>
                  <w:vMerge w:val="continue"/>
                  <w:tcBorders>
                    <w:top w:val="single" w:color="auto" w:sz="4" w:space="0"/>
                    <w:left w:val="single" w:color="auto" w:sz="6" w:space="0"/>
                    <w:bottom w:val="single" w:color="auto" w:sz="12" w:space="0"/>
                    <w:right w:val="single" w:color="auto" w:sz="6" w:space="0"/>
                  </w:tcBorders>
                  <w:shd w:val="clear" w:color="auto" w:fill="auto"/>
                  <w:vAlign w:val="center"/>
                </w:tcPr>
                <w:p w14:paraId="17321667">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451" w:type="pct"/>
                  <w:vMerge w:val="continue"/>
                  <w:tcBorders>
                    <w:top w:val="single" w:color="auto" w:sz="4" w:space="0"/>
                    <w:left w:val="single" w:color="auto" w:sz="6" w:space="0"/>
                    <w:bottom w:val="single" w:color="auto" w:sz="12" w:space="0"/>
                    <w:right w:val="single" w:color="auto" w:sz="6" w:space="0"/>
                  </w:tcBorders>
                  <w:shd w:val="clear" w:color="auto" w:fill="auto"/>
                  <w:vAlign w:val="center"/>
                </w:tcPr>
                <w:p w14:paraId="07915C4B">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488" w:type="pct"/>
                  <w:vMerge w:val="continue"/>
                  <w:tcBorders>
                    <w:top w:val="single" w:color="auto" w:sz="4" w:space="0"/>
                    <w:left w:val="single" w:color="auto" w:sz="6" w:space="0"/>
                    <w:bottom w:val="single" w:color="auto" w:sz="12" w:space="0"/>
                    <w:right w:val="single" w:color="auto" w:sz="6" w:space="0"/>
                  </w:tcBorders>
                  <w:shd w:val="clear" w:color="auto" w:fill="auto"/>
                  <w:vAlign w:val="center"/>
                </w:tcPr>
                <w:p w14:paraId="264D2AFA">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647" w:type="pct"/>
                  <w:tcBorders>
                    <w:top w:val="single" w:color="auto" w:sz="4" w:space="0"/>
                    <w:left w:val="single" w:color="auto" w:sz="6" w:space="0"/>
                    <w:bottom w:val="single" w:color="auto" w:sz="4" w:space="0"/>
                    <w:right w:val="single" w:color="auto" w:sz="6" w:space="0"/>
                  </w:tcBorders>
                  <w:shd w:val="clear" w:color="auto" w:fill="auto"/>
                  <w:vAlign w:val="center"/>
                </w:tcPr>
                <w:p w14:paraId="44FC9D33">
                  <w:pPr>
                    <w:keepNext w:val="0"/>
                    <w:keepLines w:val="0"/>
                    <w:pageBreakBefore w:val="0"/>
                    <w:kinsoku/>
                    <w:wordWrap/>
                    <w:overflowPunct/>
                    <w:topLinePunct w:val="0"/>
                    <w:autoSpaceDE/>
                    <w:autoSpaceDN/>
                    <w:bidi w:val="0"/>
                    <w:adjustRightInd w:val="0"/>
                    <w:snapToGrid w:val="0"/>
                    <w:ind w:left="2" w:leftChars="1" w:firstLine="0"/>
                    <w:jc w:val="center"/>
                    <w:textAlignment w:val="auto"/>
                    <w:rPr>
                      <w:color w:val="auto"/>
                      <w:szCs w:val="21"/>
                    </w:rPr>
                  </w:pPr>
                  <w:r>
                    <w:rPr>
                      <w:color w:val="auto"/>
                      <w:szCs w:val="21"/>
                      <w:lang w:bidi="ar"/>
                    </w:rPr>
                    <w:t>TN</w:t>
                  </w:r>
                </w:p>
              </w:tc>
              <w:tc>
                <w:tcPr>
                  <w:tcW w:w="480" w:type="pct"/>
                  <w:tcBorders>
                    <w:top w:val="single" w:color="auto" w:sz="4" w:space="0"/>
                    <w:left w:val="single" w:color="auto" w:sz="6" w:space="0"/>
                    <w:bottom w:val="single" w:color="auto" w:sz="4" w:space="0"/>
                    <w:right w:val="nil"/>
                  </w:tcBorders>
                  <w:shd w:val="clear" w:color="auto" w:fill="auto"/>
                  <w:vAlign w:val="center"/>
                </w:tcPr>
                <w:p w14:paraId="41B6DAEB">
                  <w:pPr>
                    <w:keepNext w:val="0"/>
                    <w:keepLines w:val="0"/>
                    <w:pageBreakBefore w:val="0"/>
                    <w:kinsoku/>
                    <w:wordWrap/>
                    <w:overflowPunct/>
                    <w:topLinePunct w:val="0"/>
                    <w:autoSpaceDE/>
                    <w:autoSpaceDN/>
                    <w:bidi w:val="0"/>
                    <w:adjustRightInd w:val="0"/>
                    <w:snapToGrid w:val="0"/>
                    <w:ind w:left="2" w:leftChars="1" w:firstLine="0"/>
                    <w:jc w:val="center"/>
                    <w:textAlignment w:val="auto"/>
                    <w:rPr>
                      <w:color w:val="auto"/>
                      <w:szCs w:val="21"/>
                    </w:rPr>
                  </w:pPr>
                  <w:r>
                    <w:rPr>
                      <w:color w:val="auto"/>
                      <w:szCs w:val="21"/>
                      <w:lang w:bidi="ar"/>
                    </w:rPr>
                    <w:t>45</w:t>
                  </w:r>
                </w:p>
              </w:tc>
            </w:tr>
            <w:tr w14:paraId="4E2F6433">
              <w:tblPrEx>
                <w:tblBorders>
                  <w:top w:val="single" w:color="auto" w:sz="12" w:space="0"/>
                  <w:left w:val="none" w:color="auto" w:sz="6" w:space="0"/>
                  <w:bottom w:val="single" w:color="auto" w:sz="12" w:space="0"/>
                  <w:right w:val="none" w:color="auto" w:sz="6" w:space="0"/>
                  <w:insideH w:val="single" w:color="auto" w:sz="4" w:space="0"/>
                  <w:insideV w:val="single" w:color="auto" w:sz="6" w:space="0"/>
                </w:tblBorders>
                <w:tblCellMar>
                  <w:top w:w="0" w:type="dxa"/>
                  <w:left w:w="108" w:type="dxa"/>
                  <w:bottom w:w="0" w:type="dxa"/>
                  <w:right w:w="108" w:type="dxa"/>
                </w:tblCellMar>
              </w:tblPrEx>
              <w:trPr>
                <w:trHeight w:val="381" w:hRule="atLeast"/>
                <w:jc w:val="center"/>
              </w:trPr>
              <w:tc>
                <w:tcPr>
                  <w:tcW w:w="224" w:type="pct"/>
                  <w:vMerge w:val="continue"/>
                  <w:tcBorders>
                    <w:top w:val="single" w:color="auto" w:sz="4" w:space="0"/>
                    <w:left w:val="nil"/>
                    <w:bottom w:val="single" w:color="auto" w:sz="12" w:space="0"/>
                    <w:right w:val="single" w:color="auto" w:sz="6" w:space="0"/>
                  </w:tcBorders>
                  <w:shd w:val="clear" w:color="auto" w:fill="auto"/>
                  <w:vAlign w:val="center"/>
                </w:tcPr>
                <w:p w14:paraId="44319121">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442" w:type="pct"/>
                  <w:vMerge w:val="continue"/>
                  <w:tcBorders>
                    <w:top w:val="single" w:color="auto" w:sz="4" w:space="0"/>
                    <w:left w:val="single" w:color="auto" w:sz="6" w:space="0"/>
                    <w:bottom w:val="single" w:color="auto" w:sz="12" w:space="0"/>
                    <w:right w:val="single" w:color="auto" w:sz="6" w:space="0"/>
                  </w:tcBorders>
                  <w:shd w:val="clear" w:color="auto" w:fill="auto"/>
                  <w:vAlign w:val="center"/>
                </w:tcPr>
                <w:p w14:paraId="22DC30F0">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491" w:type="pct"/>
                  <w:vMerge w:val="continue"/>
                  <w:tcBorders>
                    <w:top w:val="single" w:color="auto" w:sz="4" w:space="0"/>
                    <w:left w:val="single" w:color="auto" w:sz="6" w:space="0"/>
                    <w:bottom w:val="single" w:color="auto" w:sz="12" w:space="0"/>
                    <w:right w:val="single" w:color="auto" w:sz="6" w:space="0"/>
                  </w:tcBorders>
                  <w:shd w:val="clear" w:color="auto" w:fill="auto"/>
                  <w:vAlign w:val="center"/>
                </w:tcPr>
                <w:p w14:paraId="71DB9C68">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524" w:type="pct"/>
                  <w:vMerge w:val="continue"/>
                  <w:tcBorders>
                    <w:top w:val="single" w:color="auto" w:sz="4" w:space="0"/>
                    <w:left w:val="single" w:color="auto" w:sz="6" w:space="0"/>
                    <w:bottom w:val="single" w:color="auto" w:sz="12" w:space="0"/>
                    <w:right w:val="single" w:color="auto" w:sz="6" w:space="0"/>
                  </w:tcBorders>
                  <w:shd w:val="clear" w:color="auto" w:fill="auto"/>
                  <w:vAlign w:val="center"/>
                </w:tcPr>
                <w:p w14:paraId="4C3DEA97">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556" w:type="pct"/>
                  <w:vMerge w:val="continue"/>
                  <w:tcBorders>
                    <w:top w:val="single" w:color="auto" w:sz="4" w:space="0"/>
                    <w:left w:val="single" w:color="auto" w:sz="6" w:space="0"/>
                    <w:bottom w:val="single" w:color="auto" w:sz="12" w:space="0"/>
                    <w:right w:val="single" w:color="auto" w:sz="6" w:space="0"/>
                  </w:tcBorders>
                  <w:shd w:val="clear" w:color="auto" w:fill="auto"/>
                  <w:vAlign w:val="center"/>
                </w:tcPr>
                <w:p w14:paraId="14866273">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692" w:type="pct"/>
                  <w:vMerge w:val="continue"/>
                  <w:tcBorders>
                    <w:top w:val="single" w:color="auto" w:sz="4" w:space="0"/>
                    <w:left w:val="single" w:color="auto" w:sz="6" w:space="0"/>
                    <w:bottom w:val="single" w:color="auto" w:sz="12" w:space="0"/>
                    <w:right w:val="single" w:color="auto" w:sz="6" w:space="0"/>
                  </w:tcBorders>
                  <w:shd w:val="clear" w:color="auto" w:fill="auto"/>
                  <w:vAlign w:val="center"/>
                </w:tcPr>
                <w:p w14:paraId="687A71B2">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451" w:type="pct"/>
                  <w:vMerge w:val="continue"/>
                  <w:tcBorders>
                    <w:top w:val="single" w:color="auto" w:sz="4" w:space="0"/>
                    <w:left w:val="single" w:color="auto" w:sz="6" w:space="0"/>
                    <w:bottom w:val="single" w:color="auto" w:sz="12" w:space="0"/>
                    <w:right w:val="single" w:color="auto" w:sz="6" w:space="0"/>
                  </w:tcBorders>
                  <w:shd w:val="clear" w:color="auto" w:fill="auto"/>
                  <w:vAlign w:val="center"/>
                </w:tcPr>
                <w:p w14:paraId="2F510202">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488" w:type="pct"/>
                  <w:vMerge w:val="continue"/>
                  <w:tcBorders>
                    <w:top w:val="single" w:color="auto" w:sz="4" w:space="0"/>
                    <w:left w:val="single" w:color="auto" w:sz="6" w:space="0"/>
                    <w:bottom w:val="single" w:color="auto" w:sz="12" w:space="0"/>
                    <w:right w:val="single" w:color="auto" w:sz="6" w:space="0"/>
                  </w:tcBorders>
                  <w:shd w:val="clear" w:color="auto" w:fill="auto"/>
                  <w:vAlign w:val="center"/>
                </w:tcPr>
                <w:p w14:paraId="5AD1DB9C">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647" w:type="pct"/>
                  <w:tcBorders>
                    <w:top w:val="single" w:color="auto" w:sz="4" w:space="0"/>
                    <w:left w:val="single" w:color="auto" w:sz="6" w:space="0"/>
                    <w:bottom w:val="single" w:color="auto" w:sz="4" w:space="0"/>
                    <w:right w:val="single" w:color="auto" w:sz="6" w:space="0"/>
                  </w:tcBorders>
                  <w:shd w:val="clear" w:color="auto" w:fill="auto"/>
                  <w:vAlign w:val="center"/>
                </w:tcPr>
                <w:p w14:paraId="79D6BDD7">
                  <w:pPr>
                    <w:keepNext w:val="0"/>
                    <w:keepLines w:val="0"/>
                    <w:pageBreakBefore w:val="0"/>
                    <w:kinsoku/>
                    <w:wordWrap/>
                    <w:overflowPunct/>
                    <w:topLinePunct w:val="0"/>
                    <w:autoSpaceDE/>
                    <w:autoSpaceDN/>
                    <w:bidi w:val="0"/>
                    <w:adjustRightInd w:val="0"/>
                    <w:snapToGrid w:val="0"/>
                    <w:ind w:left="2" w:leftChars="1" w:firstLine="0"/>
                    <w:jc w:val="center"/>
                    <w:textAlignment w:val="auto"/>
                    <w:rPr>
                      <w:color w:val="auto"/>
                      <w:szCs w:val="21"/>
                    </w:rPr>
                  </w:pPr>
                  <w:r>
                    <w:rPr>
                      <w:color w:val="auto"/>
                      <w:szCs w:val="21"/>
                      <w:lang w:bidi="ar"/>
                    </w:rPr>
                    <w:t>TP</w:t>
                  </w:r>
                </w:p>
              </w:tc>
              <w:tc>
                <w:tcPr>
                  <w:tcW w:w="480" w:type="pct"/>
                  <w:tcBorders>
                    <w:top w:val="single" w:color="auto" w:sz="4" w:space="0"/>
                    <w:left w:val="single" w:color="auto" w:sz="6" w:space="0"/>
                    <w:bottom w:val="single" w:color="auto" w:sz="4" w:space="0"/>
                    <w:right w:val="nil"/>
                  </w:tcBorders>
                  <w:shd w:val="clear" w:color="auto" w:fill="auto"/>
                  <w:vAlign w:val="center"/>
                </w:tcPr>
                <w:p w14:paraId="0CD0B680">
                  <w:pPr>
                    <w:keepNext w:val="0"/>
                    <w:keepLines w:val="0"/>
                    <w:pageBreakBefore w:val="0"/>
                    <w:kinsoku/>
                    <w:wordWrap/>
                    <w:overflowPunct/>
                    <w:topLinePunct w:val="0"/>
                    <w:autoSpaceDE/>
                    <w:autoSpaceDN/>
                    <w:bidi w:val="0"/>
                    <w:adjustRightInd w:val="0"/>
                    <w:snapToGrid w:val="0"/>
                    <w:ind w:left="2" w:leftChars="1" w:firstLine="0"/>
                    <w:jc w:val="center"/>
                    <w:textAlignment w:val="auto"/>
                    <w:rPr>
                      <w:color w:val="auto"/>
                      <w:szCs w:val="21"/>
                    </w:rPr>
                  </w:pPr>
                  <w:r>
                    <w:rPr>
                      <w:rFonts w:hint="eastAsia"/>
                      <w:color w:val="auto"/>
                      <w:szCs w:val="21"/>
                      <w:lang w:bidi="ar"/>
                    </w:rPr>
                    <w:t>8</w:t>
                  </w:r>
                </w:p>
              </w:tc>
            </w:tr>
            <w:tr w14:paraId="6F7AAD27">
              <w:tblPrEx>
                <w:tblBorders>
                  <w:top w:val="single" w:color="auto" w:sz="12" w:space="0"/>
                  <w:left w:val="none" w:color="auto" w:sz="6" w:space="0"/>
                  <w:bottom w:val="single" w:color="auto" w:sz="12" w:space="0"/>
                  <w:right w:val="none" w:color="auto" w:sz="6" w:space="0"/>
                  <w:insideH w:val="single" w:color="auto" w:sz="4" w:space="0"/>
                  <w:insideV w:val="single" w:color="auto" w:sz="6" w:space="0"/>
                </w:tblBorders>
                <w:tblCellMar>
                  <w:top w:w="0" w:type="dxa"/>
                  <w:left w:w="108" w:type="dxa"/>
                  <w:bottom w:w="0" w:type="dxa"/>
                  <w:right w:w="108" w:type="dxa"/>
                </w:tblCellMar>
              </w:tblPrEx>
              <w:trPr>
                <w:trHeight w:val="381" w:hRule="atLeast"/>
                <w:jc w:val="center"/>
              </w:trPr>
              <w:tc>
                <w:tcPr>
                  <w:tcW w:w="224" w:type="pct"/>
                  <w:vMerge w:val="continue"/>
                  <w:tcBorders>
                    <w:top w:val="single" w:color="auto" w:sz="4" w:space="0"/>
                    <w:left w:val="nil"/>
                    <w:bottom w:val="single" w:color="auto" w:sz="12" w:space="0"/>
                    <w:right w:val="single" w:color="auto" w:sz="6" w:space="0"/>
                  </w:tcBorders>
                  <w:shd w:val="clear" w:color="auto" w:fill="auto"/>
                  <w:vAlign w:val="center"/>
                </w:tcPr>
                <w:p w14:paraId="0A3C3B63">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442" w:type="pct"/>
                  <w:vMerge w:val="continue"/>
                  <w:tcBorders>
                    <w:top w:val="single" w:color="auto" w:sz="4" w:space="0"/>
                    <w:left w:val="single" w:color="auto" w:sz="6" w:space="0"/>
                    <w:bottom w:val="single" w:color="auto" w:sz="12" w:space="0"/>
                    <w:right w:val="single" w:color="auto" w:sz="6" w:space="0"/>
                  </w:tcBorders>
                  <w:shd w:val="clear" w:color="auto" w:fill="auto"/>
                  <w:vAlign w:val="center"/>
                </w:tcPr>
                <w:p w14:paraId="7ACD1BFD">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491" w:type="pct"/>
                  <w:vMerge w:val="continue"/>
                  <w:tcBorders>
                    <w:top w:val="single" w:color="auto" w:sz="4" w:space="0"/>
                    <w:left w:val="single" w:color="auto" w:sz="6" w:space="0"/>
                    <w:bottom w:val="single" w:color="auto" w:sz="12" w:space="0"/>
                    <w:right w:val="single" w:color="auto" w:sz="6" w:space="0"/>
                  </w:tcBorders>
                  <w:shd w:val="clear" w:color="auto" w:fill="auto"/>
                  <w:vAlign w:val="center"/>
                </w:tcPr>
                <w:p w14:paraId="55F164E5">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524" w:type="pct"/>
                  <w:vMerge w:val="continue"/>
                  <w:tcBorders>
                    <w:top w:val="single" w:color="auto" w:sz="4" w:space="0"/>
                    <w:left w:val="single" w:color="auto" w:sz="6" w:space="0"/>
                    <w:bottom w:val="single" w:color="auto" w:sz="12" w:space="0"/>
                    <w:right w:val="single" w:color="auto" w:sz="6" w:space="0"/>
                  </w:tcBorders>
                  <w:shd w:val="clear" w:color="auto" w:fill="auto"/>
                  <w:vAlign w:val="center"/>
                </w:tcPr>
                <w:p w14:paraId="1A2F3B33">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556" w:type="pct"/>
                  <w:vMerge w:val="continue"/>
                  <w:tcBorders>
                    <w:top w:val="single" w:color="auto" w:sz="4" w:space="0"/>
                    <w:left w:val="single" w:color="auto" w:sz="6" w:space="0"/>
                    <w:bottom w:val="single" w:color="auto" w:sz="12" w:space="0"/>
                    <w:right w:val="single" w:color="auto" w:sz="6" w:space="0"/>
                  </w:tcBorders>
                  <w:shd w:val="clear" w:color="auto" w:fill="auto"/>
                  <w:vAlign w:val="center"/>
                </w:tcPr>
                <w:p w14:paraId="1ECF0165">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692" w:type="pct"/>
                  <w:vMerge w:val="continue"/>
                  <w:tcBorders>
                    <w:top w:val="single" w:color="auto" w:sz="4" w:space="0"/>
                    <w:left w:val="single" w:color="auto" w:sz="6" w:space="0"/>
                    <w:bottom w:val="single" w:color="auto" w:sz="12" w:space="0"/>
                    <w:right w:val="single" w:color="auto" w:sz="6" w:space="0"/>
                  </w:tcBorders>
                  <w:shd w:val="clear" w:color="auto" w:fill="auto"/>
                  <w:vAlign w:val="center"/>
                </w:tcPr>
                <w:p w14:paraId="711EDD09">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451" w:type="pct"/>
                  <w:vMerge w:val="continue"/>
                  <w:tcBorders>
                    <w:top w:val="single" w:color="auto" w:sz="4" w:space="0"/>
                    <w:left w:val="single" w:color="auto" w:sz="6" w:space="0"/>
                    <w:bottom w:val="single" w:color="auto" w:sz="12" w:space="0"/>
                    <w:right w:val="single" w:color="auto" w:sz="6" w:space="0"/>
                  </w:tcBorders>
                  <w:shd w:val="clear" w:color="auto" w:fill="auto"/>
                  <w:vAlign w:val="center"/>
                </w:tcPr>
                <w:p w14:paraId="0EEDAA3F">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488" w:type="pct"/>
                  <w:vMerge w:val="continue"/>
                  <w:tcBorders>
                    <w:top w:val="single" w:color="auto" w:sz="4" w:space="0"/>
                    <w:left w:val="single" w:color="auto" w:sz="6" w:space="0"/>
                    <w:bottom w:val="single" w:color="auto" w:sz="12" w:space="0"/>
                    <w:right w:val="single" w:color="auto" w:sz="6" w:space="0"/>
                  </w:tcBorders>
                  <w:shd w:val="clear" w:color="auto" w:fill="auto"/>
                  <w:vAlign w:val="center"/>
                </w:tcPr>
                <w:p w14:paraId="27719A7C">
                  <w:pPr>
                    <w:keepNext w:val="0"/>
                    <w:keepLines w:val="0"/>
                    <w:pageBreakBefore w:val="0"/>
                    <w:kinsoku/>
                    <w:wordWrap/>
                    <w:overflowPunct/>
                    <w:topLinePunct w:val="0"/>
                    <w:autoSpaceDE/>
                    <w:autoSpaceDN/>
                    <w:bidi w:val="0"/>
                    <w:adjustRightInd w:val="0"/>
                    <w:snapToGrid w:val="0"/>
                    <w:ind w:firstLine="0"/>
                    <w:textAlignment w:val="auto"/>
                    <w:rPr>
                      <w:color w:val="auto"/>
                      <w:sz w:val="20"/>
                      <w:szCs w:val="20"/>
                    </w:rPr>
                  </w:pPr>
                </w:p>
              </w:tc>
              <w:tc>
                <w:tcPr>
                  <w:tcW w:w="647" w:type="pct"/>
                  <w:tcBorders>
                    <w:top w:val="single" w:color="auto" w:sz="4" w:space="0"/>
                    <w:left w:val="single" w:color="auto" w:sz="6" w:space="0"/>
                    <w:bottom w:val="single" w:color="auto" w:sz="12" w:space="0"/>
                    <w:right w:val="single" w:color="auto" w:sz="6" w:space="0"/>
                  </w:tcBorders>
                  <w:shd w:val="clear" w:color="auto" w:fill="auto"/>
                  <w:vAlign w:val="center"/>
                </w:tcPr>
                <w:p w14:paraId="35197A44">
                  <w:pPr>
                    <w:keepNext w:val="0"/>
                    <w:keepLines w:val="0"/>
                    <w:pageBreakBefore w:val="0"/>
                    <w:kinsoku/>
                    <w:wordWrap/>
                    <w:overflowPunct/>
                    <w:topLinePunct w:val="0"/>
                    <w:autoSpaceDE/>
                    <w:autoSpaceDN/>
                    <w:bidi w:val="0"/>
                    <w:adjustRightInd w:val="0"/>
                    <w:snapToGrid w:val="0"/>
                    <w:ind w:left="2" w:leftChars="1" w:firstLine="0"/>
                    <w:jc w:val="center"/>
                    <w:textAlignment w:val="auto"/>
                    <w:rPr>
                      <w:color w:val="auto"/>
                      <w:szCs w:val="21"/>
                    </w:rPr>
                  </w:pPr>
                  <w:r>
                    <w:rPr>
                      <w:rFonts w:hint="eastAsia" w:cs="宋体"/>
                      <w:color w:val="auto"/>
                      <w:szCs w:val="21"/>
                      <w:lang w:bidi="ar"/>
                    </w:rPr>
                    <w:t>动植物油</w:t>
                  </w:r>
                </w:p>
              </w:tc>
              <w:tc>
                <w:tcPr>
                  <w:tcW w:w="480" w:type="pct"/>
                  <w:tcBorders>
                    <w:top w:val="single" w:color="auto" w:sz="4" w:space="0"/>
                    <w:left w:val="single" w:color="auto" w:sz="6" w:space="0"/>
                    <w:bottom w:val="single" w:color="auto" w:sz="12" w:space="0"/>
                    <w:right w:val="nil"/>
                  </w:tcBorders>
                  <w:shd w:val="clear" w:color="auto" w:fill="auto"/>
                  <w:vAlign w:val="center"/>
                </w:tcPr>
                <w:p w14:paraId="49DF0474">
                  <w:pPr>
                    <w:keepNext w:val="0"/>
                    <w:keepLines w:val="0"/>
                    <w:pageBreakBefore w:val="0"/>
                    <w:kinsoku/>
                    <w:wordWrap/>
                    <w:overflowPunct/>
                    <w:topLinePunct w:val="0"/>
                    <w:autoSpaceDE/>
                    <w:autoSpaceDN/>
                    <w:bidi w:val="0"/>
                    <w:adjustRightInd w:val="0"/>
                    <w:snapToGrid w:val="0"/>
                    <w:ind w:left="2" w:leftChars="1" w:firstLine="0"/>
                    <w:jc w:val="center"/>
                    <w:textAlignment w:val="auto"/>
                    <w:rPr>
                      <w:color w:val="auto"/>
                      <w:szCs w:val="21"/>
                    </w:rPr>
                  </w:pPr>
                  <w:r>
                    <w:rPr>
                      <w:color w:val="auto"/>
                      <w:szCs w:val="21"/>
                      <w:lang w:bidi="ar"/>
                    </w:rPr>
                    <w:t>100</w:t>
                  </w:r>
                </w:p>
              </w:tc>
            </w:tr>
          </w:tbl>
          <w:p w14:paraId="5DE0CCE5">
            <w:pPr>
              <w:adjustRightInd w:val="0"/>
              <w:snapToGrid w:val="0"/>
              <w:spacing w:before="120" w:beforeLines="50" w:line="360" w:lineRule="auto"/>
              <w:ind w:firstLine="482" w:firstLineChars="200"/>
              <w:rPr>
                <w:b/>
                <w:color w:val="auto"/>
                <w:sz w:val="24"/>
              </w:rPr>
            </w:pPr>
            <w:r>
              <w:rPr>
                <w:b/>
                <w:color w:val="auto"/>
                <w:sz w:val="24"/>
              </w:rPr>
              <w:t>2.2废水处理工艺依托可行性分析</w:t>
            </w:r>
          </w:p>
          <w:p w14:paraId="4E1E1C98">
            <w:pPr>
              <w:adjustRightInd w:val="0"/>
              <w:snapToGrid w:val="0"/>
              <w:spacing w:line="360" w:lineRule="auto"/>
              <w:ind w:firstLine="482" w:firstLineChars="200"/>
              <w:rPr>
                <w:color w:val="auto"/>
                <w:sz w:val="24"/>
              </w:rPr>
            </w:pPr>
            <w:r>
              <w:rPr>
                <w:b/>
                <w:color w:val="auto"/>
                <w:sz w:val="24"/>
              </w:rPr>
              <w:t>（1）废水治理措施可行性分析</w:t>
            </w:r>
          </w:p>
          <w:p w14:paraId="510AF2DE">
            <w:pPr>
              <w:adjustRightInd w:val="0"/>
              <w:snapToGrid w:val="0"/>
              <w:spacing w:line="360" w:lineRule="auto"/>
              <w:ind w:firstLine="480" w:firstLineChars="200"/>
              <w:rPr>
                <w:bCs/>
                <w:color w:val="auto"/>
                <w:sz w:val="24"/>
              </w:rPr>
            </w:pPr>
            <w:r>
              <w:rPr>
                <w:rFonts w:hint="eastAsia"/>
                <w:bCs/>
                <w:color w:val="auto"/>
                <w:sz w:val="24"/>
              </w:rPr>
              <w:t>根据《排污许可证申请与核发技术规范 水处理通用工序》（HJ1120-2020），单独排放的生活污水采用“隔油池+化粪池”处理为“可行技术”，本项目生活污水（职工生活废水+食堂废水）经过隔油池、化粪池处理，处理措施可行</w:t>
            </w:r>
            <w:r>
              <w:rPr>
                <w:bCs/>
                <w:color w:val="auto"/>
                <w:sz w:val="24"/>
              </w:rPr>
              <w:t>。</w:t>
            </w:r>
          </w:p>
          <w:p w14:paraId="61AAD71B">
            <w:pPr>
              <w:autoSpaceDE w:val="0"/>
              <w:autoSpaceDN w:val="0"/>
              <w:adjustRightInd w:val="0"/>
              <w:snapToGrid w:val="0"/>
              <w:spacing w:line="360" w:lineRule="auto"/>
              <w:ind w:firstLine="482" w:firstLineChars="200"/>
              <w:rPr>
                <w:bCs/>
                <w:color w:val="auto"/>
                <w:sz w:val="24"/>
              </w:rPr>
            </w:pPr>
            <w:r>
              <w:rPr>
                <w:b/>
                <w:color w:val="auto"/>
                <w:sz w:val="24"/>
              </w:rPr>
              <w:t>（2）依托污水处理设施的环境可行性评价</w:t>
            </w:r>
          </w:p>
          <w:p w14:paraId="76F4503F">
            <w:pPr>
              <w:spacing w:line="360" w:lineRule="auto"/>
              <w:ind w:firstLine="480" w:firstLineChars="200"/>
              <w:jc w:val="left"/>
              <w:rPr>
                <w:color w:val="auto"/>
                <w:sz w:val="24"/>
              </w:rPr>
            </w:pPr>
            <w:r>
              <w:rPr>
                <w:color w:val="auto"/>
                <w:sz w:val="24"/>
              </w:rPr>
              <w:t>涟水县经济开发区西区污水处理厂位于江苏涟水经济开发区西区祁六路西侧涟麻路南侧，远期处理总规模6万t/d，现处理能力为3万t/d，目前已接管水量接近2万m</w:t>
            </w:r>
            <w:r>
              <w:rPr>
                <w:color w:val="auto"/>
                <w:sz w:val="24"/>
                <w:vertAlign w:val="superscript"/>
              </w:rPr>
              <w:t>3</w:t>
            </w:r>
            <w:r>
              <w:rPr>
                <w:color w:val="auto"/>
                <w:sz w:val="24"/>
              </w:rPr>
              <w:t>/d，</w:t>
            </w:r>
            <w:r>
              <w:rPr>
                <w:rFonts w:hint="eastAsia"/>
                <w:color w:val="auto"/>
                <w:sz w:val="24"/>
              </w:rPr>
              <w:t>本项目生活污水产生量为</w:t>
            </w:r>
            <w:r>
              <w:rPr>
                <w:rFonts w:hint="eastAsia"/>
                <w:color w:val="auto"/>
                <w:sz w:val="24"/>
                <w:lang w:val="en-US" w:eastAsia="zh-CN"/>
              </w:rPr>
              <w:t>2280</w:t>
            </w:r>
            <w:r>
              <w:rPr>
                <w:rFonts w:hint="eastAsia"/>
                <w:color w:val="auto"/>
                <w:sz w:val="24"/>
              </w:rPr>
              <w:t>t/a（</w:t>
            </w:r>
            <w:r>
              <w:rPr>
                <w:rFonts w:hint="eastAsia"/>
                <w:color w:val="auto"/>
                <w:sz w:val="24"/>
                <w:lang w:val="en-US" w:eastAsia="zh-CN"/>
              </w:rPr>
              <w:t>7.6</w:t>
            </w:r>
            <w:r>
              <w:rPr>
                <w:rFonts w:hint="eastAsia"/>
                <w:color w:val="auto"/>
                <w:sz w:val="24"/>
              </w:rPr>
              <w:t>t/d），远小于污水处理厂剩余接管量；</w:t>
            </w:r>
            <w:r>
              <w:rPr>
                <w:color w:val="auto"/>
                <w:sz w:val="24"/>
              </w:rPr>
              <w:t>涟水县经济开发区西区污水处理厂工程服务为江苏涟水经济开发区西区内的工业废水及生活污水，服务范围为西至连淮扬镇铁路、北至北环路、东至盐河和涟西一干渠、南至清涟大道和生态路。</w:t>
            </w:r>
          </w:p>
          <w:p w14:paraId="589346FE">
            <w:pPr>
              <w:adjustRightInd w:val="0"/>
              <w:snapToGrid w:val="0"/>
              <w:spacing w:line="360" w:lineRule="auto"/>
              <w:ind w:firstLine="480" w:firstLineChars="200"/>
              <w:rPr>
                <w:bCs/>
                <w:color w:val="auto"/>
                <w:sz w:val="24"/>
              </w:rPr>
            </w:pPr>
            <w:r>
              <w:rPr>
                <w:color w:val="auto"/>
                <w:sz w:val="24"/>
              </w:rPr>
              <w:t>涟水县经济开发区西区污水处理厂污水处理工艺流程如下</w:t>
            </w:r>
            <w:r>
              <w:rPr>
                <w:rFonts w:hint="eastAsia"/>
                <w:bCs/>
                <w:color w:val="auto"/>
                <w:sz w:val="24"/>
              </w:rPr>
              <w:t>。</w:t>
            </w:r>
          </w:p>
          <w:p w14:paraId="58A7C97A">
            <w:pPr>
              <w:adjustRightInd w:val="0"/>
              <w:snapToGrid w:val="0"/>
              <w:jc w:val="center"/>
              <w:rPr>
                <w:bCs/>
                <w:color w:val="auto"/>
                <w:sz w:val="24"/>
              </w:rPr>
            </w:pPr>
            <w:r>
              <w:rPr>
                <w:color w:val="auto"/>
              </w:rPr>
              <w:drawing>
                <wp:inline distT="0" distB="0" distL="114300" distR="114300">
                  <wp:extent cx="5339715" cy="3791585"/>
                  <wp:effectExtent l="0" t="0" r="13335" b="1841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0"/>
                          <a:stretch>
                            <a:fillRect/>
                          </a:stretch>
                        </pic:blipFill>
                        <pic:spPr>
                          <a:xfrm>
                            <a:off x="0" y="0"/>
                            <a:ext cx="5339715" cy="3791585"/>
                          </a:xfrm>
                          <a:prstGeom prst="rect">
                            <a:avLst/>
                          </a:prstGeom>
                          <a:noFill/>
                          <a:ln>
                            <a:noFill/>
                          </a:ln>
                        </pic:spPr>
                      </pic:pic>
                    </a:graphicData>
                  </a:graphic>
                </wp:inline>
              </w:drawing>
            </w:r>
          </w:p>
          <w:p w14:paraId="7BFC704E">
            <w:pPr>
              <w:adjustRightInd w:val="0"/>
              <w:snapToGrid w:val="0"/>
              <w:ind w:firstLine="482"/>
              <w:jc w:val="center"/>
              <w:rPr>
                <w:b/>
                <w:color w:val="auto"/>
                <w:sz w:val="24"/>
              </w:rPr>
            </w:pPr>
            <w:r>
              <w:rPr>
                <w:rFonts w:hint="eastAsia"/>
                <w:b/>
                <w:color w:val="auto"/>
                <w:sz w:val="24"/>
              </w:rPr>
              <w:t>图</w:t>
            </w:r>
            <w:r>
              <w:rPr>
                <w:b/>
                <w:color w:val="auto"/>
                <w:sz w:val="24"/>
              </w:rPr>
              <w:t xml:space="preserve">4-2 </w:t>
            </w:r>
            <w:r>
              <w:rPr>
                <w:b/>
                <w:bCs/>
                <w:color w:val="auto"/>
                <w:kern w:val="0"/>
                <w:sz w:val="24"/>
              </w:rPr>
              <w:t>涟水经济开发区西区污水处理厂处理工艺流程图</w:t>
            </w:r>
          </w:p>
          <w:p w14:paraId="45311E43">
            <w:pPr>
              <w:adjustRightInd w:val="0"/>
              <w:snapToGrid w:val="0"/>
              <w:spacing w:before="120" w:beforeLines="50" w:line="360" w:lineRule="auto"/>
              <w:ind w:firstLine="480" w:firstLineChars="200"/>
              <w:rPr>
                <w:bCs/>
                <w:color w:val="auto"/>
                <w:sz w:val="24"/>
              </w:rPr>
            </w:pPr>
            <w:r>
              <w:rPr>
                <w:rFonts w:hint="eastAsia"/>
                <w:bCs/>
                <w:color w:val="auto"/>
                <w:sz w:val="24"/>
              </w:rPr>
              <w:t>本项目所在区域已敷设污水管网，本项目日废水排放量为</w:t>
            </w:r>
            <w:r>
              <w:rPr>
                <w:rFonts w:hint="eastAsia"/>
                <w:bCs/>
                <w:color w:val="auto"/>
                <w:sz w:val="24"/>
                <w:lang w:val="en-US" w:eastAsia="zh-CN"/>
              </w:rPr>
              <w:t>7.6</w:t>
            </w:r>
            <w:r>
              <w:rPr>
                <w:bCs/>
                <w:color w:val="auto"/>
                <w:sz w:val="24"/>
              </w:rPr>
              <w:t>m</w:t>
            </w:r>
            <w:r>
              <w:rPr>
                <w:bCs/>
                <w:color w:val="auto"/>
                <w:sz w:val="24"/>
                <w:vertAlign w:val="superscript"/>
              </w:rPr>
              <w:t>3</w:t>
            </w:r>
            <w:r>
              <w:rPr>
                <w:rFonts w:hint="eastAsia"/>
                <w:bCs/>
                <w:color w:val="auto"/>
                <w:sz w:val="24"/>
              </w:rPr>
              <w:t>，仅占污水处理厂处理能力的</w:t>
            </w:r>
            <w:r>
              <w:rPr>
                <w:bCs/>
                <w:color w:val="auto"/>
                <w:sz w:val="24"/>
              </w:rPr>
              <w:t>0.</w:t>
            </w:r>
            <w:r>
              <w:rPr>
                <w:rFonts w:hint="eastAsia"/>
                <w:bCs/>
                <w:color w:val="auto"/>
                <w:sz w:val="24"/>
              </w:rPr>
              <w:t>0</w:t>
            </w:r>
            <w:r>
              <w:rPr>
                <w:rFonts w:hint="eastAsia"/>
                <w:bCs/>
                <w:color w:val="auto"/>
                <w:sz w:val="24"/>
                <w:lang w:val="en-US" w:eastAsia="zh-CN"/>
              </w:rPr>
              <w:t>2</w:t>
            </w:r>
            <w:r>
              <w:rPr>
                <w:rFonts w:hint="eastAsia"/>
                <w:bCs/>
                <w:color w:val="auto"/>
                <w:sz w:val="24"/>
              </w:rPr>
              <w:t>5</w:t>
            </w:r>
            <w:r>
              <w:rPr>
                <w:bCs/>
                <w:color w:val="auto"/>
                <w:sz w:val="24"/>
              </w:rPr>
              <w:t>%</w:t>
            </w:r>
            <w:r>
              <w:rPr>
                <w:rFonts w:hint="eastAsia"/>
                <w:bCs/>
                <w:color w:val="auto"/>
                <w:sz w:val="24"/>
              </w:rPr>
              <w:t>。本项目废水为职工生活污水及食堂废水，经隔油池+化粪池处理后满足涟水经济开发区西区污水处理厂进水水质要求。因此，拟建项目排放的生活污水无论水量、水质均能满足涟水经济开发区西区污水处理厂的接管要求，不会对涟水经济开发区西区污水处理厂的正常运行造成不良影响，因而废水进行接管处理是可行的。</w:t>
            </w:r>
          </w:p>
          <w:p w14:paraId="00D78E06">
            <w:pPr>
              <w:adjustRightInd w:val="0"/>
              <w:snapToGrid w:val="0"/>
              <w:spacing w:line="360" w:lineRule="auto"/>
              <w:ind w:firstLine="482" w:firstLineChars="200"/>
              <w:rPr>
                <w:bCs/>
                <w:color w:val="auto"/>
                <w:sz w:val="24"/>
              </w:rPr>
            </w:pPr>
            <w:r>
              <w:rPr>
                <w:rFonts w:hint="eastAsia"/>
                <w:b/>
                <w:color w:val="auto"/>
                <w:sz w:val="24"/>
              </w:rPr>
              <w:t>2.4自行监测计划</w:t>
            </w:r>
          </w:p>
          <w:p w14:paraId="64218385">
            <w:pPr>
              <w:adjustRightInd w:val="0"/>
              <w:snapToGrid w:val="0"/>
              <w:spacing w:line="360" w:lineRule="auto"/>
              <w:ind w:firstLine="480" w:firstLineChars="200"/>
              <w:rPr>
                <w:rFonts w:hAnsi="宋体"/>
                <w:color w:val="auto"/>
                <w:sz w:val="24"/>
              </w:rPr>
            </w:pPr>
            <w:r>
              <w:rPr>
                <w:rFonts w:hint="eastAsia" w:hAnsi="宋体" w:cs="宋体"/>
                <w:color w:val="auto"/>
                <w:sz w:val="24"/>
                <w:lang w:bidi="ar"/>
              </w:rPr>
              <w:t>根据《排污许可证申请与核发技术规范</w:t>
            </w:r>
            <w:r>
              <w:rPr>
                <w:color w:val="auto"/>
                <w:sz w:val="24"/>
                <w:lang w:bidi="ar"/>
              </w:rPr>
              <w:t xml:space="preserve"> </w:t>
            </w:r>
            <w:r>
              <w:rPr>
                <w:rFonts w:hint="eastAsia" w:hAnsi="宋体" w:cs="宋体"/>
                <w:color w:val="auto"/>
                <w:sz w:val="24"/>
                <w:lang w:bidi="ar"/>
              </w:rPr>
              <w:t>总则》（</w:t>
            </w:r>
            <w:r>
              <w:rPr>
                <w:color w:val="auto"/>
                <w:sz w:val="24"/>
                <w:lang w:bidi="ar"/>
              </w:rPr>
              <w:t>HJ942-2018</w:t>
            </w:r>
            <w:r>
              <w:rPr>
                <w:rFonts w:hint="eastAsia" w:hAnsi="宋体" w:cs="宋体"/>
                <w:color w:val="auto"/>
                <w:sz w:val="24"/>
                <w:lang w:bidi="ar"/>
              </w:rPr>
              <w:t>）、《排污单位自行监测技术指南</w:t>
            </w:r>
            <w:r>
              <w:rPr>
                <w:color w:val="auto"/>
                <w:sz w:val="24"/>
                <w:lang w:bidi="ar"/>
              </w:rPr>
              <w:t xml:space="preserve"> </w:t>
            </w:r>
            <w:r>
              <w:rPr>
                <w:rFonts w:hint="eastAsia" w:hAnsi="宋体" w:cs="宋体"/>
                <w:color w:val="auto"/>
                <w:sz w:val="24"/>
                <w:lang w:bidi="ar"/>
              </w:rPr>
              <w:t>总则》（</w:t>
            </w:r>
            <w:r>
              <w:rPr>
                <w:color w:val="auto"/>
                <w:sz w:val="24"/>
                <w:lang w:bidi="ar"/>
              </w:rPr>
              <w:t>HJ819-2017</w:t>
            </w:r>
            <w:r>
              <w:rPr>
                <w:rFonts w:hint="eastAsia" w:hAnsi="宋体" w:cs="宋体"/>
                <w:color w:val="auto"/>
                <w:sz w:val="24"/>
                <w:lang w:bidi="ar"/>
              </w:rPr>
              <w:t>），单独排入城镇集中污水处理设施的生活污水仅说明排放去向，项目无生产废水外排，无需进行例行监测。</w:t>
            </w:r>
          </w:p>
          <w:p w14:paraId="12844E94">
            <w:pPr>
              <w:autoSpaceDE w:val="0"/>
              <w:autoSpaceDN w:val="0"/>
              <w:adjustRightInd w:val="0"/>
              <w:snapToGrid w:val="0"/>
              <w:spacing w:line="360" w:lineRule="auto"/>
              <w:ind w:firstLine="482" w:firstLineChars="200"/>
              <w:rPr>
                <w:b/>
                <w:color w:val="auto"/>
                <w:kern w:val="0"/>
                <w:sz w:val="24"/>
              </w:rPr>
            </w:pPr>
            <w:r>
              <w:rPr>
                <w:b/>
                <w:color w:val="auto"/>
                <w:kern w:val="0"/>
                <w:sz w:val="24"/>
              </w:rPr>
              <w:t>3.噪声源强分析</w:t>
            </w:r>
          </w:p>
          <w:p w14:paraId="6BDACF3E">
            <w:pPr>
              <w:autoSpaceDE w:val="0"/>
              <w:autoSpaceDN w:val="0"/>
              <w:adjustRightInd w:val="0"/>
              <w:snapToGrid w:val="0"/>
              <w:spacing w:line="360" w:lineRule="auto"/>
              <w:ind w:firstLine="482" w:firstLineChars="200"/>
              <w:rPr>
                <w:b/>
                <w:color w:val="auto"/>
                <w:sz w:val="24"/>
              </w:rPr>
            </w:pPr>
            <w:r>
              <w:rPr>
                <w:b/>
                <w:color w:val="auto"/>
                <w:sz w:val="24"/>
              </w:rPr>
              <w:t>3.</w:t>
            </w:r>
            <w:r>
              <w:rPr>
                <w:rFonts w:hint="eastAsia"/>
                <w:b/>
                <w:color w:val="auto"/>
                <w:sz w:val="24"/>
              </w:rPr>
              <w:t>1</w:t>
            </w:r>
            <w:r>
              <w:rPr>
                <w:b/>
                <w:color w:val="auto"/>
                <w:sz w:val="24"/>
              </w:rPr>
              <w:t>噪声源强分析</w:t>
            </w:r>
          </w:p>
          <w:p w14:paraId="37D4E00A">
            <w:pPr>
              <w:autoSpaceDE w:val="0"/>
              <w:autoSpaceDN w:val="0"/>
              <w:adjustRightInd w:val="0"/>
              <w:snapToGrid w:val="0"/>
              <w:spacing w:line="360" w:lineRule="auto"/>
              <w:ind w:firstLine="240" w:firstLineChars="100"/>
              <w:rPr>
                <w:color w:val="auto"/>
                <w:sz w:val="24"/>
              </w:rPr>
            </w:pPr>
            <w:r>
              <w:rPr>
                <w:color w:val="auto"/>
                <w:sz w:val="24"/>
              </w:rPr>
              <w:t>本项目运营期间噪声源主要</w:t>
            </w:r>
            <w:r>
              <w:rPr>
                <w:rFonts w:hint="eastAsia"/>
                <w:color w:val="auto"/>
                <w:sz w:val="24"/>
                <w:lang w:eastAsia="zh-CN"/>
              </w:rPr>
              <w:t>来自</w:t>
            </w:r>
            <w:r>
              <w:rPr>
                <w:color w:val="auto"/>
                <w:sz w:val="24"/>
              </w:rPr>
              <w:t>设备运行噪声，其噪声值一般在6</w:t>
            </w:r>
            <w:r>
              <w:rPr>
                <w:rFonts w:hint="eastAsia"/>
                <w:color w:val="auto"/>
                <w:sz w:val="24"/>
              </w:rPr>
              <w:t>0</w:t>
            </w:r>
            <w:r>
              <w:rPr>
                <w:color w:val="auto"/>
                <w:sz w:val="24"/>
              </w:rPr>
              <w:t>-</w:t>
            </w:r>
            <w:r>
              <w:rPr>
                <w:rFonts w:hint="eastAsia"/>
                <w:color w:val="auto"/>
                <w:sz w:val="24"/>
              </w:rPr>
              <w:t>85</w:t>
            </w:r>
            <w:r>
              <w:rPr>
                <w:color w:val="auto"/>
                <w:sz w:val="24"/>
              </w:rPr>
              <w:t>dB（A）之间，噪声源强参数见表4-</w:t>
            </w:r>
            <w:r>
              <w:rPr>
                <w:rFonts w:hint="eastAsia"/>
                <w:color w:val="auto"/>
                <w:sz w:val="24"/>
              </w:rPr>
              <w:t>1</w:t>
            </w:r>
            <w:r>
              <w:rPr>
                <w:rFonts w:hint="eastAsia"/>
                <w:color w:val="auto"/>
                <w:sz w:val="24"/>
                <w:lang w:val="en-US" w:eastAsia="zh-CN"/>
              </w:rPr>
              <w:t>6</w:t>
            </w:r>
            <w:r>
              <w:rPr>
                <w:color w:val="auto"/>
                <w:sz w:val="24"/>
              </w:rPr>
              <w:t>。</w:t>
            </w:r>
          </w:p>
          <w:p w14:paraId="27654AC0">
            <w:pPr>
              <w:widowControl/>
              <w:ind w:firstLine="482" w:firstLineChars="200"/>
              <w:jc w:val="center"/>
              <w:rPr>
                <w:b/>
                <w:color w:val="auto"/>
                <w:sz w:val="24"/>
              </w:rPr>
            </w:pPr>
          </w:p>
          <w:p w14:paraId="7C5F61B2">
            <w:pPr>
              <w:widowControl/>
              <w:adjustRightInd w:val="0"/>
              <w:snapToGrid w:val="0"/>
              <w:spacing w:before="120" w:beforeLines="50"/>
              <w:ind w:firstLine="482" w:firstLineChars="200"/>
              <w:jc w:val="center"/>
              <w:rPr>
                <w:b/>
                <w:color w:val="auto"/>
                <w:sz w:val="24"/>
              </w:rPr>
            </w:pPr>
            <w:r>
              <w:rPr>
                <w:b/>
                <w:color w:val="auto"/>
                <w:sz w:val="24"/>
              </w:rPr>
              <w:t>表4-</w:t>
            </w:r>
            <w:r>
              <w:rPr>
                <w:rFonts w:hint="eastAsia"/>
                <w:b/>
                <w:color w:val="auto"/>
                <w:sz w:val="24"/>
              </w:rPr>
              <w:t>1</w:t>
            </w:r>
            <w:r>
              <w:rPr>
                <w:rFonts w:hint="eastAsia"/>
                <w:b/>
                <w:color w:val="auto"/>
                <w:sz w:val="24"/>
                <w:lang w:val="en-US" w:eastAsia="zh-CN"/>
              </w:rPr>
              <w:t>6</w:t>
            </w:r>
            <w:r>
              <w:rPr>
                <w:b/>
                <w:color w:val="auto"/>
                <w:sz w:val="24"/>
              </w:rPr>
              <w:t>项目噪声源强调查清单（室内声源）</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289"/>
              <w:gridCol w:w="1189"/>
              <w:gridCol w:w="464"/>
              <w:gridCol w:w="682"/>
              <w:gridCol w:w="518"/>
              <w:gridCol w:w="368"/>
              <w:gridCol w:w="341"/>
              <w:gridCol w:w="368"/>
              <w:gridCol w:w="587"/>
              <w:gridCol w:w="1050"/>
              <w:gridCol w:w="450"/>
              <w:gridCol w:w="709"/>
              <w:gridCol w:w="722"/>
              <w:gridCol w:w="722"/>
            </w:tblGrid>
            <w:tr w14:paraId="0EA06A5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9" w:type="dxa"/>
                  <w:vMerge w:val="restart"/>
                  <w:vAlign w:val="center"/>
                </w:tcPr>
                <w:p w14:paraId="558E7016">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b/>
                      <w:bCs/>
                      <w:color w:val="auto"/>
                      <w:szCs w:val="21"/>
                    </w:rPr>
                  </w:pPr>
                  <w:r>
                    <w:rPr>
                      <w:b/>
                      <w:bCs/>
                      <w:color w:val="auto"/>
                      <w:szCs w:val="21"/>
                    </w:rPr>
                    <w:t>序号</w:t>
                  </w:r>
                </w:p>
              </w:tc>
              <w:tc>
                <w:tcPr>
                  <w:tcW w:w="1189" w:type="dxa"/>
                  <w:vMerge w:val="restart"/>
                  <w:vAlign w:val="center"/>
                </w:tcPr>
                <w:p w14:paraId="4B022595">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b/>
                      <w:bCs/>
                      <w:color w:val="auto"/>
                      <w:szCs w:val="21"/>
                    </w:rPr>
                  </w:pPr>
                  <w:r>
                    <w:rPr>
                      <w:b/>
                      <w:bCs/>
                      <w:color w:val="auto"/>
                      <w:szCs w:val="21"/>
                    </w:rPr>
                    <w:t>声源名称</w:t>
                  </w:r>
                </w:p>
              </w:tc>
              <w:tc>
                <w:tcPr>
                  <w:tcW w:w="464" w:type="dxa"/>
                  <w:vMerge w:val="restart"/>
                  <w:vAlign w:val="center"/>
                </w:tcPr>
                <w:p w14:paraId="63AF75D9">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b/>
                      <w:bCs/>
                      <w:color w:val="auto"/>
                      <w:szCs w:val="21"/>
                    </w:rPr>
                  </w:pPr>
                  <w:r>
                    <w:rPr>
                      <w:b/>
                      <w:bCs/>
                      <w:color w:val="auto"/>
                      <w:szCs w:val="21"/>
                    </w:rPr>
                    <w:t>数量</w:t>
                  </w:r>
                </w:p>
                <w:p w14:paraId="3E414EFD">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b/>
                      <w:bCs/>
                      <w:color w:val="auto"/>
                      <w:szCs w:val="21"/>
                    </w:rPr>
                  </w:pPr>
                  <w:r>
                    <w:rPr>
                      <w:b/>
                      <w:bCs/>
                      <w:color w:val="auto"/>
                      <w:szCs w:val="21"/>
                    </w:rPr>
                    <w:t>（台/套）</w:t>
                  </w:r>
                </w:p>
              </w:tc>
              <w:tc>
                <w:tcPr>
                  <w:tcW w:w="682" w:type="dxa"/>
                  <w:vMerge w:val="restart"/>
                  <w:vAlign w:val="center"/>
                </w:tcPr>
                <w:p w14:paraId="0AC3E454">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b/>
                      <w:bCs/>
                      <w:color w:val="auto"/>
                      <w:szCs w:val="21"/>
                    </w:rPr>
                  </w:pPr>
                  <w:r>
                    <w:rPr>
                      <w:b/>
                      <w:bCs/>
                      <w:color w:val="auto"/>
                      <w:szCs w:val="21"/>
                    </w:rPr>
                    <w:t>（声压级）/dB</w:t>
                  </w:r>
                  <w:r>
                    <w:rPr>
                      <w:rFonts w:hint="eastAsia"/>
                      <w:b/>
                      <w:bCs/>
                      <w:color w:val="auto"/>
                      <w:szCs w:val="21"/>
                    </w:rPr>
                    <w:t>（</w:t>
                  </w:r>
                  <w:r>
                    <w:rPr>
                      <w:b/>
                      <w:bCs/>
                      <w:color w:val="auto"/>
                      <w:szCs w:val="21"/>
                    </w:rPr>
                    <w:t>A</w:t>
                  </w:r>
                  <w:r>
                    <w:rPr>
                      <w:rFonts w:hint="eastAsia"/>
                      <w:b/>
                      <w:bCs/>
                      <w:color w:val="auto"/>
                      <w:szCs w:val="21"/>
                    </w:rPr>
                    <w:t>）</w:t>
                  </w:r>
                  <w:r>
                    <w:rPr>
                      <w:b/>
                      <w:bCs/>
                      <w:color w:val="auto"/>
                      <w:szCs w:val="21"/>
                    </w:rPr>
                    <w:t>）</w:t>
                  </w:r>
                </w:p>
              </w:tc>
              <w:tc>
                <w:tcPr>
                  <w:tcW w:w="518" w:type="dxa"/>
                  <w:vMerge w:val="restart"/>
                  <w:vAlign w:val="center"/>
                </w:tcPr>
                <w:p w14:paraId="62AAAD66">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b/>
                      <w:bCs/>
                      <w:color w:val="auto"/>
                      <w:szCs w:val="21"/>
                    </w:rPr>
                  </w:pPr>
                  <w:r>
                    <w:rPr>
                      <w:b/>
                      <w:bCs/>
                      <w:color w:val="auto"/>
                      <w:szCs w:val="21"/>
                    </w:rPr>
                    <w:t>声源控制措施</w:t>
                  </w:r>
                </w:p>
              </w:tc>
              <w:tc>
                <w:tcPr>
                  <w:tcW w:w="1077" w:type="dxa"/>
                  <w:gridSpan w:val="3"/>
                  <w:vAlign w:val="center"/>
                </w:tcPr>
                <w:p w14:paraId="65DCB3FA">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b/>
                      <w:bCs/>
                      <w:color w:val="auto"/>
                      <w:szCs w:val="21"/>
                    </w:rPr>
                  </w:pPr>
                  <w:r>
                    <w:rPr>
                      <w:b/>
                      <w:bCs/>
                      <w:color w:val="auto"/>
                      <w:szCs w:val="21"/>
                    </w:rPr>
                    <w:t>空间相对位置/m</w:t>
                  </w:r>
                </w:p>
              </w:tc>
              <w:tc>
                <w:tcPr>
                  <w:tcW w:w="587" w:type="dxa"/>
                  <w:vMerge w:val="restart"/>
                  <w:vAlign w:val="center"/>
                </w:tcPr>
                <w:p w14:paraId="33509926">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b/>
                      <w:bCs/>
                      <w:color w:val="auto"/>
                      <w:szCs w:val="21"/>
                    </w:rPr>
                  </w:pPr>
                  <w:r>
                    <w:rPr>
                      <w:b/>
                      <w:bCs/>
                      <w:color w:val="auto"/>
                      <w:szCs w:val="21"/>
                    </w:rPr>
                    <w:t>*距室内边</w:t>
                  </w:r>
                </w:p>
                <w:p w14:paraId="4031B896">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b/>
                      <w:bCs/>
                      <w:color w:val="auto"/>
                      <w:szCs w:val="21"/>
                    </w:rPr>
                  </w:pPr>
                  <w:r>
                    <w:rPr>
                      <w:b/>
                      <w:bCs/>
                      <w:color w:val="auto"/>
                      <w:szCs w:val="21"/>
                    </w:rPr>
                    <w:t>界距离/m</w:t>
                  </w:r>
                </w:p>
              </w:tc>
              <w:tc>
                <w:tcPr>
                  <w:tcW w:w="1050" w:type="dxa"/>
                  <w:vMerge w:val="restart"/>
                  <w:vAlign w:val="center"/>
                </w:tcPr>
                <w:p w14:paraId="2D9BBE7D">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b/>
                      <w:bCs/>
                      <w:color w:val="auto"/>
                      <w:szCs w:val="21"/>
                    </w:rPr>
                  </w:pPr>
                  <w:r>
                    <w:rPr>
                      <w:b/>
                      <w:bCs/>
                      <w:color w:val="auto"/>
                      <w:szCs w:val="21"/>
                    </w:rPr>
                    <w:t>*室内边界声级/dB</w:t>
                  </w:r>
                  <w:r>
                    <w:rPr>
                      <w:rFonts w:hint="eastAsia"/>
                      <w:b/>
                      <w:bCs/>
                      <w:color w:val="auto"/>
                      <w:szCs w:val="21"/>
                    </w:rPr>
                    <w:t>（</w:t>
                  </w:r>
                  <w:r>
                    <w:rPr>
                      <w:b/>
                      <w:bCs/>
                      <w:color w:val="auto"/>
                      <w:szCs w:val="21"/>
                    </w:rPr>
                    <w:t>A</w:t>
                  </w:r>
                  <w:r>
                    <w:rPr>
                      <w:rFonts w:hint="eastAsia"/>
                      <w:b/>
                      <w:bCs/>
                      <w:color w:val="auto"/>
                      <w:szCs w:val="21"/>
                    </w:rPr>
                    <w:t>）</w:t>
                  </w:r>
                  <w:r>
                    <w:rPr>
                      <w:b/>
                      <w:bCs/>
                      <w:color w:val="auto"/>
                      <w:szCs w:val="21"/>
                    </w:rPr>
                    <w:t>（多台设备叠加）</w:t>
                  </w:r>
                </w:p>
              </w:tc>
              <w:tc>
                <w:tcPr>
                  <w:tcW w:w="450" w:type="dxa"/>
                  <w:vMerge w:val="restart"/>
                  <w:vAlign w:val="center"/>
                </w:tcPr>
                <w:p w14:paraId="23F14BE1">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b/>
                      <w:bCs/>
                      <w:color w:val="auto"/>
                      <w:szCs w:val="21"/>
                    </w:rPr>
                  </w:pPr>
                  <w:r>
                    <w:rPr>
                      <w:b/>
                      <w:bCs/>
                      <w:color w:val="auto"/>
                      <w:szCs w:val="21"/>
                    </w:rPr>
                    <w:t>运行时段</w:t>
                  </w:r>
                </w:p>
                <w:p w14:paraId="1A47B441">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b/>
                      <w:bCs/>
                      <w:color w:val="auto"/>
                      <w:szCs w:val="21"/>
                    </w:rPr>
                  </w:pPr>
                  <w:r>
                    <w:rPr>
                      <w:b/>
                      <w:bCs/>
                      <w:color w:val="auto"/>
                      <w:szCs w:val="21"/>
                    </w:rPr>
                    <w:t>（h）</w:t>
                  </w:r>
                </w:p>
              </w:tc>
              <w:tc>
                <w:tcPr>
                  <w:tcW w:w="709" w:type="dxa"/>
                  <w:vMerge w:val="restart"/>
                  <w:vAlign w:val="center"/>
                </w:tcPr>
                <w:p w14:paraId="169F5903">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b/>
                      <w:bCs/>
                      <w:color w:val="auto"/>
                      <w:szCs w:val="21"/>
                    </w:rPr>
                  </w:pPr>
                  <w:r>
                    <w:rPr>
                      <w:b/>
                      <w:bCs/>
                      <w:color w:val="auto"/>
                      <w:szCs w:val="21"/>
                    </w:rPr>
                    <w:t>建筑物插入损失/</w:t>
                  </w:r>
                </w:p>
                <w:p w14:paraId="3603FDA0">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b/>
                      <w:bCs/>
                      <w:color w:val="auto"/>
                      <w:szCs w:val="21"/>
                    </w:rPr>
                  </w:pPr>
                  <w:r>
                    <w:rPr>
                      <w:b/>
                      <w:bCs/>
                      <w:color w:val="auto"/>
                      <w:szCs w:val="21"/>
                    </w:rPr>
                    <w:t>dB</w:t>
                  </w:r>
                  <w:r>
                    <w:rPr>
                      <w:rFonts w:hint="eastAsia"/>
                      <w:b/>
                      <w:bCs/>
                      <w:color w:val="auto"/>
                      <w:szCs w:val="21"/>
                    </w:rPr>
                    <w:t>（</w:t>
                  </w:r>
                  <w:r>
                    <w:rPr>
                      <w:b/>
                      <w:bCs/>
                      <w:color w:val="auto"/>
                      <w:szCs w:val="21"/>
                    </w:rPr>
                    <w:t>A</w:t>
                  </w:r>
                  <w:r>
                    <w:rPr>
                      <w:rFonts w:hint="eastAsia"/>
                      <w:b/>
                      <w:bCs/>
                      <w:color w:val="auto"/>
                      <w:szCs w:val="21"/>
                    </w:rPr>
                    <w:t>）</w:t>
                  </w:r>
                </w:p>
              </w:tc>
              <w:tc>
                <w:tcPr>
                  <w:tcW w:w="1444" w:type="dxa"/>
                  <w:gridSpan w:val="2"/>
                  <w:vAlign w:val="center"/>
                </w:tcPr>
                <w:p w14:paraId="2E189303">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b/>
                      <w:bCs/>
                      <w:color w:val="auto"/>
                      <w:szCs w:val="21"/>
                    </w:rPr>
                  </w:pPr>
                  <w:r>
                    <w:rPr>
                      <w:b/>
                      <w:bCs/>
                      <w:color w:val="auto"/>
                      <w:szCs w:val="21"/>
                    </w:rPr>
                    <w:t>降噪措施</w:t>
                  </w:r>
                </w:p>
              </w:tc>
            </w:tr>
            <w:tr w14:paraId="543116E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9" w:type="dxa"/>
                  <w:vMerge w:val="continue"/>
                  <w:vAlign w:val="center"/>
                </w:tcPr>
                <w:p w14:paraId="190167E3">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b/>
                      <w:bCs/>
                      <w:color w:val="auto"/>
                      <w:szCs w:val="21"/>
                    </w:rPr>
                  </w:pPr>
                </w:p>
              </w:tc>
              <w:tc>
                <w:tcPr>
                  <w:tcW w:w="1189" w:type="dxa"/>
                  <w:vMerge w:val="continue"/>
                  <w:vAlign w:val="center"/>
                </w:tcPr>
                <w:p w14:paraId="425402BB">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b/>
                      <w:bCs/>
                      <w:color w:val="auto"/>
                      <w:szCs w:val="21"/>
                    </w:rPr>
                  </w:pPr>
                </w:p>
              </w:tc>
              <w:tc>
                <w:tcPr>
                  <w:tcW w:w="464" w:type="dxa"/>
                  <w:vMerge w:val="continue"/>
                  <w:vAlign w:val="center"/>
                </w:tcPr>
                <w:p w14:paraId="0BAEB9A4">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b/>
                      <w:bCs/>
                      <w:color w:val="auto"/>
                      <w:szCs w:val="21"/>
                    </w:rPr>
                  </w:pPr>
                </w:p>
              </w:tc>
              <w:tc>
                <w:tcPr>
                  <w:tcW w:w="682" w:type="dxa"/>
                  <w:vMerge w:val="continue"/>
                  <w:vAlign w:val="center"/>
                </w:tcPr>
                <w:p w14:paraId="641766DD">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b/>
                      <w:bCs/>
                      <w:color w:val="auto"/>
                      <w:szCs w:val="21"/>
                    </w:rPr>
                  </w:pPr>
                </w:p>
              </w:tc>
              <w:tc>
                <w:tcPr>
                  <w:tcW w:w="518" w:type="dxa"/>
                  <w:vMerge w:val="continue"/>
                  <w:vAlign w:val="center"/>
                </w:tcPr>
                <w:p w14:paraId="07D96F8F">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b/>
                      <w:bCs/>
                      <w:color w:val="auto"/>
                      <w:szCs w:val="21"/>
                    </w:rPr>
                  </w:pPr>
                </w:p>
              </w:tc>
              <w:tc>
                <w:tcPr>
                  <w:tcW w:w="368" w:type="dxa"/>
                  <w:vAlign w:val="center"/>
                </w:tcPr>
                <w:p w14:paraId="40B04781">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b/>
                      <w:bCs/>
                      <w:color w:val="auto"/>
                      <w:szCs w:val="21"/>
                    </w:rPr>
                  </w:pPr>
                  <w:r>
                    <w:rPr>
                      <w:b/>
                      <w:bCs/>
                      <w:color w:val="auto"/>
                      <w:szCs w:val="21"/>
                    </w:rPr>
                    <w:t>X</w:t>
                  </w:r>
                </w:p>
              </w:tc>
              <w:tc>
                <w:tcPr>
                  <w:tcW w:w="341" w:type="dxa"/>
                  <w:vAlign w:val="center"/>
                </w:tcPr>
                <w:p w14:paraId="1E215CB5">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b/>
                      <w:bCs/>
                      <w:color w:val="auto"/>
                      <w:szCs w:val="21"/>
                    </w:rPr>
                  </w:pPr>
                  <w:r>
                    <w:rPr>
                      <w:b/>
                      <w:bCs/>
                      <w:color w:val="auto"/>
                      <w:szCs w:val="21"/>
                    </w:rPr>
                    <w:t>Y</w:t>
                  </w:r>
                </w:p>
              </w:tc>
              <w:tc>
                <w:tcPr>
                  <w:tcW w:w="368" w:type="dxa"/>
                  <w:vAlign w:val="center"/>
                </w:tcPr>
                <w:p w14:paraId="4810A111">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b/>
                      <w:bCs/>
                      <w:color w:val="auto"/>
                      <w:szCs w:val="21"/>
                    </w:rPr>
                  </w:pPr>
                  <w:r>
                    <w:rPr>
                      <w:b/>
                      <w:bCs/>
                      <w:color w:val="auto"/>
                      <w:szCs w:val="21"/>
                    </w:rPr>
                    <w:t>Z</w:t>
                  </w:r>
                </w:p>
              </w:tc>
              <w:tc>
                <w:tcPr>
                  <w:tcW w:w="587" w:type="dxa"/>
                  <w:vMerge w:val="continue"/>
                  <w:vAlign w:val="center"/>
                </w:tcPr>
                <w:p w14:paraId="1447045C">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b/>
                      <w:bCs/>
                      <w:color w:val="auto"/>
                      <w:szCs w:val="21"/>
                    </w:rPr>
                  </w:pPr>
                </w:p>
              </w:tc>
              <w:tc>
                <w:tcPr>
                  <w:tcW w:w="1050" w:type="dxa"/>
                  <w:vMerge w:val="continue"/>
                  <w:vAlign w:val="center"/>
                </w:tcPr>
                <w:p w14:paraId="2441BE5A">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b/>
                      <w:bCs/>
                      <w:color w:val="auto"/>
                      <w:szCs w:val="21"/>
                    </w:rPr>
                  </w:pPr>
                </w:p>
              </w:tc>
              <w:tc>
                <w:tcPr>
                  <w:tcW w:w="450" w:type="dxa"/>
                  <w:vMerge w:val="continue"/>
                  <w:vAlign w:val="center"/>
                </w:tcPr>
                <w:p w14:paraId="2F0DC608">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b/>
                      <w:bCs/>
                      <w:color w:val="auto"/>
                      <w:szCs w:val="21"/>
                    </w:rPr>
                  </w:pPr>
                </w:p>
              </w:tc>
              <w:tc>
                <w:tcPr>
                  <w:tcW w:w="709" w:type="dxa"/>
                  <w:vMerge w:val="continue"/>
                  <w:vAlign w:val="center"/>
                </w:tcPr>
                <w:p w14:paraId="7759272B">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b/>
                      <w:bCs/>
                      <w:color w:val="auto"/>
                      <w:szCs w:val="21"/>
                    </w:rPr>
                  </w:pPr>
                </w:p>
              </w:tc>
              <w:tc>
                <w:tcPr>
                  <w:tcW w:w="722" w:type="dxa"/>
                  <w:vAlign w:val="center"/>
                </w:tcPr>
                <w:p w14:paraId="26682185">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b/>
                      <w:bCs/>
                      <w:color w:val="auto"/>
                      <w:szCs w:val="21"/>
                    </w:rPr>
                  </w:pPr>
                  <w:r>
                    <w:rPr>
                      <w:b/>
                      <w:bCs/>
                      <w:color w:val="auto"/>
                      <w:szCs w:val="21"/>
                    </w:rPr>
                    <w:t>声压级/dB</w:t>
                  </w:r>
                  <w:r>
                    <w:rPr>
                      <w:rFonts w:hint="eastAsia"/>
                      <w:b/>
                      <w:bCs/>
                      <w:color w:val="auto"/>
                      <w:szCs w:val="21"/>
                    </w:rPr>
                    <w:t>（</w:t>
                  </w:r>
                  <w:r>
                    <w:rPr>
                      <w:b/>
                      <w:bCs/>
                      <w:color w:val="auto"/>
                      <w:szCs w:val="21"/>
                    </w:rPr>
                    <w:t>A</w:t>
                  </w:r>
                  <w:r>
                    <w:rPr>
                      <w:rFonts w:hint="eastAsia"/>
                      <w:b/>
                      <w:bCs/>
                      <w:color w:val="auto"/>
                      <w:szCs w:val="21"/>
                    </w:rPr>
                    <w:t>）</w:t>
                  </w:r>
                </w:p>
              </w:tc>
              <w:tc>
                <w:tcPr>
                  <w:tcW w:w="722" w:type="dxa"/>
                  <w:vAlign w:val="center"/>
                </w:tcPr>
                <w:p w14:paraId="4AF33E34">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b/>
                      <w:bCs/>
                      <w:color w:val="auto"/>
                      <w:szCs w:val="21"/>
                    </w:rPr>
                  </w:pPr>
                  <w:r>
                    <w:rPr>
                      <w:b/>
                      <w:bCs/>
                      <w:color w:val="auto"/>
                      <w:szCs w:val="21"/>
                    </w:rPr>
                    <w:t>建筑物外距离</w:t>
                  </w:r>
                </w:p>
              </w:tc>
            </w:tr>
            <w:tr w14:paraId="00D4245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525" w:hRule="atLeast"/>
                <w:jc w:val="center"/>
              </w:trPr>
              <w:tc>
                <w:tcPr>
                  <w:tcW w:w="289" w:type="dxa"/>
                  <w:vAlign w:val="center"/>
                </w:tcPr>
                <w:p w14:paraId="3662F321">
                  <w:pPr>
                    <w:keepNext w:val="0"/>
                    <w:keepLines w:val="0"/>
                    <w:pageBreakBefore w:val="0"/>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1</w:t>
                  </w:r>
                </w:p>
              </w:tc>
              <w:tc>
                <w:tcPr>
                  <w:tcW w:w="1189" w:type="dxa"/>
                  <w:shd w:val="clear" w:color="auto" w:fill="auto"/>
                  <w:vAlign w:val="center"/>
                </w:tcPr>
                <w:p w14:paraId="1EF2AD8E">
                  <w:pPr>
                    <w:keepNext w:val="0"/>
                    <w:keepLines w:val="0"/>
                    <w:pageBreakBefore w:val="0"/>
                    <w:kinsoku/>
                    <w:wordWrap/>
                    <w:overflowPunct/>
                    <w:topLinePunct w:val="0"/>
                    <w:autoSpaceDE/>
                    <w:autoSpaceDN/>
                    <w:bidi w:val="0"/>
                    <w:adjustRightInd w:val="0"/>
                    <w:snapToGrid w:val="0"/>
                    <w:ind w:firstLine="0"/>
                    <w:jc w:val="center"/>
                    <w:rPr>
                      <w:color w:val="auto"/>
                      <w:szCs w:val="21"/>
                    </w:rPr>
                  </w:pPr>
                  <w:r>
                    <w:rPr>
                      <w:color w:val="auto"/>
                      <w:szCs w:val="21"/>
                    </w:rPr>
                    <w:t>电机组装线</w:t>
                  </w:r>
                </w:p>
              </w:tc>
              <w:tc>
                <w:tcPr>
                  <w:tcW w:w="464" w:type="dxa"/>
                  <w:vAlign w:val="center"/>
                </w:tcPr>
                <w:p w14:paraId="1235848A">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2</w:t>
                  </w:r>
                </w:p>
              </w:tc>
              <w:tc>
                <w:tcPr>
                  <w:tcW w:w="682" w:type="dxa"/>
                  <w:vAlign w:val="center"/>
                </w:tcPr>
                <w:p w14:paraId="4F13D65B">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7</w:t>
                  </w:r>
                  <w:r>
                    <w:rPr>
                      <w:color w:val="auto"/>
                      <w:szCs w:val="21"/>
                    </w:rPr>
                    <w:t>0-85</w:t>
                  </w:r>
                </w:p>
              </w:tc>
              <w:tc>
                <w:tcPr>
                  <w:tcW w:w="518" w:type="dxa"/>
                  <w:vMerge w:val="restart"/>
                  <w:vAlign w:val="center"/>
                </w:tcPr>
                <w:p w14:paraId="345785BA">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隔声、减振</w:t>
                  </w:r>
                </w:p>
              </w:tc>
              <w:tc>
                <w:tcPr>
                  <w:tcW w:w="368" w:type="dxa"/>
                  <w:vAlign w:val="center"/>
                </w:tcPr>
                <w:p w14:paraId="47D6FEA3">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4</w:t>
                  </w:r>
                </w:p>
              </w:tc>
              <w:tc>
                <w:tcPr>
                  <w:tcW w:w="341" w:type="dxa"/>
                  <w:vAlign w:val="center"/>
                </w:tcPr>
                <w:p w14:paraId="125B42F4">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11</w:t>
                  </w:r>
                </w:p>
              </w:tc>
              <w:tc>
                <w:tcPr>
                  <w:tcW w:w="368" w:type="dxa"/>
                  <w:vAlign w:val="center"/>
                </w:tcPr>
                <w:p w14:paraId="3DA134AC">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1.5</w:t>
                  </w:r>
                </w:p>
              </w:tc>
              <w:tc>
                <w:tcPr>
                  <w:tcW w:w="587" w:type="dxa"/>
                  <w:vAlign w:val="center"/>
                </w:tcPr>
                <w:p w14:paraId="64DCE4AB">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南3</w:t>
                  </w:r>
                </w:p>
              </w:tc>
              <w:tc>
                <w:tcPr>
                  <w:tcW w:w="1050" w:type="dxa"/>
                  <w:vAlign w:val="center"/>
                </w:tcPr>
                <w:p w14:paraId="52038011">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7</w:t>
                  </w:r>
                  <w:r>
                    <w:rPr>
                      <w:rFonts w:hint="eastAsia"/>
                      <w:color w:val="auto"/>
                      <w:szCs w:val="21"/>
                    </w:rPr>
                    <w:t>8.36</w:t>
                  </w:r>
                </w:p>
              </w:tc>
              <w:tc>
                <w:tcPr>
                  <w:tcW w:w="450" w:type="dxa"/>
                  <w:vMerge w:val="restart"/>
                  <w:vAlign w:val="center"/>
                </w:tcPr>
                <w:p w14:paraId="6500C25E">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连续运行</w:t>
                  </w:r>
                </w:p>
              </w:tc>
              <w:tc>
                <w:tcPr>
                  <w:tcW w:w="709" w:type="dxa"/>
                  <w:vAlign w:val="center"/>
                </w:tcPr>
                <w:p w14:paraId="1B854F61">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25</w:t>
                  </w:r>
                </w:p>
              </w:tc>
              <w:tc>
                <w:tcPr>
                  <w:tcW w:w="722" w:type="dxa"/>
                  <w:vAlign w:val="center"/>
                </w:tcPr>
                <w:p w14:paraId="14D09E6D">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4</w:t>
                  </w:r>
                  <w:r>
                    <w:rPr>
                      <w:color w:val="auto"/>
                      <w:szCs w:val="21"/>
                    </w:rPr>
                    <w:t>0</w:t>
                  </w:r>
                  <w:r>
                    <w:rPr>
                      <w:rFonts w:hint="eastAsia"/>
                      <w:color w:val="auto"/>
                      <w:szCs w:val="21"/>
                    </w:rPr>
                    <w:t>.45</w:t>
                  </w:r>
                </w:p>
              </w:tc>
              <w:tc>
                <w:tcPr>
                  <w:tcW w:w="722" w:type="dxa"/>
                  <w:vMerge w:val="restart"/>
                  <w:vAlign w:val="center"/>
                </w:tcPr>
                <w:p w14:paraId="71BCCDB8">
                  <w:pPr>
                    <w:keepNext w:val="0"/>
                    <w:keepLines w:val="0"/>
                    <w:pageBreakBefore w:val="0"/>
                    <w:widowControl/>
                    <w:tabs>
                      <w:tab w:val="left" w:pos="370"/>
                    </w:tabs>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1m</w:t>
                  </w:r>
                </w:p>
              </w:tc>
            </w:tr>
            <w:tr w14:paraId="0E2041C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9" w:type="dxa"/>
                  <w:vAlign w:val="center"/>
                </w:tcPr>
                <w:p w14:paraId="48816381">
                  <w:pPr>
                    <w:keepNext w:val="0"/>
                    <w:keepLines w:val="0"/>
                    <w:pageBreakBefore w:val="0"/>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2</w:t>
                  </w:r>
                </w:p>
              </w:tc>
              <w:tc>
                <w:tcPr>
                  <w:tcW w:w="1189" w:type="dxa"/>
                  <w:shd w:val="clear" w:color="auto" w:fill="auto"/>
                  <w:vAlign w:val="center"/>
                </w:tcPr>
                <w:p w14:paraId="02610C91">
                  <w:pPr>
                    <w:keepNext w:val="0"/>
                    <w:keepLines w:val="0"/>
                    <w:pageBreakBefore w:val="0"/>
                    <w:kinsoku/>
                    <w:wordWrap/>
                    <w:overflowPunct/>
                    <w:topLinePunct w:val="0"/>
                    <w:autoSpaceDE/>
                    <w:autoSpaceDN/>
                    <w:bidi w:val="0"/>
                    <w:adjustRightInd w:val="0"/>
                    <w:snapToGrid w:val="0"/>
                    <w:ind w:firstLine="0"/>
                    <w:jc w:val="center"/>
                    <w:rPr>
                      <w:color w:val="auto"/>
                      <w:szCs w:val="21"/>
                    </w:rPr>
                  </w:pPr>
                  <w:r>
                    <w:rPr>
                      <w:color w:val="auto"/>
                      <w:szCs w:val="21"/>
                    </w:rPr>
                    <w:t>电机单工位组装线</w:t>
                  </w:r>
                </w:p>
              </w:tc>
              <w:tc>
                <w:tcPr>
                  <w:tcW w:w="464" w:type="dxa"/>
                  <w:vAlign w:val="center"/>
                </w:tcPr>
                <w:p w14:paraId="2C8BD4D5">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1</w:t>
                  </w:r>
                </w:p>
              </w:tc>
              <w:tc>
                <w:tcPr>
                  <w:tcW w:w="682" w:type="dxa"/>
                  <w:vAlign w:val="center"/>
                </w:tcPr>
                <w:p w14:paraId="4A18DECF">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6</w:t>
                  </w:r>
                  <w:r>
                    <w:rPr>
                      <w:rFonts w:hint="eastAsia"/>
                      <w:color w:val="auto"/>
                      <w:szCs w:val="21"/>
                    </w:rPr>
                    <w:t>0</w:t>
                  </w:r>
                  <w:r>
                    <w:rPr>
                      <w:color w:val="auto"/>
                      <w:szCs w:val="21"/>
                    </w:rPr>
                    <w:t>-75</w:t>
                  </w:r>
                </w:p>
              </w:tc>
              <w:tc>
                <w:tcPr>
                  <w:tcW w:w="518" w:type="dxa"/>
                  <w:vMerge w:val="continue"/>
                  <w:vAlign w:val="center"/>
                </w:tcPr>
                <w:p w14:paraId="7F3F507D">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p>
              </w:tc>
              <w:tc>
                <w:tcPr>
                  <w:tcW w:w="368" w:type="dxa"/>
                  <w:vAlign w:val="center"/>
                </w:tcPr>
                <w:p w14:paraId="63AF325A">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1</w:t>
                  </w:r>
                  <w:r>
                    <w:rPr>
                      <w:rFonts w:hint="eastAsia"/>
                      <w:color w:val="auto"/>
                      <w:szCs w:val="21"/>
                    </w:rPr>
                    <w:t>0</w:t>
                  </w:r>
                </w:p>
              </w:tc>
              <w:tc>
                <w:tcPr>
                  <w:tcW w:w="341" w:type="dxa"/>
                  <w:vAlign w:val="center"/>
                </w:tcPr>
                <w:p w14:paraId="07A8BA46">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8</w:t>
                  </w:r>
                </w:p>
              </w:tc>
              <w:tc>
                <w:tcPr>
                  <w:tcW w:w="368" w:type="dxa"/>
                  <w:vAlign w:val="center"/>
                </w:tcPr>
                <w:p w14:paraId="69C6FDA6">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1.5</w:t>
                  </w:r>
                </w:p>
              </w:tc>
              <w:tc>
                <w:tcPr>
                  <w:tcW w:w="587" w:type="dxa"/>
                  <w:vAlign w:val="center"/>
                </w:tcPr>
                <w:p w14:paraId="66EE908D">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西</w:t>
                  </w:r>
                  <w:r>
                    <w:rPr>
                      <w:rFonts w:hint="eastAsia"/>
                      <w:color w:val="auto"/>
                      <w:szCs w:val="21"/>
                    </w:rPr>
                    <w:t>5</w:t>
                  </w:r>
                </w:p>
              </w:tc>
              <w:tc>
                <w:tcPr>
                  <w:tcW w:w="1050" w:type="dxa"/>
                  <w:vAlign w:val="center"/>
                </w:tcPr>
                <w:p w14:paraId="6870B8D1">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7</w:t>
                  </w:r>
                  <w:r>
                    <w:rPr>
                      <w:rFonts w:hint="eastAsia"/>
                      <w:color w:val="auto"/>
                      <w:szCs w:val="21"/>
                    </w:rPr>
                    <w:t>2.0</w:t>
                  </w:r>
                </w:p>
              </w:tc>
              <w:tc>
                <w:tcPr>
                  <w:tcW w:w="450" w:type="dxa"/>
                  <w:vMerge w:val="continue"/>
                  <w:vAlign w:val="center"/>
                </w:tcPr>
                <w:p w14:paraId="15732FDF">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p>
              </w:tc>
              <w:tc>
                <w:tcPr>
                  <w:tcW w:w="709" w:type="dxa"/>
                  <w:vAlign w:val="center"/>
                </w:tcPr>
                <w:p w14:paraId="30650A94">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25</w:t>
                  </w:r>
                </w:p>
              </w:tc>
              <w:tc>
                <w:tcPr>
                  <w:tcW w:w="722" w:type="dxa"/>
                  <w:vAlign w:val="center"/>
                </w:tcPr>
                <w:p w14:paraId="63041949">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43</w:t>
                  </w:r>
                  <w:r>
                    <w:rPr>
                      <w:rFonts w:hint="eastAsia"/>
                      <w:color w:val="auto"/>
                      <w:szCs w:val="21"/>
                    </w:rPr>
                    <w:t>.32</w:t>
                  </w:r>
                </w:p>
              </w:tc>
              <w:tc>
                <w:tcPr>
                  <w:tcW w:w="722" w:type="dxa"/>
                  <w:vMerge w:val="continue"/>
                  <w:vAlign w:val="center"/>
                </w:tcPr>
                <w:p w14:paraId="3A94221D">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p>
              </w:tc>
            </w:tr>
            <w:tr w14:paraId="3E2FD5E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9" w:type="dxa"/>
                  <w:vAlign w:val="center"/>
                </w:tcPr>
                <w:p w14:paraId="2F78370F">
                  <w:pPr>
                    <w:keepNext w:val="0"/>
                    <w:keepLines w:val="0"/>
                    <w:pageBreakBefore w:val="0"/>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3</w:t>
                  </w:r>
                </w:p>
              </w:tc>
              <w:tc>
                <w:tcPr>
                  <w:tcW w:w="1189" w:type="dxa"/>
                  <w:shd w:val="clear" w:color="auto" w:fill="auto"/>
                  <w:vAlign w:val="center"/>
                </w:tcPr>
                <w:p w14:paraId="30293E37">
                  <w:pPr>
                    <w:keepNext w:val="0"/>
                    <w:keepLines w:val="0"/>
                    <w:pageBreakBefore w:val="0"/>
                    <w:kinsoku/>
                    <w:wordWrap/>
                    <w:overflowPunct/>
                    <w:topLinePunct w:val="0"/>
                    <w:autoSpaceDE/>
                    <w:autoSpaceDN/>
                    <w:bidi w:val="0"/>
                    <w:adjustRightInd w:val="0"/>
                    <w:snapToGrid w:val="0"/>
                    <w:ind w:firstLine="0"/>
                    <w:jc w:val="center"/>
                    <w:rPr>
                      <w:color w:val="auto"/>
                      <w:szCs w:val="21"/>
                    </w:rPr>
                  </w:pPr>
                  <w:r>
                    <w:rPr>
                      <w:color w:val="auto"/>
                      <w:szCs w:val="21"/>
                    </w:rPr>
                    <w:t>电机喷漆生产线</w:t>
                  </w:r>
                </w:p>
              </w:tc>
              <w:tc>
                <w:tcPr>
                  <w:tcW w:w="464" w:type="dxa"/>
                  <w:vAlign w:val="center"/>
                </w:tcPr>
                <w:p w14:paraId="12040A13">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1</w:t>
                  </w:r>
                </w:p>
              </w:tc>
              <w:tc>
                <w:tcPr>
                  <w:tcW w:w="682" w:type="dxa"/>
                  <w:vAlign w:val="center"/>
                </w:tcPr>
                <w:p w14:paraId="008DCDC7">
                  <w:pPr>
                    <w:keepNext w:val="0"/>
                    <w:keepLines w:val="0"/>
                    <w:pageBreakBefore w:val="0"/>
                    <w:widowControl/>
                    <w:kinsoku/>
                    <w:wordWrap/>
                    <w:overflowPunct/>
                    <w:topLinePunct w:val="0"/>
                    <w:autoSpaceDE/>
                    <w:autoSpaceDN/>
                    <w:bidi w:val="0"/>
                    <w:adjustRightInd w:val="0"/>
                    <w:snapToGrid w:val="0"/>
                    <w:ind w:firstLine="0"/>
                    <w:jc w:val="center"/>
                    <w:rPr>
                      <w:color w:val="auto"/>
                      <w:szCs w:val="21"/>
                    </w:rPr>
                  </w:pPr>
                  <w:r>
                    <w:rPr>
                      <w:rFonts w:hint="eastAsia"/>
                      <w:color w:val="auto"/>
                      <w:szCs w:val="21"/>
                    </w:rPr>
                    <w:t>7</w:t>
                  </w:r>
                  <w:r>
                    <w:rPr>
                      <w:color w:val="auto"/>
                      <w:szCs w:val="21"/>
                    </w:rPr>
                    <w:t>0-80</w:t>
                  </w:r>
                </w:p>
              </w:tc>
              <w:tc>
                <w:tcPr>
                  <w:tcW w:w="518" w:type="dxa"/>
                  <w:vMerge w:val="continue"/>
                  <w:vAlign w:val="center"/>
                </w:tcPr>
                <w:p w14:paraId="5D8A4E26">
                  <w:pPr>
                    <w:keepNext w:val="0"/>
                    <w:keepLines w:val="0"/>
                    <w:pageBreakBefore w:val="0"/>
                    <w:widowControl/>
                    <w:kinsoku/>
                    <w:wordWrap/>
                    <w:overflowPunct/>
                    <w:topLinePunct w:val="0"/>
                    <w:autoSpaceDE/>
                    <w:autoSpaceDN/>
                    <w:bidi w:val="0"/>
                    <w:adjustRightInd w:val="0"/>
                    <w:snapToGrid w:val="0"/>
                    <w:ind w:firstLine="0"/>
                    <w:jc w:val="center"/>
                    <w:rPr>
                      <w:color w:val="auto"/>
                      <w:szCs w:val="21"/>
                    </w:rPr>
                  </w:pPr>
                </w:p>
              </w:tc>
              <w:tc>
                <w:tcPr>
                  <w:tcW w:w="368" w:type="dxa"/>
                  <w:vAlign w:val="center"/>
                </w:tcPr>
                <w:p w14:paraId="559862D1">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1</w:t>
                  </w:r>
                  <w:r>
                    <w:rPr>
                      <w:color w:val="auto"/>
                      <w:szCs w:val="21"/>
                    </w:rPr>
                    <w:t>0</w:t>
                  </w:r>
                </w:p>
              </w:tc>
              <w:tc>
                <w:tcPr>
                  <w:tcW w:w="341" w:type="dxa"/>
                  <w:vAlign w:val="center"/>
                </w:tcPr>
                <w:p w14:paraId="688191B0">
                  <w:pPr>
                    <w:keepNext w:val="0"/>
                    <w:keepLines w:val="0"/>
                    <w:pageBreakBefore w:val="0"/>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1</w:t>
                  </w:r>
                  <w:r>
                    <w:rPr>
                      <w:color w:val="auto"/>
                      <w:szCs w:val="21"/>
                    </w:rPr>
                    <w:t>4</w:t>
                  </w:r>
                </w:p>
              </w:tc>
              <w:tc>
                <w:tcPr>
                  <w:tcW w:w="368" w:type="dxa"/>
                  <w:vAlign w:val="center"/>
                </w:tcPr>
                <w:p w14:paraId="0FC3DA3C">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1.5</w:t>
                  </w:r>
                </w:p>
              </w:tc>
              <w:tc>
                <w:tcPr>
                  <w:tcW w:w="587" w:type="dxa"/>
                  <w:vAlign w:val="center"/>
                </w:tcPr>
                <w:p w14:paraId="215BBFDE">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东4</w:t>
                  </w:r>
                </w:p>
              </w:tc>
              <w:tc>
                <w:tcPr>
                  <w:tcW w:w="1050" w:type="dxa"/>
                  <w:vAlign w:val="center"/>
                </w:tcPr>
                <w:p w14:paraId="0788C4F7">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7</w:t>
                  </w:r>
                  <w:r>
                    <w:rPr>
                      <w:rFonts w:hint="eastAsia"/>
                      <w:color w:val="auto"/>
                      <w:szCs w:val="21"/>
                    </w:rPr>
                    <w:t>5.45</w:t>
                  </w:r>
                </w:p>
              </w:tc>
              <w:tc>
                <w:tcPr>
                  <w:tcW w:w="450" w:type="dxa"/>
                  <w:vMerge w:val="continue"/>
                  <w:vAlign w:val="center"/>
                </w:tcPr>
                <w:p w14:paraId="6591B887">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p>
              </w:tc>
              <w:tc>
                <w:tcPr>
                  <w:tcW w:w="709" w:type="dxa"/>
                  <w:vAlign w:val="center"/>
                </w:tcPr>
                <w:p w14:paraId="23FD8CF2">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25</w:t>
                  </w:r>
                </w:p>
              </w:tc>
              <w:tc>
                <w:tcPr>
                  <w:tcW w:w="722" w:type="dxa"/>
                  <w:vAlign w:val="center"/>
                </w:tcPr>
                <w:p w14:paraId="3099102F">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35</w:t>
                  </w:r>
                  <w:r>
                    <w:rPr>
                      <w:rFonts w:hint="eastAsia"/>
                      <w:color w:val="auto"/>
                      <w:szCs w:val="21"/>
                    </w:rPr>
                    <w:t>.62</w:t>
                  </w:r>
                </w:p>
              </w:tc>
              <w:tc>
                <w:tcPr>
                  <w:tcW w:w="722" w:type="dxa"/>
                  <w:vMerge w:val="continue"/>
                  <w:vAlign w:val="center"/>
                </w:tcPr>
                <w:p w14:paraId="6F0765C2">
                  <w:pPr>
                    <w:keepNext w:val="0"/>
                    <w:keepLines w:val="0"/>
                    <w:pageBreakBefore w:val="0"/>
                    <w:widowControl/>
                    <w:kinsoku/>
                    <w:wordWrap/>
                    <w:overflowPunct/>
                    <w:topLinePunct w:val="0"/>
                    <w:autoSpaceDE/>
                    <w:autoSpaceDN/>
                    <w:bidi w:val="0"/>
                    <w:adjustRightInd w:val="0"/>
                    <w:snapToGrid w:val="0"/>
                    <w:ind w:firstLine="0"/>
                    <w:jc w:val="center"/>
                    <w:rPr>
                      <w:color w:val="auto"/>
                      <w:szCs w:val="21"/>
                    </w:rPr>
                  </w:pPr>
                </w:p>
              </w:tc>
            </w:tr>
            <w:tr w14:paraId="1ABBC8B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9" w:type="dxa"/>
                  <w:vAlign w:val="center"/>
                </w:tcPr>
                <w:p w14:paraId="2F387AC6">
                  <w:pPr>
                    <w:keepNext w:val="0"/>
                    <w:keepLines w:val="0"/>
                    <w:pageBreakBefore w:val="0"/>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4</w:t>
                  </w:r>
                </w:p>
              </w:tc>
              <w:tc>
                <w:tcPr>
                  <w:tcW w:w="1189" w:type="dxa"/>
                  <w:shd w:val="clear" w:color="auto" w:fill="auto"/>
                  <w:vAlign w:val="center"/>
                </w:tcPr>
                <w:p w14:paraId="2D0D691D">
                  <w:pPr>
                    <w:keepNext w:val="0"/>
                    <w:keepLines w:val="0"/>
                    <w:pageBreakBefore w:val="0"/>
                    <w:kinsoku/>
                    <w:wordWrap/>
                    <w:overflowPunct/>
                    <w:topLinePunct w:val="0"/>
                    <w:autoSpaceDE/>
                    <w:autoSpaceDN/>
                    <w:bidi w:val="0"/>
                    <w:adjustRightInd w:val="0"/>
                    <w:snapToGrid w:val="0"/>
                    <w:ind w:firstLine="0"/>
                    <w:jc w:val="center"/>
                    <w:rPr>
                      <w:color w:val="auto"/>
                      <w:szCs w:val="21"/>
                    </w:rPr>
                  </w:pPr>
                  <w:r>
                    <w:rPr>
                      <w:color w:val="auto"/>
                      <w:szCs w:val="21"/>
                    </w:rPr>
                    <w:t>定子真空浸漆系统</w:t>
                  </w:r>
                </w:p>
              </w:tc>
              <w:tc>
                <w:tcPr>
                  <w:tcW w:w="464" w:type="dxa"/>
                  <w:vAlign w:val="center"/>
                </w:tcPr>
                <w:p w14:paraId="01798052">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1</w:t>
                  </w:r>
                </w:p>
              </w:tc>
              <w:tc>
                <w:tcPr>
                  <w:tcW w:w="682" w:type="dxa"/>
                  <w:vAlign w:val="center"/>
                </w:tcPr>
                <w:p w14:paraId="145FF8E5">
                  <w:pPr>
                    <w:keepNext w:val="0"/>
                    <w:keepLines w:val="0"/>
                    <w:pageBreakBefore w:val="0"/>
                    <w:widowControl/>
                    <w:kinsoku/>
                    <w:wordWrap/>
                    <w:overflowPunct/>
                    <w:topLinePunct w:val="0"/>
                    <w:autoSpaceDE/>
                    <w:autoSpaceDN/>
                    <w:bidi w:val="0"/>
                    <w:adjustRightInd w:val="0"/>
                    <w:snapToGrid w:val="0"/>
                    <w:ind w:firstLine="0"/>
                    <w:jc w:val="center"/>
                    <w:rPr>
                      <w:color w:val="auto"/>
                      <w:szCs w:val="21"/>
                    </w:rPr>
                  </w:pPr>
                  <w:r>
                    <w:rPr>
                      <w:color w:val="auto"/>
                      <w:szCs w:val="21"/>
                    </w:rPr>
                    <w:t>6</w:t>
                  </w:r>
                  <w:r>
                    <w:rPr>
                      <w:rFonts w:hint="eastAsia"/>
                      <w:color w:val="auto"/>
                      <w:szCs w:val="21"/>
                    </w:rPr>
                    <w:t>5</w:t>
                  </w:r>
                  <w:r>
                    <w:rPr>
                      <w:color w:val="auto"/>
                      <w:szCs w:val="21"/>
                    </w:rPr>
                    <w:t>-</w:t>
                  </w:r>
                  <w:r>
                    <w:rPr>
                      <w:rFonts w:hint="eastAsia"/>
                      <w:color w:val="auto"/>
                      <w:szCs w:val="21"/>
                    </w:rPr>
                    <w:t>75</w:t>
                  </w:r>
                </w:p>
              </w:tc>
              <w:tc>
                <w:tcPr>
                  <w:tcW w:w="518" w:type="dxa"/>
                  <w:vMerge w:val="continue"/>
                  <w:vAlign w:val="center"/>
                </w:tcPr>
                <w:p w14:paraId="4EDC55D1">
                  <w:pPr>
                    <w:keepNext w:val="0"/>
                    <w:keepLines w:val="0"/>
                    <w:pageBreakBefore w:val="0"/>
                    <w:widowControl/>
                    <w:kinsoku/>
                    <w:wordWrap/>
                    <w:overflowPunct/>
                    <w:topLinePunct w:val="0"/>
                    <w:autoSpaceDE/>
                    <w:autoSpaceDN/>
                    <w:bidi w:val="0"/>
                    <w:adjustRightInd w:val="0"/>
                    <w:snapToGrid w:val="0"/>
                    <w:ind w:firstLine="0"/>
                    <w:jc w:val="center"/>
                    <w:rPr>
                      <w:color w:val="auto"/>
                      <w:szCs w:val="21"/>
                    </w:rPr>
                  </w:pPr>
                </w:p>
              </w:tc>
              <w:tc>
                <w:tcPr>
                  <w:tcW w:w="368" w:type="dxa"/>
                  <w:vAlign w:val="center"/>
                </w:tcPr>
                <w:p w14:paraId="5A08F518">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13</w:t>
                  </w:r>
                </w:p>
              </w:tc>
              <w:tc>
                <w:tcPr>
                  <w:tcW w:w="341" w:type="dxa"/>
                  <w:vAlign w:val="center"/>
                </w:tcPr>
                <w:p w14:paraId="3D94C701">
                  <w:pPr>
                    <w:keepNext w:val="0"/>
                    <w:keepLines w:val="0"/>
                    <w:pageBreakBefore w:val="0"/>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20</w:t>
                  </w:r>
                </w:p>
              </w:tc>
              <w:tc>
                <w:tcPr>
                  <w:tcW w:w="368" w:type="dxa"/>
                  <w:vAlign w:val="center"/>
                </w:tcPr>
                <w:p w14:paraId="45BDA2D7">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1.5</w:t>
                  </w:r>
                </w:p>
              </w:tc>
              <w:tc>
                <w:tcPr>
                  <w:tcW w:w="587" w:type="dxa"/>
                  <w:vAlign w:val="center"/>
                </w:tcPr>
                <w:p w14:paraId="540F3B89">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南5</w:t>
                  </w:r>
                </w:p>
              </w:tc>
              <w:tc>
                <w:tcPr>
                  <w:tcW w:w="1050" w:type="dxa"/>
                  <w:vAlign w:val="center"/>
                </w:tcPr>
                <w:p w14:paraId="3D03AE2C">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6</w:t>
                  </w:r>
                  <w:r>
                    <w:rPr>
                      <w:rFonts w:hint="eastAsia"/>
                      <w:color w:val="auto"/>
                      <w:szCs w:val="21"/>
                    </w:rPr>
                    <w:t>9.35</w:t>
                  </w:r>
                </w:p>
              </w:tc>
              <w:tc>
                <w:tcPr>
                  <w:tcW w:w="450" w:type="dxa"/>
                  <w:vMerge w:val="continue"/>
                  <w:vAlign w:val="center"/>
                </w:tcPr>
                <w:p w14:paraId="2D9CC00B">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p>
              </w:tc>
              <w:tc>
                <w:tcPr>
                  <w:tcW w:w="709" w:type="dxa"/>
                  <w:vAlign w:val="center"/>
                </w:tcPr>
                <w:p w14:paraId="1F199545">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25</w:t>
                  </w:r>
                </w:p>
              </w:tc>
              <w:tc>
                <w:tcPr>
                  <w:tcW w:w="722" w:type="dxa"/>
                  <w:vAlign w:val="center"/>
                </w:tcPr>
                <w:p w14:paraId="79FC1A96">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30</w:t>
                  </w:r>
                  <w:r>
                    <w:rPr>
                      <w:rFonts w:hint="eastAsia"/>
                      <w:color w:val="auto"/>
                      <w:szCs w:val="21"/>
                    </w:rPr>
                    <w:t>.15</w:t>
                  </w:r>
                </w:p>
              </w:tc>
              <w:tc>
                <w:tcPr>
                  <w:tcW w:w="722" w:type="dxa"/>
                  <w:vMerge w:val="continue"/>
                  <w:vAlign w:val="center"/>
                </w:tcPr>
                <w:p w14:paraId="70F76FC6">
                  <w:pPr>
                    <w:keepNext w:val="0"/>
                    <w:keepLines w:val="0"/>
                    <w:pageBreakBefore w:val="0"/>
                    <w:widowControl/>
                    <w:kinsoku/>
                    <w:wordWrap/>
                    <w:overflowPunct/>
                    <w:topLinePunct w:val="0"/>
                    <w:autoSpaceDE/>
                    <w:autoSpaceDN/>
                    <w:bidi w:val="0"/>
                    <w:adjustRightInd w:val="0"/>
                    <w:snapToGrid w:val="0"/>
                    <w:ind w:firstLine="0"/>
                    <w:jc w:val="center"/>
                    <w:rPr>
                      <w:color w:val="auto"/>
                      <w:szCs w:val="21"/>
                    </w:rPr>
                  </w:pPr>
                </w:p>
              </w:tc>
            </w:tr>
            <w:tr w14:paraId="1CEED89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9" w:type="dxa"/>
                  <w:vAlign w:val="center"/>
                </w:tcPr>
                <w:p w14:paraId="6334945A">
                  <w:pPr>
                    <w:keepNext w:val="0"/>
                    <w:keepLines w:val="0"/>
                    <w:pageBreakBefore w:val="0"/>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5</w:t>
                  </w:r>
                </w:p>
              </w:tc>
              <w:tc>
                <w:tcPr>
                  <w:tcW w:w="1189" w:type="dxa"/>
                  <w:shd w:val="clear" w:color="auto" w:fill="auto"/>
                  <w:vAlign w:val="center"/>
                </w:tcPr>
                <w:p w14:paraId="4FABBA68">
                  <w:pPr>
                    <w:keepNext w:val="0"/>
                    <w:keepLines w:val="0"/>
                    <w:pageBreakBefore w:val="0"/>
                    <w:kinsoku/>
                    <w:wordWrap/>
                    <w:overflowPunct/>
                    <w:topLinePunct w:val="0"/>
                    <w:autoSpaceDE/>
                    <w:autoSpaceDN/>
                    <w:bidi w:val="0"/>
                    <w:adjustRightInd w:val="0"/>
                    <w:snapToGrid w:val="0"/>
                    <w:ind w:firstLine="0"/>
                    <w:jc w:val="center"/>
                    <w:rPr>
                      <w:color w:val="auto"/>
                      <w:szCs w:val="21"/>
                    </w:rPr>
                  </w:pPr>
                  <w:r>
                    <w:rPr>
                      <w:color w:val="auto"/>
                      <w:szCs w:val="21"/>
                    </w:rPr>
                    <w:t>高速冲床</w:t>
                  </w:r>
                </w:p>
              </w:tc>
              <w:tc>
                <w:tcPr>
                  <w:tcW w:w="464" w:type="dxa"/>
                  <w:vAlign w:val="center"/>
                </w:tcPr>
                <w:p w14:paraId="30E301FE">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7</w:t>
                  </w:r>
                </w:p>
              </w:tc>
              <w:tc>
                <w:tcPr>
                  <w:tcW w:w="682" w:type="dxa"/>
                  <w:vAlign w:val="center"/>
                </w:tcPr>
                <w:p w14:paraId="7A41BBC9">
                  <w:pPr>
                    <w:keepNext w:val="0"/>
                    <w:keepLines w:val="0"/>
                    <w:pageBreakBefore w:val="0"/>
                    <w:widowControl/>
                    <w:kinsoku/>
                    <w:wordWrap/>
                    <w:overflowPunct/>
                    <w:topLinePunct w:val="0"/>
                    <w:autoSpaceDE/>
                    <w:autoSpaceDN/>
                    <w:bidi w:val="0"/>
                    <w:adjustRightInd w:val="0"/>
                    <w:snapToGrid w:val="0"/>
                    <w:ind w:firstLine="0"/>
                    <w:jc w:val="center"/>
                    <w:rPr>
                      <w:color w:val="auto"/>
                      <w:szCs w:val="21"/>
                    </w:rPr>
                  </w:pPr>
                  <w:r>
                    <w:rPr>
                      <w:rFonts w:hint="eastAsia"/>
                      <w:color w:val="auto"/>
                      <w:szCs w:val="21"/>
                    </w:rPr>
                    <w:t>75</w:t>
                  </w:r>
                  <w:r>
                    <w:rPr>
                      <w:color w:val="auto"/>
                      <w:szCs w:val="21"/>
                    </w:rPr>
                    <w:t>-</w:t>
                  </w:r>
                  <w:r>
                    <w:rPr>
                      <w:rFonts w:hint="eastAsia"/>
                      <w:color w:val="auto"/>
                      <w:szCs w:val="21"/>
                    </w:rPr>
                    <w:t>85</w:t>
                  </w:r>
                </w:p>
              </w:tc>
              <w:tc>
                <w:tcPr>
                  <w:tcW w:w="518" w:type="dxa"/>
                  <w:vMerge w:val="continue"/>
                  <w:vAlign w:val="center"/>
                </w:tcPr>
                <w:p w14:paraId="0C458424">
                  <w:pPr>
                    <w:keepNext w:val="0"/>
                    <w:keepLines w:val="0"/>
                    <w:pageBreakBefore w:val="0"/>
                    <w:widowControl/>
                    <w:kinsoku/>
                    <w:wordWrap/>
                    <w:overflowPunct/>
                    <w:topLinePunct w:val="0"/>
                    <w:autoSpaceDE/>
                    <w:autoSpaceDN/>
                    <w:bidi w:val="0"/>
                    <w:adjustRightInd w:val="0"/>
                    <w:snapToGrid w:val="0"/>
                    <w:ind w:firstLine="0"/>
                    <w:jc w:val="center"/>
                    <w:rPr>
                      <w:color w:val="auto"/>
                      <w:szCs w:val="21"/>
                    </w:rPr>
                  </w:pPr>
                </w:p>
              </w:tc>
              <w:tc>
                <w:tcPr>
                  <w:tcW w:w="368" w:type="dxa"/>
                  <w:vAlign w:val="center"/>
                </w:tcPr>
                <w:p w14:paraId="1E701EC6">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8</w:t>
                  </w:r>
                </w:p>
              </w:tc>
              <w:tc>
                <w:tcPr>
                  <w:tcW w:w="341" w:type="dxa"/>
                  <w:vAlign w:val="center"/>
                </w:tcPr>
                <w:p w14:paraId="1693876B">
                  <w:pPr>
                    <w:keepNext w:val="0"/>
                    <w:keepLines w:val="0"/>
                    <w:pageBreakBefore w:val="0"/>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15</w:t>
                  </w:r>
                </w:p>
              </w:tc>
              <w:tc>
                <w:tcPr>
                  <w:tcW w:w="368" w:type="dxa"/>
                  <w:vAlign w:val="center"/>
                </w:tcPr>
                <w:p w14:paraId="5C350A98">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1.5</w:t>
                  </w:r>
                </w:p>
              </w:tc>
              <w:tc>
                <w:tcPr>
                  <w:tcW w:w="587" w:type="dxa"/>
                  <w:vAlign w:val="center"/>
                </w:tcPr>
                <w:p w14:paraId="1191E615">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东6</w:t>
                  </w:r>
                </w:p>
              </w:tc>
              <w:tc>
                <w:tcPr>
                  <w:tcW w:w="1050" w:type="dxa"/>
                  <w:vAlign w:val="center"/>
                </w:tcPr>
                <w:p w14:paraId="3D935DC8">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8</w:t>
                  </w:r>
                  <w:r>
                    <w:rPr>
                      <w:color w:val="auto"/>
                      <w:szCs w:val="21"/>
                    </w:rPr>
                    <w:t>0</w:t>
                  </w:r>
                  <w:r>
                    <w:rPr>
                      <w:rFonts w:hint="eastAsia"/>
                      <w:color w:val="auto"/>
                      <w:szCs w:val="21"/>
                    </w:rPr>
                    <w:t>.45</w:t>
                  </w:r>
                </w:p>
              </w:tc>
              <w:tc>
                <w:tcPr>
                  <w:tcW w:w="450" w:type="dxa"/>
                  <w:vMerge w:val="continue"/>
                  <w:vAlign w:val="center"/>
                </w:tcPr>
                <w:p w14:paraId="7F678CBC">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p>
              </w:tc>
              <w:tc>
                <w:tcPr>
                  <w:tcW w:w="709" w:type="dxa"/>
                  <w:vAlign w:val="center"/>
                </w:tcPr>
                <w:p w14:paraId="10570A50">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25</w:t>
                  </w:r>
                </w:p>
              </w:tc>
              <w:tc>
                <w:tcPr>
                  <w:tcW w:w="722" w:type="dxa"/>
                  <w:vAlign w:val="center"/>
                </w:tcPr>
                <w:p w14:paraId="6E928D74">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33.55</w:t>
                  </w:r>
                </w:p>
              </w:tc>
              <w:tc>
                <w:tcPr>
                  <w:tcW w:w="722" w:type="dxa"/>
                  <w:vMerge w:val="continue"/>
                  <w:vAlign w:val="center"/>
                </w:tcPr>
                <w:p w14:paraId="0F28DD3E">
                  <w:pPr>
                    <w:keepNext w:val="0"/>
                    <w:keepLines w:val="0"/>
                    <w:pageBreakBefore w:val="0"/>
                    <w:widowControl/>
                    <w:kinsoku/>
                    <w:wordWrap/>
                    <w:overflowPunct/>
                    <w:topLinePunct w:val="0"/>
                    <w:autoSpaceDE/>
                    <w:autoSpaceDN/>
                    <w:bidi w:val="0"/>
                    <w:adjustRightInd w:val="0"/>
                    <w:snapToGrid w:val="0"/>
                    <w:ind w:firstLine="0"/>
                    <w:jc w:val="center"/>
                    <w:rPr>
                      <w:color w:val="auto"/>
                      <w:szCs w:val="21"/>
                    </w:rPr>
                  </w:pPr>
                </w:p>
              </w:tc>
            </w:tr>
            <w:tr w14:paraId="045B3C3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9" w:type="dxa"/>
                  <w:vAlign w:val="center"/>
                </w:tcPr>
                <w:p w14:paraId="03116B4C">
                  <w:pPr>
                    <w:keepNext w:val="0"/>
                    <w:keepLines w:val="0"/>
                    <w:pageBreakBefore w:val="0"/>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6</w:t>
                  </w:r>
                </w:p>
              </w:tc>
              <w:tc>
                <w:tcPr>
                  <w:tcW w:w="1189" w:type="dxa"/>
                  <w:shd w:val="clear" w:color="auto" w:fill="auto"/>
                  <w:vAlign w:val="center"/>
                </w:tcPr>
                <w:p w14:paraId="4977B863">
                  <w:pPr>
                    <w:keepNext w:val="0"/>
                    <w:keepLines w:val="0"/>
                    <w:pageBreakBefore w:val="0"/>
                    <w:kinsoku/>
                    <w:wordWrap/>
                    <w:overflowPunct/>
                    <w:topLinePunct w:val="0"/>
                    <w:autoSpaceDE/>
                    <w:autoSpaceDN/>
                    <w:bidi w:val="0"/>
                    <w:adjustRightInd w:val="0"/>
                    <w:snapToGrid w:val="0"/>
                    <w:ind w:firstLine="0"/>
                    <w:jc w:val="center"/>
                    <w:rPr>
                      <w:color w:val="auto"/>
                      <w:szCs w:val="21"/>
                    </w:rPr>
                  </w:pPr>
                  <w:r>
                    <w:rPr>
                      <w:color w:val="auto"/>
                      <w:szCs w:val="21"/>
                    </w:rPr>
                    <w:t>激光切割机</w:t>
                  </w:r>
                </w:p>
              </w:tc>
              <w:tc>
                <w:tcPr>
                  <w:tcW w:w="464" w:type="dxa"/>
                  <w:vAlign w:val="center"/>
                </w:tcPr>
                <w:p w14:paraId="6D376D9B">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1</w:t>
                  </w:r>
                </w:p>
              </w:tc>
              <w:tc>
                <w:tcPr>
                  <w:tcW w:w="682" w:type="dxa"/>
                  <w:vAlign w:val="center"/>
                </w:tcPr>
                <w:p w14:paraId="42FE989F">
                  <w:pPr>
                    <w:keepNext w:val="0"/>
                    <w:keepLines w:val="0"/>
                    <w:pageBreakBefore w:val="0"/>
                    <w:widowControl/>
                    <w:kinsoku/>
                    <w:wordWrap/>
                    <w:overflowPunct/>
                    <w:topLinePunct w:val="0"/>
                    <w:autoSpaceDE/>
                    <w:autoSpaceDN/>
                    <w:bidi w:val="0"/>
                    <w:adjustRightInd w:val="0"/>
                    <w:snapToGrid w:val="0"/>
                    <w:ind w:firstLine="0"/>
                    <w:jc w:val="center"/>
                    <w:rPr>
                      <w:color w:val="auto"/>
                      <w:szCs w:val="21"/>
                    </w:rPr>
                  </w:pPr>
                  <w:r>
                    <w:rPr>
                      <w:rFonts w:hint="eastAsia"/>
                      <w:color w:val="auto"/>
                      <w:szCs w:val="21"/>
                    </w:rPr>
                    <w:t>75</w:t>
                  </w:r>
                  <w:r>
                    <w:rPr>
                      <w:color w:val="auto"/>
                      <w:szCs w:val="21"/>
                    </w:rPr>
                    <w:t>-</w:t>
                  </w:r>
                  <w:r>
                    <w:rPr>
                      <w:rFonts w:hint="eastAsia"/>
                      <w:color w:val="auto"/>
                      <w:szCs w:val="21"/>
                    </w:rPr>
                    <w:t>85</w:t>
                  </w:r>
                </w:p>
              </w:tc>
              <w:tc>
                <w:tcPr>
                  <w:tcW w:w="518" w:type="dxa"/>
                  <w:vMerge w:val="continue"/>
                  <w:vAlign w:val="center"/>
                </w:tcPr>
                <w:p w14:paraId="4D67DD49">
                  <w:pPr>
                    <w:keepNext w:val="0"/>
                    <w:keepLines w:val="0"/>
                    <w:pageBreakBefore w:val="0"/>
                    <w:widowControl/>
                    <w:kinsoku/>
                    <w:wordWrap/>
                    <w:overflowPunct/>
                    <w:topLinePunct w:val="0"/>
                    <w:autoSpaceDE/>
                    <w:autoSpaceDN/>
                    <w:bidi w:val="0"/>
                    <w:adjustRightInd w:val="0"/>
                    <w:snapToGrid w:val="0"/>
                    <w:ind w:firstLine="0"/>
                    <w:jc w:val="center"/>
                    <w:rPr>
                      <w:color w:val="auto"/>
                      <w:szCs w:val="21"/>
                    </w:rPr>
                  </w:pPr>
                </w:p>
              </w:tc>
              <w:tc>
                <w:tcPr>
                  <w:tcW w:w="368" w:type="dxa"/>
                  <w:vAlign w:val="center"/>
                </w:tcPr>
                <w:p w14:paraId="619F478D">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16</w:t>
                  </w:r>
                </w:p>
              </w:tc>
              <w:tc>
                <w:tcPr>
                  <w:tcW w:w="341" w:type="dxa"/>
                  <w:vAlign w:val="center"/>
                </w:tcPr>
                <w:p w14:paraId="3328150A">
                  <w:pPr>
                    <w:keepNext w:val="0"/>
                    <w:keepLines w:val="0"/>
                    <w:pageBreakBefore w:val="0"/>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24</w:t>
                  </w:r>
                </w:p>
              </w:tc>
              <w:tc>
                <w:tcPr>
                  <w:tcW w:w="368" w:type="dxa"/>
                  <w:vAlign w:val="center"/>
                </w:tcPr>
                <w:p w14:paraId="407D19E0">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1.5</w:t>
                  </w:r>
                </w:p>
              </w:tc>
              <w:tc>
                <w:tcPr>
                  <w:tcW w:w="587" w:type="dxa"/>
                  <w:vAlign w:val="center"/>
                </w:tcPr>
                <w:p w14:paraId="33B7D056">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东5</w:t>
                  </w:r>
                </w:p>
              </w:tc>
              <w:tc>
                <w:tcPr>
                  <w:tcW w:w="1050" w:type="dxa"/>
                  <w:vAlign w:val="center"/>
                </w:tcPr>
                <w:p w14:paraId="13878CE3">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81.35</w:t>
                  </w:r>
                </w:p>
              </w:tc>
              <w:tc>
                <w:tcPr>
                  <w:tcW w:w="450" w:type="dxa"/>
                  <w:vMerge w:val="continue"/>
                  <w:vAlign w:val="center"/>
                </w:tcPr>
                <w:p w14:paraId="3B68C31C">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p>
              </w:tc>
              <w:tc>
                <w:tcPr>
                  <w:tcW w:w="709" w:type="dxa"/>
                  <w:vAlign w:val="center"/>
                </w:tcPr>
                <w:p w14:paraId="3FBD8FC3">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25</w:t>
                  </w:r>
                </w:p>
              </w:tc>
              <w:tc>
                <w:tcPr>
                  <w:tcW w:w="722" w:type="dxa"/>
                  <w:vAlign w:val="center"/>
                </w:tcPr>
                <w:p w14:paraId="1EAF18E4">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35</w:t>
                  </w:r>
                  <w:r>
                    <w:rPr>
                      <w:rFonts w:hint="eastAsia"/>
                      <w:color w:val="auto"/>
                      <w:szCs w:val="21"/>
                    </w:rPr>
                    <w:t>.16</w:t>
                  </w:r>
                </w:p>
              </w:tc>
              <w:tc>
                <w:tcPr>
                  <w:tcW w:w="722" w:type="dxa"/>
                  <w:vMerge w:val="continue"/>
                  <w:vAlign w:val="center"/>
                </w:tcPr>
                <w:p w14:paraId="7B1CB36F">
                  <w:pPr>
                    <w:keepNext w:val="0"/>
                    <w:keepLines w:val="0"/>
                    <w:pageBreakBefore w:val="0"/>
                    <w:widowControl/>
                    <w:kinsoku/>
                    <w:wordWrap/>
                    <w:overflowPunct/>
                    <w:topLinePunct w:val="0"/>
                    <w:autoSpaceDE/>
                    <w:autoSpaceDN/>
                    <w:bidi w:val="0"/>
                    <w:adjustRightInd w:val="0"/>
                    <w:snapToGrid w:val="0"/>
                    <w:ind w:firstLine="0"/>
                    <w:jc w:val="center"/>
                    <w:rPr>
                      <w:color w:val="auto"/>
                      <w:szCs w:val="21"/>
                    </w:rPr>
                  </w:pPr>
                </w:p>
              </w:tc>
            </w:tr>
            <w:tr w14:paraId="76080CC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9" w:type="dxa"/>
                  <w:vAlign w:val="center"/>
                </w:tcPr>
                <w:p w14:paraId="102CB584">
                  <w:pPr>
                    <w:keepNext w:val="0"/>
                    <w:keepLines w:val="0"/>
                    <w:pageBreakBefore w:val="0"/>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7</w:t>
                  </w:r>
                </w:p>
              </w:tc>
              <w:tc>
                <w:tcPr>
                  <w:tcW w:w="1189" w:type="dxa"/>
                  <w:shd w:val="clear" w:color="auto" w:fill="auto"/>
                  <w:vAlign w:val="center"/>
                </w:tcPr>
                <w:p w14:paraId="1103B438">
                  <w:pPr>
                    <w:keepNext w:val="0"/>
                    <w:keepLines w:val="0"/>
                    <w:pageBreakBefore w:val="0"/>
                    <w:kinsoku/>
                    <w:wordWrap/>
                    <w:overflowPunct/>
                    <w:topLinePunct w:val="0"/>
                    <w:autoSpaceDE/>
                    <w:autoSpaceDN/>
                    <w:bidi w:val="0"/>
                    <w:adjustRightInd w:val="0"/>
                    <w:snapToGrid w:val="0"/>
                    <w:ind w:firstLine="0"/>
                    <w:jc w:val="center"/>
                    <w:rPr>
                      <w:color w:val="auto"/>
                      <w:szCs w:val="21"/>
                    </w:rPr>
                  </w:pPr>
                  <w:r>
                    <w:rPr>
                      <w:color w:val="auto"/>
                      <w:szCs w:val="21"/>
                    </w:rPr>
                    <w:t>全自动绕线机</w:t>
                  </w:r>
                </w:p>
              </w:tc>
              <w:tc>
                <w:tcPr>
                  <w:tcW w:w="464" w:type="dxa"/>
                  <w:vAlign w:val="center"/>
                </w:tcPr>
                <w:p w14:paraId="41004F9C">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2</w:t>
                  </w:r>
                </w:p>
              </w:tc>
              <w:tc>
                <w:tcPr>
                  <w:tcW w:w="682" w:type="dxa"/>
                  <w:vAlign w:val="center"/>
                </w:tcPr>
                <w:p w14:paraId="4DFFF0CD">
                  <w:pPr>
                    <w:keepNext w:val="0"/>
                    <w:keepLines w:val="0"/>
                    <w:pageBreakBefore w:val="0"/>
                    <w:kinsoku/>
                    <w:wordWrap/>
                    <w:overflowPunct/>
                    <w:topLinePunct w:val="0"/>
                    <w:autoSpaceDE/>
                    <w:autoSpaceDN/>
                    <w:bidi w:val="0"/>
                    <w:adjustRightInd w:val="0"/>
                    <w:snapToGrid w:val="0"/>
                    <w:ind w:left="-105" w:leftChars="-50" w:right="-105" w:rightChars="-50" w:firstLine="0"/>
                    <w:jc w:val="center"/>
                    <w:rPr>
                      <w:color w:val="auto"/>
                      <w:szCs w:val="21"/>
                    </w:rPr>
                  </w:pPr>
                  <w:r>
                    <w:rPr>
                      <w:rFonts w:hint="eastAsia"/>
                      <w:color w:val="auto"/>
                      <w:szCs w:val="21"/>
                    </w:rPr>
                    <w:t>6</w:t>
                  </w:r>
                  <w:r>
                    <w:rPr>
                      <w:color w:val="auto"/>
                      <w:szCs w:val="21"/>
                    </w:rPr>
                    <w:t>0-</w:t>
                  </w:r>
                  <w:r>
                    <w:rPr>
                      <w:rFonts w:hint="eastAsia"/>
                      <w:color w:val="auto"/>
                      <w:szCs w:val="21"/>
                    </w:rPr>
                    <w:t>75</w:t>
                  </w:r>
                </w:p>
              </w:tc>
              <w:tc>
                <w:tcPr>
                  <w:tcW w:w="518" w:type="dxa"/>
                  <w:vMerge w:val="continue"/>
                  <w:vAlign w:val="center"/>
                </w:tcPr>
                <w:p w14:paraId="5C59A18C">
                  <w:pPr>
                    <w:keepNext w:val="0"/>
                    <w:keepLines w:val="0"/>
                    <w:pageBreakBefore w:val="0"/>
                    <w:widowControl/>
                    <w:kinsoku/>
                    <w:wordWrap/>
                    <w:overflowPunct/>
                    <w:topLinePunct w:val="0"/>
                    <w:autoSpaceDE/>
                    <w:autoSpaceDN/>
                    <w:bidi w:val="0"/>
                    <w:adjustRightInd w:val="0"/>
                    <w:snapToGrid w:val="0"/>
                    <w:ind w:firstLine="0"/>
                    <w:jc w:val="center"/>
                    <w:rPr>
                      <w:color w:val="auto"/>
                      <w:szCs w:val="21"/>
                    </w:rPr>
                  </w:pPr>
                </w:p>
              </w:tc>
              <w:tc>
                <w:tcPr>
                  <w:tcW w:w="368" w:type="dxa"/>
                  <w:vAlign w:val="center"/>
                </w:tcPr>
                <w:p w14:paraId="3BAAEA28">
                  <w:pPr>
                    <w:keepNext w:val="0"/>
                    <w:keepLines w:val="0"/>
                    <w:pageBreakBefore w:val="0"/>
                    <w:kinsoku/>
                    <w:wordWrap/>
                    <w:overflowPunct/>
                    <w:topLinePunct w:val="0"/>
                    <w:autoSpaceDE/>
                    <w:autoSpaceDN/>
                    <w:bidi w:val="0"/>
                    <w:adjustRightInd w:val="0"/>
                    <w:snapToGrid w:val="0"/>
                    <w:ind w:firstLine="0"/>
                    <w:jc w:val="center"/>
                    <w:rPr>
                      <w:color w:val="auto"/>
                      <w:szCs w:val="21"/>
                    </w:rPr>
                  </w:pPr>
                  <w:r>
                    <w:rPr>
                      <w:color w:val="auto"/>
                      <w:szCs w:val="21"/>
                    </w:rPr>
                    <w:t>9</w:t>
                  </w:r>
                </w:p>
              </w:tc>
              <w:tc>
                <w:tcPr>
                  <w:tcW w:w="341" w:type="dxa"/>
                  <w:vAlign w:val="center"/>
                </w:tcPr>
                <w:p w14:paraId="3F4FAA35">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35</w:t>
                  </w:r>
                </w:p>
              </w:tc>
              <w:tc>
                <w:tcPr>
                  <w:tcW w:w="368" w:type="dxa"/>
                  <w:vAlign w:val="center"/>
                </w:tcPr>
                <w:p w14:paraId="2FF1C6B3">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1.5</w:t>
                  </w:r>
                </w:p>
              </w:tc>
              <w:tc>
                <w:tcPr>
                  <w:tcW w:w="587" w:type="dxa"/>
                  <w:vAlign w:val="center"/>
                </w:tcPr>
                <w:p w14:paraId="3F41E502">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西</w:t>
                  </w:r>
                  <w:r>
                    <w:rPr>
                      <w:rFonts w:hint="eastAsia"/>
                      <w:color w:val="auto"/>
                      <w:szCs w:val="21"/>
                    </w:rPr>
                    <w:t>5</w:t>
                  </w:r>
                </w:p>
              </w:tc>
              <w:tc>
                <w:tcPr>
                  <w:tcW w:w="1050" w:type="dxa"/>
                  <w:vAlign w:val="center"/>
                </w:tcPr>
                <w:p w14:paraId="65B7DBA6">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66</w:t>
                  </w:r>
                  <w:r>
                    <w:rPr>
                      <w:color w:val="auto"/>
                      <w:szCs w:val="21"/>
                    </w:rPr>
                    <w:t>.25</w:t>
                  </w:r>
                </w:p>
              </w:tc>
              <w:tc>
                <w:tcPr>
                  <w:tcW w:w="450" w:type="dxa"/>
                  <w:vMerge w:val="continue"/>
                  <w:vAlign w:val="center"/>
                </w:tcPr>
                <w:p w14:paraId="19A70BA9">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p>
              </w:tc>
              <w:tc>
                <w:tcPr>
                  <w:tcW w:w="709" w:type="dxa"/>
                  <w:vAlign w:val="center"/>
                </w:tcPr>
                <w:p w14:paraId="37A9551A">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25</w:t>
                  </w:r>
                </w:p>
              </w:tc>
              <w:tc>
                <w:tcPr>
                  <w:tcW w:w="722" w:type="dxa"/>
                  <w:vAlign w:val="center"/>
                </w:tcPr>
                <w:p w14:paraId="48AD3ACA">
                  <w:pPr>
                    <w:keepNext w:val="0"/>
                    <w:keepLines w:val="0"/>
                    <w:pageBreakBefore w:val="0"/>
                    <w:kinsoku/>
                    <w:wordWrap/>
                    <w:overflowPunct/>
                    <w:topLinePunct w:val="0"/>
                    <w:autoSpaceDE/>
                    <w:autoSpaceDN/>
                    <w:bidi w:val="0"/>
                    <w:adjustRightInd w:val="0"/>
                    <w:snapToGrid w:val="0"/>
                    <w:ind w:firstLine="0"/>
                    <w:jc w:val="center"/>
                    <w:rPr>
                      <w:color w:val="auto"/>
                      <w:szCs w:val="21"/>
                    </w:rPr>
                  </w:pPr>
                  <w:r>
                    <w:rPr>
                      <w:bCs/>
                      <w:color w:val="auto"/>
                      <w:kern w:val="0"/>
                      <w:szCs w:val="21"/>
                    </w:rPr>
                    <w:t>3</w:t>
                  </w:r>
                  <w:r>
                    <w:rPr>
                      <w:rFonts w:hint="eastAsia"/>
                      <w:bCs/>
                      <w:color w:val="auto"/>
                      <w:kern w:val="0"/>
                      <w:szCs w:val="21"/>
                    </w:rPr>
                    <w:t>3</w:t>
                  </w:r>
                  <w:r>
                    <w:rPr>
                      <w:bCs/>
                      <w:color w:val="auto"/>
                      <w:kern w:val="0"/>
                      <w:szCs w:val="21"/>
                    </w:rPr>
                    <w:t>.42</w:t>
                  </w:r>
                </w:p>
              </w:tc>
              <w:tc>
                <w:tcPr>
                  <w:tcW w:w="722" w:type="dxa"/>
                  <w:vMerge w:val="continue"/>
                  <w:vAlign w:val="center"/>
                </w:tcPr>
                <w:p w14:paraId="08ACABD3">
                  <w:pPr>
                    <w:keepNext w:val="0"/>
                    <w:keepLines w:val="0"/>
                    <w:pageBreakBefore w:val="0"/>
                    <w:widowControl/>
                    <w:kinsoku/>
                    <w:wordWrap/>
                    <w:overflowPunct/>
                    <w:topLinePunct w:val="0"/>
                    <w:autoSpaceDE/>
                    <w:autoSpaceDN/>
                    <w:bidi w:val="0"/>
                    <w:adjustRightInd w:val="0"/>
                    <w:snapToGrid w:val="0"/>
                    <w:ind w:firstLine="0"/>
                    <w:jc w:val="center"/>
                    <w:rPr>
                      <w:color w:val="auto"/>
                      <w:szCs w:val="21"/>
                    </w:rPr>
                  </w:pPr>
                </w:p>
              </w:tc>
            </w:tr>
            <w:tr w14:paraId="08B7A01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9" w:type="dxa"/>
                  <w:vAlign w:val="center"/>
                </w:tcPr>
                <w:p w14:paraId="1D8749EE">
                  <w:pPr>
                    <w:keepNext w:val="0"/>
                    <w:keepLines w:val="0"/>
                    <w:pageBreakBefore w:val="0"/>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8</w:t>
                  </w:r>
                </w:p>
              </w:tc>
              <w:tc>
                <w:tcPr>
                  <w:tcW w:w="1189" w:type="dxa"/>
                  <w:shd w:val="clear" w:color="auto" w:fill="auto"/>
                  <w:vAlign w:val="center"/>
                </w:tcPr>
                <w:p w14:paraId="1D7D79BC">
                  <w:pPr>
                    <w:keepNext w:val="0"/>
                    <w:keepLines w:val="0"/>
                    <w:pageBreakBefore w:val="0"/>
                    <w:kinsoku/>
                    <w:wordWrap/>
                    <w:overflowPunct/>
                    <w:topLinePunct w:val="0"/>
                    <w:autoSpaceDE/>
                    <w:autoSpaceDN/>
                    <w:bidi w:val="0"/>
                    <w:adjustRightInd w:val="0"/>
                    <w:snapToGrid w:val="0"/>
                    <w:ind w:firstLine="0"/>
                    <w:jc w:val="center"/>
                    <w:rPr>
                      <w:color w:val="auto"/>
                      <w:szCs w:val="21"/>
                    </w:rPr>
                  </w:pPr>
                  <w:r>
                    <w:rPr>
                      <w:color w:val="auto"/>
                      <w:szCs w:val="21"/>
                    </w:rPr>
                    <w:t>氢氧焊机</w:t>
                  </w:r>
                </w:p>
              </w:tc>
              <w:tc>
                <w:tcPr>
                  <w:tcW w:w="464" w:type="dxa"/>
                  <w:vAlign w:val="center"/>
                </w:tcPr>
                <w:p w14:paraId="66C548CE">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1</w:t>
                  </w:r>
                </w:p>
              </w:tc>
              <w:tc>
                <w:tcPr>
                  <w:tcW w:w="682" w:type="dxa"/>
                  <w:vAlign w:val="center"/>
                </w:tcPr>
                <w:p w14:paraId="04D56685">
                  <w:pPr>
                    <w:keepNext w:val="0"/>
                    <w:keepLines w:val="0"/>
                    <w:pageBreakBefore w:val="0"/>
                    <w:kinsoku/>
                    <w:wordWrap/>
                    <w:overflowPunct/>
                    <w:topLinePunct w:val="0"/>
                    <w:autoSpaceDE/>
                    <w:autoSpaceDN/>
                    <w:bidi w:val="0"/>
                    <w:adjustRightInd w:val="0"/>
                    <w:snapToGrid w:val="0"/>
                    <w:ind w:left="-105" w:leftChars="-50" w:right="-105" w:rightChars="-50" w:firstLine="0"/>
                    <w:jc w:val="center"/>
                    <w:rPr>
                      <w:color w:val="auto"/>
                      <w:szCs w:val="21"/>
                    </w:rPr>
                  </w:pPr>
                  <w:r>
                    <w:rPr>
                      <w:color w:val="auto"/>
                      <w:szCs w:val="21"/>
                    </w:rPr>
                    <w:t>70-80</w:t>
                  </w:r>
                </w:p>
              </w:tc>
              <w:tc>
                <w:tcPr>
                  <w:tcW w:w="518" w:type="dxa"/>
                  <w:vMerge w:val="continue"/>
                  <w:vAlign w:val="center"/>
                </w:tcPr>
                <w:p w14:paraId="4992A7EC">
                  <w:pPr>
                    <w:keepNext w:val="0"/>
                    <w:keepLines w:val="0"/>
                    <w:pageBreakBefore w:val="0"/>
                    <w:widowControl/>
                    <w:kinsoku/>
                    <w:wordWrap/>
                    <w:overflowPunct/>
                    <w:topLinePunct w:val="0"/>
                    <w:autoSpaceDE/>
                    <w:autoSpaceDN/>
                    <w:bidi w:val="0"/>
                    <w:adjustRightInd w:val="0"/>
                    <w:snapToGrid w:val="0"/>
                    <w:ind w:firstLine="0"/>
                    <w:jc w:val="center"/>
                    <w:rPr>
                      <w:color w:val="auto"/>
                      <w:szCs w:val="21"/>
                    </w:rPr>
                  </w:pPr>
                </w:p>
              </w:tc>
              <w:tc>
                <w:tcPr>
                  <w:tcW w:w="368" w:type="dxa"/>
                  <w:vAlign w:val="center"/>
                </w:tcPr>
                <w:p w14:paraId="7D36DC95">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13</w:t>
                  </w:r>
                </w:p>
              </w:tc>
              <w:tc>
                <w:tcPr>
                  <w:tcW w:w="341" w:type="dxa"/>
                  <w:vAlign w:val="center"/>
                </w:tcPr>
                <w:p w14:paraId="730CE69F">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2</w:t>
                  </w:r>
                  <w:r>
                    <w:rPr>
                      <w:color w:val="auto"/>
                      <w:szCs w:val="21"/>
                    </w:rPr>
                    <w:t>7</w:t>
                  </w:r>
                </w:p>
              </w:tc>
              <w:tc>
                <w:tcPr>
                  <w:tcW w:w="368" w:type="dxa"/>
                  <w:vAlign w:val="center"/>
                </w:tcPr>
                <w:p w14:paraId="2B59A823">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1.5</w:t>
                  </w:r>
                </w:p>
              </w:tc>
              <w:tc>
                <w:tcPr>
                  <w:tcW w:w="587" w:type="dxa"/>
                  <w:vAlign w:val="center"/>
                </w:tcPr>
                <w:p w14:paraId="1D0E49B4">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东5</w:t>
                  </w:r>
                </w:p>
              </w:tc>
              <w:tc>
                <w:tcPr>
                  <w:tcW w:w="1050" w:type="dxa"/>
                  <w:vAlign w:val="center"/>
                </w:tcPr>
                <w:p w14:paraId="77FDB159">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75</w:t>
                  </w:r>
                  <w:r>
                    <w:rPr>
                      <w:color w:val="auto"/>
                      <w:szCs w:val="21"/>
                    </w:rPr>
                    <w:t>.25</w:t>
                  </w:r>
                </w:p>
              </w:tc>
              <w:tc>
                <w:tcPr>
                  <w:tcW w:w="450" w:type="dxa"/>
                  <w:vMerge w:val="continue"/>
                  <w:vAlign w:val="center"/>
                </w:tcPr>
                <w:p w14:paraId="5B08D67B">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p>
              </w:tc>
              <w:tc>
                <w:tcPr>
                  <w:tcW w:w="709" w:type="dxa"/>
                  <w:vAlign w:val="center"/>
                </w:tcPr>
                <w:p w14:paraId="0D109107">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25</w:t>
                  </w:r>
                </w:p>
              </w:tc>
              <w:tc>
                <w:tcPr>
                  <w:tcW w:w="722" w:type="dxa"/>
                  <w:vAlign w:val="center"/>
                </w:tcPr>
                <w:p w14:paraId="04BF8B15">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36</w:t>
                  </w:r>
                  <w:r>
                    <w:rPr>
                      <w:color w:val="auto"/>
                      <w:szCs w:val="21"/>
                    </w:rPr>
                    <w:t>.</w:t>
                  </w:r>
                  <w:r>
                    <w:rPr>
                      <w:rFonts w:hint="eastAsia"/>
                      <w:color w:val="auto"/>
                      <w:szCs w:val="21"/>
                    </w:rPr>
                    <w:t>15</w:t>
                  </w:r>
                </w:p>
              </w:tc>
              <w:tc>
                <w:tcPr>
                  <w:tcW w:w="722" w:type="dxa"/>
                  <w:vMerge w:val="continue"/>
                  <w:vAlign w:val="center"/>
                </w:tcPr>
                <w:p w14:paraId="417CAB3A">
                  <w:pPr>
                    <w:keepNext w:val="0"/>
                    <w:keepLines w:val="0"/>
                    <w:pageBreakBefore w:val="0"/>
                    <w:widowControl/>
                    <w:kinsoku/>
                    <w:wordWrap/>
                    <w:overflowPunct/>
                    <w:topLinePunct w:val="0"/>
                    <w:autoSpaceDE/>
                    <w:autoSpaceDN/>
                    <w:bidi w:val="0"/>
                    <w:adjustRightInd w:val="0"/>
                    <w:snapToGrid w:val="0"/>
                    <w:ind w:firstLine="0"/>
                    <w:jc w:val="center"/>
                    <w:rPr>
                      <w:color w:val="auto"/>
                      <w:szCs w:val="21"/>
                    </w:rPr>
                  </w:pPr>
                </w:p>
              </w:tc>
            </w:tr>
            <w:tr w14:paraId="3751E28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9" w:type="dxa"/>
                  <w:vAlign w:val="center"/>
                </w:tcPr>
                <w:p w14:paraId="6899C78A">
                  <w:pPr>
                    <w:keepNext w:val="0"/>
                    <w:keepLines w:val="0"/>
                    <w:pageBreakBefore w:val="0"/>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9</w:t>
                  </w:r>
                </w:p>
              </w:tc>
              <w:tc>
                <w:tcPr>
                  <w:tcW w:w="1189" w:type="dxa"/>
                  <w:shd w:val="clear" w:color="auto" w:fill="auto"/>
                  <w:vAlign w:val="center"/>
                </w:tcPr>
                <w:p w14:paraId="65D140BF">
                  <w:pPr>
                    <w:keepNext w:val="0"/>
                    <w:keepLines w:val="0"/>
                    <w:pageBreakBefore w:val="0"/>
                    <w:kinsoku/>
                    <w:wordWrap/>
                    <w:overflowPunct/>
                    <w:topLinePunct w:val="0"/>
                    <w:autoSpaceDE/>
                    <w:autoSpaceDN/>
                    <w:bidi w:val="0"/>
                    <w:adjustRightInd w:val="0"/>
                    <w:snapToGrid w:val="0"/>
                    <w:ind w:firstLine="0"/>
                    <w:jc w:val="center"/>
                    <w:rPr>
                      <w:color w:val="auto"/>
                      <w:szCs w:val="21"/>
                    </w:rPr>
                  </w:pPr>
                  <w:r>
                    <w:rPr>
                      <w:color w:val="auto"/>
                      <w:szCs w:val="21"/>
                    </w:rPr>
                    <w:t>数控车床</w:t>
                  </w:r>
                </w:p>
              </w:tc>
              <w:tc>
                <w:tcPr>
                  <w:tcW w:w="464" w:type="dxa"/>
                  <w:vAlign w:val="center"/>
                </w:tcPr>
                <w:p w14:paraId="29470900">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4</w:t>
                  </w:r>
                </w:p>
              </w:tc>
              <w:tc>
                <w:tcPr>
                  <w:tcW w:w="682" w:type="dxa"/>
                  <w:vAlign w:val="center"/>
                </w:tcPr>
                <w:p w14:paraId="507715BE">
                  <w:pPr>
                    <w:keepNext w:val="0"/>
                    <w:keepLines w:val="0"/>
                    <w:pageBreakBefore w:val="0"/>
                    <w:kinsoku/>
                    <w:wordWrap/>
                    <w:overflowPunct/>
                    <w:topLinePunct w:val="0"/>
                    <w:autoSpaceDE/>
                    <w:autoSpaceDN/>
                    <w:bidi w:val="0"/>
                    <w:adjustRightInd w:val="0"/>
                    <w:snapToGrid w:val="0"/>
                    <w:ind w:left="-105" w:leftChars="-50" w:right="-105" w:rightChars="-50" w:firstLine="0"/>
                    <w:jc w:val="center"/>
                    <w:rPr>
                      <w:color w:val="auto"/>
                      <w:szCs w:val="21"/>
                    </w:rPr>
                  </w:pPr>
                  <w:r>
                    <w:rPr>
                      <w:color w:val="auto"/>
                      <w:szCs w:val="21"/>
                    </w:rPr>
                    <w:t>65-</w:t>
                  </w:r>
                  <w:r>
                    <w:rPr>
                      <w:rFonts w:hint="eastAsia"/>
                      <w:color w:val="auto"/>
                      <w:szCs w:val="21"/>
                    </w:rPr>
                    <w:t>80</w:t>
                  </w:r>
                </w:p>
              </w:tc>
              <w:tc>
                <w:tcPr>
                  <w:tcW w:w="518" w:type="dxa"/>
                  <w:vMerge w:val="continue"/>
                  <w:vAlign w:val="center"/>
                </w:tcPr>
                <w:p w14:paraId="1A74F365">
                  <w:pPr>
                    <w:keepNext w:val="0"/>
                    <w:keepLines w:val="0"/>
                    <w:pageBreakBefore w:val="0"/>
                    <w:widowControl/>
                    <w:kinsoku/>
                    <w:wordWrap/>
                    <w:overflowPunct/>
                    <w:topLinePunct w:val="0"/>
                    <w:autoSpaceDE/>
                    <w:autoSpaceDN/>
                    <w:bidi w:val="0"/>
                    <w:adjustRightInd w:val="0"/>
                    <w:snapToGrid w:val="0"/>
                    <w:ind w:firstLine="0"/>
                    <w:jc w:val="center"/>
                    <w:rPr>
                      <w:color w:val="auto"/>
                      <w:szCs w:val="21"/>
                    </w:rPr>
                  </w:pPr>
                </w:p>
              </w:tc>
              <w:tc>
                <w:tcPr>
                  <w:tcW w:w="368" w:type="dxa"/>
                  <w:vAlign w:val="center"/>
                </w:tcPr>
                <w:p w14:paraId="0A820EB7">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10</w:t>
                  </w:r>
                </w:p>
              </w:tc>
              <w:tc>
                <w:tcPr>
                  <w:tcW w:w="341" w:type="dxa"/>
                  <w:vAlign w:val="center"/>
                </w:tcPr>
                <w:p w14:paraId="3B9F40C6">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30</w:t>
                  </w:r>
                </w:p>
              </w:tc>
              <w:tc>
                <w:tcPr>
                  <w:tcW w:w="368" w:type="dxa"/>
                  <w:vAlign w:val="center"/>
                </w:tcPr>
                <w:p w14:paraId="2C238F77">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1.5</w:t>
                  </w:r>
                </w:p>
              </w:tc>
              <w:tc>
                <w:tcPr>
                  <w:tcW w:w="587" w:type="dxa"/>
                  <w:vAlign w:val="center"/>
                </w:tcPr>
                <w:p w14:paraId="2137F041">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西</w:t>
                  </w:r>
                  <w:r>
                    <w:rPr>
                      <w:rFonts w:hint="eastAsia"/>
                      <w:color w:val="auto"/>
                      <w:szCs w:val="21"/>
                    </w:rPr>
                    <w:t>3</w:t>
                  </w:r>
                </w:p>
              </w:tc>
              <w:tc>
                <w:tcPr>
                  <w:tcW w:w="1050" w:type="dxa"/>
                  <w:vAlign w:val="center"/>
                </w:tcPr>
                <w:p w14:paraId="3FCE9BCD">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69</w:t>
                  </w:r>
                  <w:r>
                    <w:rPr>
                      <w:color w:val="auto"/>
                      <w:szCs w:val="21"/>
                    </w:rPr>
                    <w:t>.</w:t>
                  </w:r>
                  <w:r>
                    <w:rPr>
                      <w:rFonts w:hint="eastAsia"/>
                      <w:color w:val="auto"/>
                      <w:szCs w:val="21"/>
                    </w:rPr>
                    <w:t>5</w:t>
                  </w:r>
                  <w:r>
                    <w:rPr>
                      <w:color w:val="auto"/>
                      <w:szCs w:val="21"/>
                    </w:rPr>
                    <w:t>5</w:t>
                  </w:r>
                </w:p>
              </w:tc>
              <w:tc>
                <w:tcPr>
                  <w:tcW w:w="450" w:type="dxa"/>
                  <w:vMerge w:val="continue"/>
                  <w:vAlign w:val="center"/>
                </w:tcPr>
                <w:p w14:paraId="62E57140">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p>
              </w:tc>
              <w:tc>
                <w:tcPr>
                  <w:tcW w:w="709" w:type="dxa"/>
                  <w:vAlign w:val="center"/>
                </w:tcPr>
                <w:p w14:paraId="1A6D0333">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25</w:t>
                  </w:r>
                </w:p>
              </w:tc>
              <w:tc>
                <w:tcPr>
                  <w:tcW w:w="722" w:type="dxa"/>
                  <w:vAlign w:val="center"/>
                </w:tcPr>
                <w:p w14:paraId="58F4381B">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35.85</w:t>
                  </w:r>
                </w:p>
              </w:tc>
              <w:tc>
                <w:tcPr>
                  <w:tcW w:w="722" w:type="dxa"/>
                  <w:vMerge w:val="continue"/>
                  <w:vAlign w:val="center"/>
                </w:tcPr>
                <w:p w14:paraId="4BA10D31">
                  <w:pPr>
                    <w:keepNext w:val="0"/>
                    <w:keepLines w:val="0"/>
                    <w:pageBreakBefore w:val="0"/>
                    <w:widowControl/>
                    <w:kinsoku/>
                    <w:wordWrap/>
                    <w:overflowPunct/>
                    <w:topLinePunct w:val="0"/>
                    <w:autoSpaceDE/>
                    <w:autoSpaceDN/>
                    <w:bidi w:val="0"/>
                    <w:adjustRightInd w:val="0"/>
                    <w:snapToGrid w:val="0"/>
                    <w:ind w:firstLine="0"/>
                    <w:jc w:val="center"/>
                    <w:rPr>
                      <w:color w:val="auto"/>
                      <w:szCs w:val="21"/>
                    </w:rPr>
                  </w:pPr>
                </w:p>
              </w:tc>
            </w:tr>
            <w:tr w14:paraId="2A5351E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cantSplit/>
                <w:trHeight w:val="340" w:hRule="atLeast"/>
                <w:jc w:val="center"/>
              </w:trPr>
              <w:tc>
                <w:tcPr>
                  <w:tcW w:w="289" w:type="dxa"/>
                  <w:vAlign w:val="center"/>
                </w:tcPr>
                <w:p w14:paraId="043BF288">
                  <w:pPr>
                    <w:keepNext w:val="0"/>
                    <w:keepLines w:val="0"/>
                    <w:pageBreakBefore w:val="0"/>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10</w:t>
                  </w:r>
                </w:p>
              </w:tc>
              <w:tc>
                <w:tcPr>
                  <w:tcW w:w="1189" w:type="dxa"/>
                  <w:shd w:val="clear" w:color="auto" w:fill="auto"/>
                  <w:vAlign w:val="center"/>
                </w:tcPr>
                <w:p w14:paraId="128BA8FA">
                  <w:pPr>
                    <w:keepNext w:val="0"/>
                    <w:keepLines w:val="0"/>
                    <w:pageBreakBefore w:val="0"/>
                    <w:kinsoku/>
                    <w:wordWrap/>
                    <w:overflowPunct/>
                    <w:topLinePunct w:val="0"/>
                    <w:autoSpaceDE/>
                    <w:autoSpaceDN/>
                    <w:bidi w:val="0"/>
                    <w:adjustRightInd w:val="0"/>
                    <w:snapToGrid w:val="0"/>
                    <w:ind w:firstLine="0"/>
                    <w:jc w:val="center"/>
                    <w:rPr>
                      <w:color w:val="auto"/>
                      <w:szCs w:val="21"/>
                    </w:rPr>
                  </w:pPr>
                  <w:r>
                    <w:rPr>
                      <w:color w:val="auto"/>
                      <w:szCs w:val="21"/>
                    </w:rPr>
                    <w:t>数控磨床</w:t>
                  </w:r>
                </w:p>
              </w:tc>
              <w:tc>
                <w:tcPr>
                  <w:tcW w:w="464" w:type="dxa"/>
                  <w:vAlign w:val="center"/>
                </w:tcPr>
                <w:p w14:paraId="428076D8">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1</w:t>
                  </w:r>
                </w:p>
              </w:tc>
              <w:tc>
                <w:tcPr>
                  <w:tcW w:w="682" w:type="dxa"/>
                  <w:vAlign w:val="center"/>
                </w:tcPr>
                <w:p w14:paraId="2D78C9BD">
                  <w:pPr>
                    <w:keepNext w:val="0"/>
                    <w:keepLines w:val="0"/>
                    <w:pageBreakBefore w:val="0"/>
                    <w:kinsoku/>
                    <w:wordWrap/>
                    <w:overflowPunct/>
                    <w:topLinePunct w:val="0"/>
                    <w:autoSpaceDE/>
                    <w:autoSpaceDN/>
                    <w:bidi w:val="0"/>
                    <w:adjustRightInd w:val="0"/>
                    <w:snapToGrid w:val="0"/>
                    <w:ind w:left="-105" w:leftChars="-50" w:right="-105" w:rightChars="-50" w:firstLine="0"/>
                    <w:jc w:val="center"/>
                    <w:rPr>
                      <w:color w:val="auto"/>
                      <w:szCs w:val="21"/>
                    </w:rPr>
                  </w:pPr>
                  <w:r>
                    <w:rPr>
                      <w:rFonts w:hint="eastAsia"/>
                      <w:color w:val="auto"/>
                      <w:szCs w:val="21"/>
                    </w:rPr>
                    <w:t>75-85</w:t>
                  </w:r>
                </w:p>
              </w:tc>
              <w:tc>
                <w:tcPr>
                  <w:tcW w:w="518" w:type="dxa"/>
                  <w:vMerge w:val="continue"/>
                  <w:vAlign w:val="center"/>
                </w:tcPr>
                <w:p w14:paraId="7A0268E7">
                  <w:pPr>
                    <w:keepNext w:val="0"/>
                    <w:keepLines w:val="0"/>
                    <w:pageBreakBefore w:val="0"/>
                    <w:widowControl/>
                    <w:kinsoku/>
                    <w:wordWrap/>
                    <w:overflowPunct/>
                    <w:topLinePunct w:val="0"/>
                    <w:autoSpaceDE/>
                    <w:autoSpaceDN/>
                    <w:bidi w:val="0"/>
                    <w:adjustRightInd w:val="0"/>
                    <w:snapToGrid w:val="0"/>
                    <w:ind w:firstLine="0"/>
                    <w:jc w:val="center"/>
                    <w:rPr>
                      <w:color w:val="auto"/>
                      <w:szCs w:val="21"/>
                    </w:rPr>
                  </w:pPr>
                </w:p>
              </w:tc>
              <w:tc>
                <w:tcPr>
                  <w:tcW w:w="368" w:type="dxa"/>
                  <w:vAlign w:val="center"/>
                </w:tcPr>
                <w:p w14:paraId="01C81A75">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8</w:t>
                  </w:r>
                </w:p>
              </w:tc>
              <w:tc>
                <w:tcPr>
                  <w:tcW w:w="341" w:type="dxa"/>
                  <w:vAlign w:val="center"/>
                </w:tcPr>
                <w:p w14:paraId="5B33B062">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20</w:t>
                  </w:r>
                </w:p>
              </w:tc>
              <w:tc>
                <w:tcPr>
                  <w:tcW w:w="368" w:type="dxa"/>
                  <w:vAlign w:val="center"/>
                </w:tcPr>
                <w:p w14:paraId="2569CD5E">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1.5</w:t>
                  </w:r>
                </w:p>
              </w:tc>
              <w:tc>
                <w:tcPr>
                  <w:tcW w:w="587" w:type="dxa"/>
                  <w:vAlign w:val="center"/>
                </w:tcPr>
                <w:p w14:paraId="347EAECC">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西</w:t>
                  </w:r>
                  <w:r>
                    <w:rPr>
                      <w:rFonts w:hint="eastAsia"/>
                      <w:color w:val="auto"/>
                      <w:szCs w:val="21"/>
                    </w:rPr>
                    <w:t>5</w:t>
                  </w:r>
                </w:p>
              </w:tc>
              <w:tc>
                <w:tcPr>
                  <w:tcW w:w="1050" w:type="dxa"/>
                  <w:vAlign w:val="center"/>
                </w:tcPr>
                <w:p w14:paraId="3BFE41D0">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81.16</w:t>
                  </w:r>
                </w:p>
              </w:tc>
              <w:tc>
                <w:tcPr>
                  <w:tcW w:w="450" w:type="dxa"/>
                  <w:vMerge w:val="continue"/>
                  <w:vAlign w:val="center"/>
                </w:tcPr>
                <w:p w14:paraId="4C5E5A0E">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p>
              </w:tc>
              <w:tc>
                <w:tcPr>
                  <w:tcW w:w="709" w:type="dxa"/>
                  <w:vAlign w:val="center"/>
                </w:tcPr>
                <w:p w14:paraId="1F057DCC">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25</w:t>
                  </w:r>
                </w:p>
              </w:tc>
              <w:tc>
                <w:tcPr>
                  <w:tcW w:w="722" w:type="dxa"/>
                  <w:vAlign w:val="center"/>
                </w:tcPr>
                <w:p w14:paraId="6694B29F">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38.45</w:t>
                  </w:r>
                </w:p>
              </w:tc>
              <w:tc>
                <w:tcPr>
                  <w:tcW w:w="722" w:type="dxa"/>
                  <w:vMerge w:val="continue"/>
                  <w:vAlign w:val="center"/>
                </w:tcPr>
                <w:p w14:paraId="31996464">
                  <w:pPr>
                    <w:keepNext w:val="0"/>
                    <w:keepLines w:val="0"/>
                    <w:pageBreakBefore w:val="0"/>
                    <w:widowControl/>
                    <w:kinsoku/>
                    <w:wordWrap/>
                    <w:overflowPunct/>
                    <w:topLinePunct w:val="0"/>
                    <w:autoSpaceDE/>
                    <w:autoSpaceDN/>
                    <w:bidi w:val="0"/>
                    <w:adjustRightInd w:val="0"/>
                    <w:snapToGrid w:val="0"/>
                    <w:ind w:firstLine="0"/>
                    <w:jc w:val="center"/>
                    <w:rPr>
                      <w:color w:val="auto"/>
                      <w:szCs w:val="21"/>
                    </w:rPr>
                  </w:pPr>
                </w:p>
              </w:tc>
            </w:tr>
            <w:tr w14:paraId="4D7F651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9" w:type="dxa"/>
                  <w:vAlign w:val="center"/>
                </w:tcPr>
                <w:p w14:paraId="1BC94766">
                  <w:pPr>
                    <w:keepNext w:val="0"/>
                    <w:keepLines w:val="0"/>
                    <w:pageBreakBefore w:val="0"/>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11</w:t>
                  </w:r>
                </w:p>
              </w:tc>
              <w:tc>
                <w:tcPr>
                  <w:tcW w:w="1189" w:type="dxa"/>
                  <w:shd w:val="clear" w:color="auto" w:fill="auto"/>
                  <w:vAlign w:val="center"/>
                </w:tcPr>
                <w:p w14:paraId="0C77F2AB">
                  <w:pPr>
                    <w:keepNext w:val="0"/>
                    <w:keepLines w:val="0"/>
                    <w:pageBreakBefore w:val="0"/>
                    <w:kinsoku/>
                    <w:wordWrap/>
                    <w:overflowPunct/>
                    <w:topLinePunct w:val="0"/>
                    <w:autoSpaceDE/>
                    <w:autoSpaceDN/>
                    <w:bidi w:val="0"/>
                    <w:adjustRightInd w:val="0"/>
                    <w:snapToGrid w:val="0"/>
                    <w:ind w:firstLine="0"/>
                    <w:jc w:val="center"/>
                    <w:rPr>
                      <w:color w:val="auto"/>
                      <w:szCs w:val="21"/>
                    </w:rPr>
                  </w:pPr>
                  <w:r>
                    <w:rPr>
                      <w:color w:val="auto"/>
                      <w:szCs w:val="21"/>
                    </w:rPr>
                    <w:t>加工中心</w:t>
                  </w:r>
                </w:p>
              </w:tc>
              <w:tc>
                <w:tcPr>
                  <w:tcW w:w="464" w:type="dxa"/>
                  <w:vAlign w:val="center"/>
                </w:tcPr>
                <w:p w14:paraId="7C23CC11">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4</w:t>
                  </w:r>
                </w:p>
              </w:tc>
              <w:tc>
                <w:tcPr>
                  <w:tcW w:w="682" w:type="dxa"/>
                  <w:vAlign w:val="center"/>
                </w:tcPr>
                <w:p w14:paraId="1FCBC7FF">
                  <w:pPr>
                    <w:keepNext w:val="0"/>
                    <w:keepLines w:val="0"/>
                    <w:pageBreakBefore w:val="0"/>
                    <w:kinsoku/>
                    <w:wordWrap/>
                    <w:overflowPunct/>
                    <w:topLinePunct w:val="0"/>
                    <w:autoSpaceDE/>
                    <w:autoSpaceDN/>
                    <w:bidi w:val="0"/>
                    <w:adjustRightInd w:val="0"/>
                    <w:snapToGrid w:val="0"/>
                    <w:ind w:left="-105" w:leftChars="-50" w:right="-105" w:rightChars="-50" w:firstLine="0"/>
                    <w:jc w:val="center"/>
                    <w:rPr>
                      <w:color w:val="auto"/>
                      <w:szCs w:val="21"/>
                    </w:rPr>
                  </w:pPr>
                  <w:r>
                    <w:rPr>
                      <w:rFonts w:hint="eastAsia"/>
                      <w:color w:val="auto"/>
                      <w:szCs w:val="21"/>
                    </w:rPr>
                    <w:t>75-85</w:t>
                  </w:r>
                </w:p>
              </w:tc>
              <w:tc>
                <w:tcPr>
                  <w:tcW w:w="518" w:type="dxa"/>
                  <w:vMerge w:val="continue"/>
                  <w:vAlign w:val="center"/>
                </w:tcPr>
                <w:p w14:paraId="7B0E4B2A">
                  <w:pPr>
                    <w:keepNext w:val="0"/>
                    <w:keepLines w:val="0"/>
                    <w:pageBreakBefore w:val="0"/>
                    <w:widowControl/>
                    <w:kinsoku/>
                    <w:wordWrap/>
                    <w:overflowPunct/>
                    <w:topLinePunct w:val="0"/>
                    <w:autoSpaceDE/>
                    <w:autoSpaceDN/>
                    <w:bidi w:val="0"/>
                    <w:adjustRightInd w:val="0"/>
                    <w:snapToGrid w:val="0"/>
                    <w:ind w:firstLine="0"/>
                    <w:jc w:val="center"/>
                    <w:rPr>
                      <w:color w:val="auto"/>
                      <w:szCs w:val="21"/>
                    </w:rPr>
                  </w:pPr>
                </w:p>
              </w:tc>
              <w:tc>
                <w:tcPr>
                  <w:tcW w:w="368" w:type="dxa"/>
                  <w:vAlign w:val="center"/>
                </w:tcPr>
                <w:p w14:paraId="451D198A">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10</w:t>
                  </w:r>
                </w:p>
              </w:tc>
              <w:tc>
                <w:tcPr>
                  <w:tcW w:w="341" w:type="dxa"/>
                  <w:vAlign w:val="center"/>
                </w:tcPr>
                <w:p w14:paraId="7AD2B9F3">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15</w:t>
                  </w:r>
                </w:p>
              </w:tc>
              <w:tc>
                <w:tcPr>
                  <w:tcW w:w="368" w:type="dxa"/>
                  <w:vAlign w:val="center"/>
                </w:tcPr>
                <w:p w14:paraId="36455A99">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1.5</w:t>
                  </w:r>
                </w:p>
              </w:tc>
              <w:tc>
                <w:tcPr>
                  <w:tcW w:w="587" w:type="dxa"/>
                  <w:vAlign w:val="center"/>
                </w:tcPr>
                <w:p w14:paraId="0D8DAFC8">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东6</w:t>
                  </w:r>
                </w:p>
              </w:tc>
              <w:tc>
                <w:tcPr>
                  <w:tcW w:w="1050" w:type="dxa"/>
                  <w:vAlign w:val="center"/>
                </w:tcPr>
                <w:p w14:paraId="16A73935">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84.62</w:t>
                  </w:r>
                </w:p>
              </w:tc>
              <w:tc>
                <w:tcPr>
                  <w:tcW w:w="450" w:type="dxa"/>
                  <w:vMerge w:val="continue"/>
                  <w:vAlign w:val="center"/>
                </w:tcPr>
                <w:p w14:paraId="30A5F88B">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p>
              </w:tc>
              <w:tc>
                <w:tcPr>
                  <w:tcW w:w="709" w:type="dxa"/>
                  <w:vAlign w:val="center"/>
                </w:tcPr>
                <w:p w14:paraId="0E34206C">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25</w:t>
                  </w:r>
                </w:p>
              </w:tc>
              <w:tc>
                <w:tcPr>
                  <w:tcW w:w="722" w:type="dxa"/>
                  <w:vAlign w:val="center"/>
                </w:tcPr>
                <w:p w14:paraId="04DA880F">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35.46</w:t>
                  </w:r>
                </w:p>
              </w:tc>
              <w:tc>
                <w:tcPr>
                  <w:tcW w:w="722" w:type="dxa"/>
                  <w:vMerge w:val="continue"/>
                  <w:vAlign w:val="center"/>
                </w:tcPr>
                <w:p w14:paraId="3D4B1817">
                  <w:pPr>
                    <w:keepNext w:val="0"/>
                    <w:keepLines w:val="0"/>
                    <w:pageBreakBefore w:val="0"/>
                    <w:widowControl/>
                    <w:kinsoku/>
                    <w:wordWrap/>
                    <w:overflowPunct/>
                    <w:topLinePunct w:val="0"/>
                    <w:autoSpaceDE/>
                    <w:autoSpaceDN/>
                    <w:bidi w:val="0"/>
                    <w:adjustRightInd w:val="0"/>
                    <w:snapToGrid w:val="0"/>
                    <w:ind w:firstLine="0"/>
                    <w:jc w:val="center"/>
                    <w:rPr>
                      <w:color w:val="auto"/>
                      <w:szCs w:val="21"/>
                    </w:rPr>
                  </w:pPr>
                </w:p>
              </w:tc>
            </w:tr>
            <w:tr w14:paraId="63A12F3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9" w:type="dxa"/>
                  <w:vAlign w:val="center"/>
                </w:tcPr>
                <w:p w14:paraId="5D9098CA">
                  <w:pPr>
                    <w:keepNext w:val="0"/>
                    <w:keepLines w:val="0"/>
                    <w:pageBreakBefore w:val="0"/>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12</w:t>
                  </w:r>
                </w:p>
              </w:tc>
              <w:tc>
                <w:tcPr>
                  <w:tcW w:w="1189" w:type="dxa"/>
                  <w:shd w:val="clear" w:color="auto" w:fill="auto"/>
                  <w:vAlign w:val="center"/>
                </w:tcPr>
                <w:p w14:paraId="6C70DBAC">
                  <w:pPr>
                    <w:keepNext w:val="0"/>
                    <w:keepLines w:val="0"/>
                    <w:pageBreakBefore w:val="0"/>
                    <w:kinsoku/>
                    <w:wordWrap/>
                    <w:overflowPunct/>
                    <w:topLinePunct w:val="0"/>
                    <w:autoSpaceDE/>
                    <w:autoSpaceDN/>
                    <w:bidi w:val="0"/>
                    <w:adjustRightInd w:val="0"/>
                    <w:snapToGrid w:val="0"/>
                    <w:ind w:firstLine="0"/>
                    <w:jc w:val="center"/>
                    <w:rPr>
                      <w:color w:val="auto"/>
                      <w:szCs w:val="21"/>
                    </w:rPr>
                  </w:pPr>
                  <w:r>
                    <w:rPr>
                      <w:color w:val="auto"/>
                      <w:szCs w:val="21"/>
                    </w:rPr>
                    <w:t>全自动扁铜线制线机</w:t>
                  </w:r>
                </w:p>
              </w:tc>
              <w:tc>
                <w:tcPr>
                  <w:tcW w:w="464" w:type="dxa"/>
                  <w:vAlign w:val="center"/>
                </w:tcPr>
                <w:p w14:paraId="1DBC6B23">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1</w:t>
                  </w:r>
                </w:p>
              </w:tc>
              <w:tc>
                <w:tcPr>
                  <w:tcW w:w="682" w:type="dxa"/>
                  <w:vAlign w:val="center"/>
                </w:tcPr>
                <w:p w14:paraId="21E10842">
                  <w:pPr>
                    <w:keepNext w:val="0"/>
                    <w:keepLines w:val="0"/>
                    <w:pageBreakBefore w:val="0"/>
                    <w:kinsoku/>
                    <w:wordWrap/>
                    <w:overflowPunct/>
                    <w:topLinePunct w:val="0"/>
                    <w:autoSpaceDE/>
                    <w:autoSpaceDN/>
                    <w:bidi w:val="0"/>
                    <w:adjustRightInd w:val="0"/>
                    <w:snapToGrid w:val="0"/>
                    <w:ind w:left="-105" w:leftChars="-50" w:right="-105" w:rightChars="-50" w:firstLine="0"/>
                    <w:jc w:val="center"/>
                    <w:rPr>
                      <w:color w:val="auto"/>
                      <w:szCs w:val="21"/>
                    </w:rPr>
                  </w:pPr>
                  <w:r>
                    <w:rPr>
                      <w:rFonts w:hint="eastAsia"/>
                      <w:color w:val="auto"/>
                      <w:szCs w:val="21"/>
                    </w:rPr>
                    <w:t>65-75</w:t>
                  </w:r>
                </w:p>
              </w:tc>
              <w:tc>
                <w:tcPr>
                  <w:tcW w:w="518" w:type="dxa"/>
                  <w:vMerge w:val="continue"/>
                  <w:vAlign w:val="center"/>
                </w:tcPr>
                <w:p w14:paraId="71715161">
                  <w:pPr>
                    <w:keepNext w:val="0"/>
                    <w:keepLines w:val="0"/>
                    <w:pageBreakBefore w:val="0"/>
                    <w:widowControl/>
                    <w:kinsoku/>
                    <w:wordWrap/>
                    <w:overflowPunct/>
                    <w:topLinePunct w:val="0"/>
                    <w:autoSpaceDE/>
                    <w:autoSpaceDN/>
                    <w:bidi w:val="0"/>
                    <w:adjustRightInd w:val="0"/>
                    <w:snapToGrid w:val="0"/>
                    <w:ind w:firstLine="0"/>
                    <w:jc w:val="center"/>
                    <w:rPr>
                      <w:color w:val="auto"/>
                      <w:szCs w:val="21"/>
                    </w:rPr>
                  </w:pPr>
                </w:p>
              </w:tc>
              <w:tc>
                <w:tcPr>
                  <w:tcW w:w="368" w:type="dxa"/>
                  <w:vAlign w:val="center"/>
                </w:tcPr>
                <w:p w14:paraId="3C347130">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10</w:t>
                  </w:r>
                </w:p>
              </w:tc>
              <w:tc>
                <w:tcPr>
                  <w:tcW w:w="341" w:type="dxa"/>
                  <w:vAlign w:val="center"/>
                </w:tcPr>
                <w:p w14:paraId="743C3EB7">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20</w:t>
                  </w:r>
                </w:p>
              </w:tc>
              <w:tc>
                <w:tcPr>
                  <w:tcW w:w="368" w:type="dxa"/>
                  <w:vAlign w:val="center"/>
                </w:tcPr>
                <w:p w14:paraId="262E1E04">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1.5</w:t>
                  </w:r>
                </w:p>
              </w:tc>
              <w:tc>
                <w:tcPr>
                  <w:tcW w:w="587" w:type="dxa"/>
                  <w:vAlign w:val="center"/>
                </w:tcPr>
                <w:p w14:paraId="4D21126D">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南8</w:t>
                  </w:r>
                </w:p>
              </w:tc>
              <w:tc>
                <w:tcPr>
                  <w:tcW w:w="1050" w:type="dxa"/>
                  <w:vAlign w:val="center"/>
                </w:tcPr>
                <w:p w14:paraId="799C5403">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71.40</w:t>
                  </w:r>
                </w:p>
              </w:tc>
              <w:tc>
                <w:tcPr>
                  <w:tcW w:w="450" w:type="dxa"/>
                  <w:vMerge w:val="continue"/>
                  <w:vAlign w:val="center"/>
                </w:tcPr>
                <w:p w14:paraId="5E8A8825">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p>
              </w:tc>
              <w:tc>
                <w:tcPr>
                  <w:tcW w:w="709" w:type="dxa"/>
                  <w:vAlign w:val="center"/>
                </w:tcPr>
                <w:p w14:paraId="273792BD">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25</w:t>
                  </w:r>
                </w:p>
              </w:tc>
              <w:tc>
                <w:tcPr>
                  <w:tcW w:w="722" w:type="dxa"/>
                  <w:vAlign w:val="center"/>
                </w:tcPr>
                <w:p w14:paraId="393C28AE">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29.55</w:t>
                  </w:r>
                </w:p>
              </w:tc>
              <w:tc>
                <w:tcPr>
                  <w:tcW w:w="722" w:type="dxa"/>
                  <w:vMerge w:val="continue"/>
                  <w:vAlign w:val="center"/>
                </w:tcPr>
                <w:p w14:paraId="4A3212AF">
                  <w:pPr>
                    <w:keepNext w:val="0"/>
                    <w:keepLines w:val="0"/>
                    <w:pageBreakBefore w:val="0"/>
                    <w:widowControl/>
                    <w:kinsoku/>
                    <w:wordWrap/>
                    <w:overflowPunct/>
                    <w:topLinePunct w:val="0"/>
                    <w:autoSpaceDE/>
                    <w:autoSpaceDN/>
                    <w:bidi w:val="0"/>
                    <w:adjustRightInd w:val="0"/>
                    <w:snapToGrid w:val="0"/>
                    <w:ind w:firstLine="0"/>
                    <w:jc w:val="center"/>
                    <w:rPr>
                      <w:color w:val="auto"/>
                      <w:szCs w:val="21"/>
                    </w:rPr>
                  </w:pPr>
                </w:p>
              </w:tc>
            </w:tr>
            <w:tr w14:paraId="5A85D93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9" w:type="dxa"/>
                  <w:vAlign w:val="center"/>
                </w:tcPr>
                <w:p w14:paraId="3E824778">
                  <w:pPr>
                    <w:keepNext w:val="0"/>
                    <w:keepLines w:val="0"/>
                    <w:pageBreakBefore w:val="0"/>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13</w:t>
                  </w:r>
                </w:p>
              </w:tc>
              <w:tc>
                <w:tcPr>
                  <w:tcW w:w="1189" w:type="dxa"/>
                  <w:shd w:val="clear" w:color="auto" w:fill="auto"/>
                  <w:vAlign w:val="center"/>
                </w:tcPr>
                <w:p w14:paraId="0E404975">
                  <w:pPr>
                    <w:keepNext w:val="0"/>
                    <w:keepLines w:val="0"/>
                    <w:pageBreakBefore w:val="0"/>
                    <w:kinsoku/>
                    <w:wordWrap/>
                    <w:overflowPunct/>
                    <w:topLinePunct w:val="0"/>
                    <w:autoSpaceDE/>
                    <w:autoSpaceDN/>
                    <w:bidi w:val="0"/>
                    <w:adjustRightInd w:val="0"/>
                    <w:snapToGrid w:val="0"/>
                    <w:ind w:firstLine="0"/>
                    <w:jc w:val="center"/>
                    <w:rPr>
                      <w:color w:val="auto"/>
                      <w:szCs w:val="21"/>
                    </w:rPr>
                  </w:pPr>
                  <w:r>
                    <w:rPr>
                      <w:color w:val="auto"/>
                      <w:szCs w:val="21"/>
                    </w:rPr>
                    <w:t>变频伺服驱动器组装线</w:t>
                  </w:r>
                </w:p>
              </w:tc>
              <w:tc>
                <w:tcPr>
                  <w:tcW w:w="464" w:type="dxa"/>
                  <w:vAlign w:val="center"/>
                </w:tcPr>
                <w:p w14:paraId="58FF0797">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1</w:t>
                  </w:r>
                </w:p>
              </w:tc>
              <w:tc>
                <w:tcPr>
                  <w:tcW w:w="682" w:type="dxa"/>
                  <w:vAlign w:val="center"/>
                </w:tcPr>
                <w:p w14:paraId="529FF82C">
                  <w:pPr>
                    <w:keepNext w:val="0"/>
                    <w:keepLines w:val="0"/>
                    <w:pageBreakBefore w:val="0"/>
                    <w:kinsoku/>
                    <w:wordWrap/>
                    <w:overflowPunct/>
                    <w:topLinePunct w:val="0"/>
                    <w:autoSpaceDE/>
                    <w:autoSpaceDN/>
                    <w:bidi w:val="0"/>
                    <w:adjustRightInd w:val="0"/>
                    <w:snapToGrid w:val="0"/>
                    <w:ind w:left="-105" w:leftChars="-50" w:right="-105" w:rightChars="-50" w:firstLine="0"/>
                    <w:jc w:val="center"/>
                    <w:rPr>
                      <w:color w:val="auto"/>
                      <w:szCs w:val="21"/>
                    </w:rPr>
                  </w:pPr>
                  <w:r>
                    <w:rPr>
                      <w:rFonts w:hint="eastAsia"/>
                      <w:color w:val="auto"/>
                      <w:szCs w:val="21"/>
                    </w:rPr>
                    <w:t>60-70</w:t>
                  </w:r>
                </w:p>
              </w:tc>
              <w:tc>
                <w:tcPr>
                  <w:tcW w:w="518" w:type="dxa"/>
                  <w:vMerge w:val="continue"/>
                  <w:vAlign w:val="center"/>
                </w:tcPr>
                <w:p w14:paraId="6CBCE180">
                  <w:pPr>
                    <w:keepNext w:val="0"/>
                    <w:keepLines w:val="0"/>
                    <w:pageBreakBefore w:val="0"/>
                    <w:widowControl/>
                    <w:kinsoku/>
                    <w:wordWrap/>
                    <w:overflowPunct/>
                    <w:topLinePunct w:val="0"/>
                    <w:autoSpaceDE/>
                    <w:autoSpaceDN/>
                    <w:bidi w:val="0"/>
                    <w:adjustRightInd w:val="0"/>
                    <w:snapToGrid w:val="0"/>
                    <w:ind w:firstLine="0"/>
                    <w:jc w:val="center"/>
                    <w:rPr>
                      <w:color w:val="auto"/>
                      <w:szCs w:val="21"/>
                    </w:rPr>
                  </w:pPr>
                </w:p>
              </w:tc>
              <w:tc>
                <w:tcPr>
                  <w:tcW w:w="368" w:type="dxa"/>
                  <w:vAlign w:val="center"/>
                </w:tcPr>
                <w:p w14:paraId="59A44E6E">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10</w:t>
                  </w:r>
                </w:p>
              </w:tc>
              <w:tc>
                <w:tcPr>
                  <w:tcW w:w="341" w:type="dxa"/>
                  <w:vAlign w:val="center"/>
                </w:tcPr>
                <w:p w14:paraId="7079529A">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6</w:t>
                  </w:r>
                </w:p>
              </w:tc>
              <w:tc>
                <w:tcPr>
                  <w:tcW w:w="368" w:type="dxa"/>
                  <w:vAlign w:val="center"/>
                </w:tcPr>
                <w:p w14:paraId="7AE99FAF">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1.5</w:t>
                  </w:r>
                </w:p>
              </w:tc>
              <w:tc>
                <w:tcPr>
                  <w:tcW w:w="587" w:type="dxa"/>
                  <w:vAlign w:val="center"/>
                </w:tcPr>
                <w:p w14:paraId="20FB5ED1">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东5</w:t>
                  </w:r>
                </w:p>
              </w:tc>
              <w:tc>
                <w:tcPr>
                  <w:tcW w:w="1050" w:type="dxa"/>
                  <w:vAlign w:val="center"/>
                </w:tcPr>
                <w:p w14:paraId="35BDC018">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66.35</w:t>
                  </w:r>
                </w:p>
              </w:tc>
              <w:tc>
                <w:tcPr>
                  <w:tcW w:w="450" w:type="dxa"/>
                  <w:vMerge w:val="continue"/>
                  <w:vAlign w:val="center"/>
                </w:tcPr>
                <w:p w14:paraId="5B50119D">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p>
              </w:tc>
              <w:tc>
                <w:tcPr>
                  <w:tcW w:w="709" w:type="dxa"/>
                  <w:vAlign w:val="center"/>
                </w:tcPr>
                <w:p w14:paraId="78F31865">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25</w:t>
                  </w:r>
                </w:p>
              </w:tc>
              <w:tc>
                <w:tcPr>
                  <w:tcW w:w="722" w:type="dxa"/>
                  <w:vAlign w:val="center"/>
                </w:tcPr>
                <w:p w14:paraId="7D293B05">
                  <w:pPr>
                    <w:keepNext w:val="0"/>
                    <w:keepLines w:val="0"/>
                    <w:pageBreakBefore w:val="0"/>
                    <w:kinsoku/>
                    <w:wordWrap/>
                    <w:overflowPunct/>
                    <w:topLinePunct w:val="0"/>
                    <w:autoSpaceDE/>
                    <w:autoSpaceDN/>
                    <w:bidi w:val="0"/>
                    <w:adjustRightInd w:val="0"/>
                    <w:snapToGrid w:val="0"/>
                    <w:ind w:firstLine="0"/>
                    <w:jc w:val="center"/>
                    <w:rPr>
                      <w:color w:val="auto"/>
                      <w:szCs w:val="21"/>
                    </w:rPr>
                  </w:pPr>
                  <w:r>
                    <w:rPr>
                      <w:color w:val="auto"/>
                      <w:szCs w:val="21"/>
                    </w:rPr>
                    <w:t>2</w:t>
                  </w:r>
                  <w:r>
                    <w:rPr>
                      <w:rFonts w:hint="eastAsia"/>
                      <w:color w:val="auto"/>
                      <w:szCs w:val="21"/>
                    </w:rPr>
                    <w:t>5</w:t>
                  </w:r>
                  <w:r>
                    <w:rPr>
                      <w:color w:val="auto"/>
                      <w:szCs w:val="21"/>
                    </w:rPr>
                    <w:t>.</w:t>
                  </w:r>
                  <w:r>
                    <w:rPr>
                      <w:rFonts w:hint="eastAsia"/>
                      <w:color w:val="auto"/>
                      <w:szCs w:val="21"/>
                    </w:rPr>
                    <w:t>6</w:t>
                  </w:r>
                  <w:r>
                    <w:rPr>
                      <w:color w:val="auto"/>
                      <w:szCs w:val="21"/>
                    </w:rPr>
                    <w:t>2</w:t>
                  </w:r>
                </w:p>
              </w:tc>
              <w:tc>
                <w:tcPr>
                  <w:tcW w:w="722" w:type="dxa"/>
                  <w:vMerge w:val="continue"/>
                  <w:vAlign w:val="center"/>
                </w:tcPr>
                <w:p w14:paraId="1744D691">
                  <w:pPr>
                    <w:keepNext w:val="0"/>
                    <w:keepLines w:val="0"/>
                    <w:pageBreakBefore w:val="0"/>
                    <w:widowControl/>
                    <w:kinsoku/>
                    <w:wordWrap/>
                    <w:overflowPunct/>
                    <w:topLinePunct w:val="0"/>
                    <w:autoSpaceDE/>
                    <w:autoSpaceDN/>
                    <w:bidi w:val="0"/>
                    <w:adjustRightInd w:val="0"/>
                    <w:snapToGrid w:val="0"/>
                    <w:ind w:firstLine="0"/>
                    <w:jc w:val="center"/>
                    <w:rPr>
                      <w:color w:val="auto"/>
                      <w:szCs w:val="21"/>
                    </w:rPr>
                  </w:pPr>
                </w:p>
              </w:tc>
            </w:tr>
            <w:tr w14:paraId="1CE6EFA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9" w:type="dxa"/>
                  <w:vAlign w:val="center"/>
                </w:tcPr>
                <w:p w14:paraId="41B8576F">
                  <w:pPr>
                    <w:keepNext w:val="0"/>
                    <w:keepLines w:val="0"/>
                    <w:pageBreakBefore w:val="0"/>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14</w:t>
                  </w:r>
                </w:p>
              </w:tc>
              <w:tc>
                <w:tcPr>
                  <w:tcW w:w="1189" w:type="dxa"/>
                  <w:shd w:val="clear" w:color="auto" w:fill="auto"/>
                  <w:vAlign w:val="center"/>
                </w:tcPr>
                <w:p w14:paraId="7E6E0D87">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变频生产线</w:t>
                  </w:r>
                </w:p>
              </w:tc>
              <w:tc>
                <w:tcPr>
                  <w:tcW w:w="464" w:type="dxa"/>
                  <w:vAlign w:val="center"/>
                </w:tcPr>
                <w:p w14:paraId="79480255">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1</w:t>
                  </w:r>
                </w:p>
              </w:tc>
              <w:tc>
                <w:tcPr>
                  <w:tcW w:w="682" w:type="dxa"/>
                  <w:vAlign w:val="center"/>
                </w:tcPr>
                <w:p w14:paraId="03C160C9">
                  <w:pPr>
                    <w:keepNext w:val="0"/>
                    <w:keepLines w:val="0"/>
                    <w:pageBreakBefore w:val="0"/>
                    <w:kinsoku/>
                    <w:wordWrap/>
                    <w:overflowPunct/>
                    <w:topLinePunct w:val="0"/>
                    <w:autoSpaceDE/>
                    <w:autoSpaceDN/>
                    <w:bidi w:val="0"/>
                    <w:adjustRightInd w:val="0"/>
                    <w:snapToGrid w:val="0"/>
                    <w:ind w:left="-105" w:leftChars="-50" w:right="-105" w:rightChars="-50" w:firstLine="0"/>
                    <w:jc w:val="center"/>
                    <w:rPr>
                      <w:color w:val="auto"/>
                      <w:szCs w:val="21"/>
                    </w:rPr>
                  </w:pPr>
                  <w:r>
                    <w:rPr>
                      <w:rFonts w:hint="eastAsia"/>
                      <w:color w:val="auto"/>
                      <w:szCs w:val="21"/>
                    </w:rPr>
                    <w:t>75-85</w:t>
                  </w:r>
                </w:p>
              </w:tc>
              <w:tc>
                <w:tcPr>
                  <w:tcW w:w="518" w:type="dxa"/>
                  <w:vMerge w:val="continue"/>
                  <w:vAlign w:val="center"/>
                </w:tcPr>
                <w:p w14:paraId="26AEB8E9">
                  <w:pPr>
                    <w:keepNext w:val="0"/>
                    <w:keepLines w:val="0"/>
                    <w:pageBreakBefore w:val="0"/>
                    <w:widowControl/>
                    <w:kinsoku/>
                    <w:wordWrap/>
                    <w:overflowPunct/>
                    <w:topLinePunct w:val="0"/>
                    <w:autoSpaceDE/>
                    <w:autoSpaceDN/>
                    <w:bidi w:val="0"/>
                    <w:adjustRightInd w:val="0"/>
                    <w:snapToGrid w:val="0"/>
                    <w:ind w:firstLine="0"/>
                    <w:jc w:val="center"/>
                    <w:rPr>
                      <w:color w:val="auto"/>
                      <w:szCs w:val="21"/>
                    </w:rPr>
                  </w:pPr>
                </w:p>
              </w:tc>
              <w:tc>
                <w:tcPr>
                  <w:tcW w:w="368" w:type="dxa"/>
                  <w:vAlign w:val="center"/>
                </w:tcPr>
                <w:p w14:paraId="2C2401B6">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5</w:t>
                  </w:r>
                </w:p>
              </w:tc>
              <w:tc>
                <w:tcPr>
                  <w:tcW w:w="341" w:type="dxa"/>
                  <w:vAlign w:val="center"/>
                </w:tcPr>
                <w:p w14:paraId="7BCF4737">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15</w:t>
                  </w:r>
                </w:p>
              </w:tc>
              <w:tc>
                <w:tcPr>
                  <w:tcW w:w="368" w:type="dxa"/>
                  <w:vAlign w:val="center"/>
                </w:tcPr>
                <w:p w14:paraId="2BDAD009">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1.5</w:t>
                  </w:r>
                </w:p>
              </w:tc>
              <w:tc>
                <w:tcPr>
                  <w:tcW w:w="587" w:type="dxa"/>
                  <w:vAlign w:val="center"/>
                </w:tcPr>
                <w:p w14:paraId="0891D6C9">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南5</w:t>
                  </w:r>
                </w:p>
              </w:tc>
              <w:tc>
                <w:tcPr>
                  <w:tcW w:w="1050" w:type="dxa"/>
                  <w:vAlign w:val="center"/>
                </w:tcPr>
                <w:p w14:paraId="0416A078">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79.62</w:t>
                  </w:r>
                </w:p>
              </w:tc>
              <w:tc>
                <w:tcPr>
                  <w:tcW w:w="450" w:type="dxa"/>
                  <w:vMerge w:val="continue"/>
                  <w:vAlign w:val="center"/>
                </w:tcPr>
                <w:p w14:paraId="24E6DAAE">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p>
              </w:tc>
              <w:tc>
                <w:tcPr>
                  <w:tcW w:w="709" w:type="dxa"/>
                  <w:vAlign w:val="center"/>
                </w:tcPr>
                <w:p w14:paraId="13AF0C86">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25</w:t>
                  </w:r>
                </w:p>
              </w:tc>
              <w:tc>
                <w:tcPr>
                  <w:tcW w:w="722" w:type="dxa"/>
                  <w:vAlign w:val="center"/>
                </w:tcPr>
                <w:p w14:paraId="36459777">
                  <w:pPr>
                    <w:keepNext w:val="0"/>
                    <w:keepLines w:val="0"/>
                    <w:pageBreakBefore w:val="0"/>
                    <w:kinsoku/>
                    <w:wordWrap/>
                    <w:overflowPunct/>
                    <w:topLinePunct w:val="0"/>
                    <w:autoSpaceDE/>
                    <w:autoSpaceDN/>
                    <w:bidi w:val="0"/>
                    <w:adjustRightInd w:val="0"/>
                    <w:snapToGrid w:val="0"/>
                    <w:ind w:firstLine="0"/>
                    <w:jc w:val="center"/>
                    <w:rPr>
                      <w:color w:val="auto"/>
                      <w:szCs w:val="21"/>
                    </w:rPr>
                  </w:pPr>
                  <w:r>
                    <w:rPr>
                      <w:color w:val="auto"/>
                      <w:szCs w:val="21"/>
                    </w:rPr>
                    <w:t>35</w:t>
                  </w:r>
                  <w:r>
                    <w:rPr>
                      <w:rFonts w:hint="eastAsia"/>
                      <w:color w:val="auto"/>
                      <w:szCs w:val="21"/>
                    </w:rPr>
                    <w:t>.35</w:t>
                  </w:r>
                </w:p>
              </w:tc>
              <w:tc>
                <w:tcPr>
                  <w:tcW w:w="722" w:type="dxa"/>
                  <w:vMerge w:val="continue"/>
                  <w:vAlign w:val="center"/>
                </w:tcPr>
                <w:p w14:paraId="01CA3FCA">
                  <w:pPr>
                    <w:keepNext w:val="0"/>
                    <w:keepLines w:val="0"/>
                    <w:pageBreakBefore w:val="0"/>
                    <w:widowControl/>
                    <w:kinsoku/>
                    <w:wordWrap/>
                    <w:overflowPunct/>
                    <w:topLinePunct w:val="0"/>
                    <w:autoSpaceDE/>
                    <w:autoSpaceDN/>
                    <w:bidi w:val="0"/>
                    <w:adjustRightInd w:val="0"/>
                    <w:snapToGrid w:val="0"/>
                    <w:ind w:firstLine="0"/>
                    <w:jc w:val="center"/>
                    <w:rPr>
                      <w:color w:val="auto"/>
                      <w:szCs w:val="21"/>
                    </w:rPr>
                  </w:pPr>
                </w:p>
              </w:tc>
            </w:tr>
            <w:tr w14:paraId="7AEF249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9" w:type="dxa"/>
                  <w:vAlign w:val="center"/>
                </w:tcPr>
                <w:p w14:paraId="6B0842EF">
                  <w:pPr>
                    <w:keepNext w:val="0"/>
                    <w:keepLines w:val="0"/>
                    <w:pageBreakBefore w:val="0"/>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15</w:t>
                  </w:r>
                </w:p>
              </w:tc>
              <w:tc>
                <w:tcPr>
                  <w:tcW w:w="1189" w:type="dxa"/>
                  <w:shd w:val="clear" w:color="auto" w:fill="auto"/>
                  <w:vAlign w:val="center"/>
                </w:tcPr>
                <w:p w14:paraId="20543549">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励磁电机</w:t>
                  </w:r>
                </w:p>
              </w:tc>
              <w:tc>
                <w:tcPr>
                  <w:tcW w:w="464" w:type="dxa"/>
                  <w:vAlign w:val="center"/>
                </w:tcPr>
                <w:p w14:paraId="36748CEB">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2</w:t>
                  </w:r>
                </w:p>
              </w:tc>
              <w:tc>
                <w:tcPr>
                  <w:tcW w:w="682" w:type="dxa"/>
                  <w:vAlign w:val="center"/>
                </w:tcPr>
                <w:p w14:paraId="3D31A5EF">
                  <w:pPr>
                    <w:keepNext w:val="0"/>
                    <w:keepLines w:val="0"/>
                    <w:pageBreakBefore w:val="0"/>
                    <w:kinsoku/>
                    <w:wordWrap/>
                    <w:overflowPunct/>
                    <w:topLinePunct w:val="0"/>
                    <w:autoSpaceDE/>
                    <w:autoSpaceDN/>
                    <w:bidi w:val="0"/>
                    <w:adjustRightInd w:val="0"/>
                    <w:snapToGrid w:val="0"/>
                    <w:ind w:left="-105" w:leftChars="-50" w:right="-105" w:rightChars="-50" w:firstLine="0"/>
                    <w:jc w:val="center"/>
                    <w:rPr>
                      <w:color w:val="auto"/>
                      <w:szCs w:val="21"/>
                    </w:rPr>
                  </w:pPr>
                  <w:r>
                    <w:rPr>
                      <w:rFonts w:hint="eastAsia"/>
                      <w:color w:val="auto"/>
                      <w:szCs w:val="21"/>
                    </w:rPr>
                    <w:t>70-80</w:t>
                  </w:r>
                </w:p>
              </w:tc>
              <w:tc>
                <w:tcPr>
                  <w:tcW w:w="518" w:type="dxa"/>
                  <w:vMerge w:val="continue"/>
                  <w:vAlign w:val="center"/>
                </w:tcPr>
                <w:p w14:paraId="379D6C57">
                  <w:pPr>
                    <w:keepNext w:val="0"/>
                    <w:keepLines w:val="0"/>
                    <w:pageBreakBefore w:val="0"/>
                    <w:widowControl/>
                    <w:kinsoku/>
                    <w:wordWrap/>
                    <w:overflowPunct/>
                    <w:topLinePunct w:val="0"/>
                    <w:autoSpaceDE/>
                    <w:autoSpaceDN/>
                    <w:bidi w:val="0"/>
                    <w:adjustRightInd w:val="0"/>
                    <w:snapToGrid w:val="0"/>
                    <w:ind w:firstLine="0"/>
                    <w:jc w:val="center"/>
                    <w:rPr>
                      <w:color w:val="auto"/>
                      <w:szCs w:val="21"/>
                    </w:rPr>
                  </w:pPr>
                </w:p>
              </w:tc>
              <w:tc>
                <w:tcPr>
                  <w:tcW w:w="368" w:type="dxa"/>
                  <w:vAlign w:val="center"/>
                </w:tcPr>
                <w:p w14:paraId="07E11872">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10</w:t>
                  </w:r>
                </w:p>
              </w:tc>
              <w:tc>
                <w:tcPr>
                  <w:tcW w:w="341" w:type="dxa"/>
                  <w:vAlign w:val="center"/>
                </w:tcPr>
                <w:p w14:paraId="4EA131CB">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8</w:t>
                  </w:r>
                </w:p>
              </w:tc>
              <w:tc>
                <w:tcPr>
                  <w:tcW w:w="368" w:type="dxa"/>
                  <w:vAlign w:val="center"/>
                </w:tcPr>
                <w:p w14:paraId="135A342D">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1.5</w:t>
                  </w:r>
                </w:p>
              </w:tc>
              <w:tc>
                <w:tcPr>
                  <w:tcW w:w="587" w:type="dxa"/>
                  <w:vAlign w:val="center"/>
                </w:tcPr>
                <w:p w14:paraId="7B572434">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北10</w:t>
                  </w:r>
                </w:p>
              </w:tc>
              <w:tc>
                <w:tcPr>
                  <w:tcW w:w="1050" w:type="dxa"/>
                  <w:vAlign w:val="center"/>
                </w:tcPr>
                <w:p w14:paraId="32E7E0D1">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77.58</w:t>
                  </w:r>
                </w:p>
              </w:tc>
              <w:tc>
                <w:tcPr>
                  <w:tcW w:w="450" w:type="dxa"/>
                  <w:vMerge w:val="continue"/>
                  <w:vAlign w:val="center"/>
                </w:tcPr>
                <w:p w14:paraId="69889005">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p>
              </w:tc>
              <w:tc>
                <w:tcPr>
                  <w:tcW w:w="709" w:type="dxa"/>
                  <w:vAlign w:val="center"/>
                </w:tcPr>
                <w:p w14:paraId="1C627B24">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25</w:t>
                  </w:r>
                </w:p>
              </w:tc>
              <w:tc>
                <w:tcPr>
                  <w:tcW w:w="722" w:type="dxa"/>
                  <w:vAlign w:val="center"/>
                </w:tcPr>
                <w:p w14:paraId="32C875AC">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32.35</w:t>
                  </w:r>
                </w:p>
              </w:tc>
              <w:tc>
                <w:tcPr>
                  <w:tcW w:w="722" w:type="dxa"/>
                  <w:vMerge w:val="continue"/>
                  <w:vAlign w:val="center"/>
                </w:tcPr>
                <w:p w14:paraId="7E907FE9">
                  <w:pPr>
                    <w:keepNext w:val="0"/>
                    <w:keepLines w:val="0"/>
                    <w:pageBreakBefore w:val="0"/>
                    <w:widowControl/>
                    <w:kinsoku/>
                    <w:wordWrap/>
                    <w:overflowPunct/>
                    <w:topLinePunct w:val="0"/>
                    <w:autoSpaceDE/>
                    <w:autoSpaceDN/>
                    <w:bidi w:val="0"/>
                    <w:adjustRightInd w:val="0"/>
                    <w:snapToGrid w:val="0"/>
                    <w:ind w:firstLine="0"/>
                    <w:jc w:val="center"/>
                    <w:rPr>
                      <w:color w:val="auto"/>
                      <w:szCs w:val="21"/>
                    </w:rPr>
                  </w:pPr>
                </w:p>
              </w:tc>
            </w:tr>
            <w:tr w14:paraId="0F08955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289" w:type="dxa"/>
                  <w:vAlign w:val="center"/>
                </w:tcPr>
                <w:p w14:paraId="27B269C7">
                  <w:pPr>
                    <w:keepNext w:val="0"/>
                    <w:keepLines w:val="0"/>
                    <w:pageBreakBefore w:val="0"/>
                    <w:kinsoku/>
                    <w:wordWrap/>
                    <w:overflowPunct/>
                    <w:topLinePunct w:val="0"/>
                    <w:autoSpaceDE/>
                    <w:autoSpaceDN/>
                    <w:bidi w:val="0"/>
                    <w:adjustRightInd w:val="0"/>
                    <w:snapToGrid w:val="0"/>
                    <w:ind w:right="-42" w:rightChars="-20" w:firstLine="0"/>
                    <w:jc w:val="center"/>
                    <w:textAlignment w:val="baseline"/>
                    <w:rPr>
                      <w:color w:val="auto"/>
                      <w:szCs w:val="21"/>
                    </w:rPr>
                  </w:pPr>
                  <w:r>
                    <w:rPr>
                      <w:rFonts w:hint="eastAsia"/>
                      <w:color w:val="auto"/>
                      <w:szCs w:val="21"/>
                    </w:rPr>
                    <w:t>16</w:t>
                  </w:r>
                </w:p>
              </w:tc>
              <w:tc>
                <w:tcPr>
                  <w:tcW w:w="1189" w:type="dxa"/>
                  <w:shd w:val="clear" w:color="auto" w:fill="auto"/>
                  <w:vAlign w:val="center"/>
                </w:tcPr>
                <w:p w14:paraId="79BAB94F">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老化房</w:t>
                  </w:r>
                </w:p>
              </w:tc>
              <w:tc>
                <w:tcPr>
                  <w:tcW w:w="464" w:type="dxa"/>
                  <w:vAlign w:val="center"/>
                </w:tcPr>
                <w:p w14:paraId="716263FC">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1</w:t>
                  </w:r>
                </w:p>
              </w:tc>
              <w:tc>
                <w:tcPr>
                  <w:tcW w:w="682" w:type="dxa"/>
                  <w:vAlign w:val="center"/>
                </w:tcPr>
                <w:p w14:paraId="42B58663">
                  <w:pPr>
                    <w:keepNext w:val="0"/>
                    <w:keepLines w:val="0"/>
                    <w:pageBreakBefore w:val="0"/>
                    <w:kinsoku/>
                    <w:wordWrap/>
                    <w:overflowPunct/>
                    <w:topLinePunct w:val="0"/>
                    <w:autoSpaceDE/>
                    <w:autoSpaceDN/>
                    <w:bidi w:val="0"/>
                    <w:adjustRightInd w:val="0"/>
                    <w:snapToGrid w:val="0"/>
                    <w:ind w:left="-105" w:leftChars="-50" w:right="-105" w:rightChars="-50" w:firstLine="0"/>
                    <w:jc w:val="center"/>
                    <w:rPr>
                      <w:color w:val="auto"/>
                      <w:szCs w:val="21"/>
                    </w:rPr>
                  </w:pPr>
                  <w:r>
                    <w:rPr>
                      <w:rFonts w:hint="eastAsia"/>
                      <w:color w:val="auto"/>
                      <w:szCs w:val="21"/>
                    </w:rPr>
                    <w:t>70-80</w:t>
                  </w:r>
                </w:p>
              </w:tc>
              <w:tc>
                <w:tcPr>
                  <w:tcW w:w="518" w:type="dxa"/>
                  <w:vMerge w:val="continue"/>
                  <w:vAlign w:val="center"/>
                </w:tcPr>
                <w:p w14:paraId="39F6995C">
                  <w:pPr>
                    <w:keepNext w:val="0"/>
                    <w:keepLines w:val="0"/>
                    <w:pageBreakBefore w:val="0"/>
                    <w:widowControl/>
                    <w:kinsoku/>
                    <w:wordWrap/>
                    <w:overflowPunct/>
                    <w:topLinePunct w:val="0"/>
                    <w:autoSpaceDE/>
                    <w:autoSpaceDN/>
                    <w:bidi w:val="0"/>
                    <w:adjustRightInd w:val="0"/>
                    <w:snapToGrid w:val="0"/>
                    <w:ind w:firstLine="0"/>
                    <w:jc w:val="center"/>
                    <w:rPr>
                      <w:color w:val="auto"/>
                      <w:szCs w:val="21"/>
                    </w:rPr>
                  </w:pPr>
                </w:p>
              </w:tc>
              <w:tc>
                <w:tcPr>
                  <w:tcW w:w="368" w:type="dxa"/>
                  <w:vAlign w:val="center"/>
                </w:tcPr>
                <w:p w14:paraId="6A64E32D">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8</w:t>
                  </w:r>
                </w:p>
              </w:tc>
              <w:tc>
                <w:tcPr>
                  <w:tcW w:w="341" w:type="dxa"/>
                  <w:vAlign w:val="center"/>
                </w:tcPr>
                <w:p w14:paraId="3E663503">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15</w:t>
                  </w:r>
                </w:p>
              </w:tc>
              <w:tc>
                <w:tcPr>
                  <w:tcW w:w="368" w:type="dxa"/>
                  <w:vAlign w:val="center"/>
                </w:tcPr>
                <w:p w14:paraId="0AAD9161">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1.5</w:t>
                  </w:r>
                </w:p>
              </w:tc>
              <w:tc>
                <w:tcPr>
                  <w:tcW w:w="587" w:type="dxa"/>
                  <w:vAlign w:val="center"/>
                </w:tcPr>
                <w:p w14:paraId="0E418602">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西</w:t>
                  </w:r>
                  <w:r>
                    <w:rPr>
                      <w:rFonts w:hint="eastAsia"/>
                      <w:color w:val="auto"/>
                      <w:szCs w:val="21"/>
                    </w:rPr>
                    <w:t>4</w:t>
                  </w:r>
                </w:p>
              </w:tc>
              <w:tc>
                <w:tcPr>
                  <w:tcW w:w="1050" w:type="dxa"/>
                  <w:vAlign w:val="center"/>
                </w:tcPr>
                <w:p w14:paraId="25444538">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76.15</w:t>
                  </w:r>
                </w:p>
              </w:tc>
              <w:tc>
                <w:tcPr>
                  <w:tcW w:w="450" w:type="dxa"/>
                  <w:vMerge w:val="continue"/>
                  <w:vAlign w:val="center"/>
                </w:tcPr>
                <w:p w14:paraId="5E2DAC07">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p>
              </w:tc>
              <w:tc>
                <w:tcPr>
                  <w:tcW w:w="709" w:type="dxa"/>
                  <w:vAlign w:val="center"/>
                </w:tcPr>
                <w:p w14:paraId="1754F51B">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rPr>
                    <w:t>25</w:t>
                  </w:r>
                </w:p>
              </w:tc>
              <w:tc>
                <w:tcPr>
                  <w:tcW w:w="722" w:type="dxa"/>
                  <w:vAlign w:val="center"/>
                </w:tcPr>
                <w:p w14:paraId="1D14DF8E">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color w:val="auto"/>
                      <w:szCs w:val="21"/>
                    </w:rPr>
                    <w:t>32.42</w:t>
                  </w:r>
                </w:p>
              </w:tc>
              <w:tc>
                <w:tcPr>
                  <w:tcW w:w="722" w:type="dxa"/>
                  <w:vMerge w:val="continue"/>
                  <w:vAlign w:val="center"/>
                </w:tcPr>
                <w:p w14:paraId="50E31BA0">
                  <w:pPr>
                    <w:keepNext w:val="0"/>
                    <w:keepLines w:val="0"/>
                    <w:pageBreakBefore w:val="0"/>
                    <w:widowControl/>
                    <w:kinsoku/>
                    <w:wordWrap/>
                    <w:overflowPunct/>
                    <w:topLinePunct w:val="0"/>
                    <w:autoSpaceDE/>
                    <w:autoSpaceDN/>
                    <w:bidi w:val="0"/>
                    <w:adjustRightInd w:val="0"/>
                    <w:snapToGrid w:val="0"/>
                    <w:ind w:firstLine="0"/>
                    <w:jc w:val="center"/>
                    <w:rPr>
                      <w:color w:val="auto"/>
                      <w:szCs w:val="21"/>
                    </w:rPr>
                  </w:pPr>
                </w:p>
              </w:tc>
            </w:tr>
          </w:tbl>
          <w:p w14:paraId="7B9F06CB">
            <w:pPr>
              <w:widowControl/>
              <w:adjustRightInd w:val="0"/>
              <w:snapToGrid w:val="0"/>
              <w:spacing w:before="120" w:beforeLines="50"/>
              <w:ind w:firstLine="482" w:firstLineChars="200"/>
              <w:jc w:val="center"/>
              <w:rPr>
                <w:b/>
                <w:color w:val="auto"/>
                <w:sz w:val="24"/>
              </w:rPr>
            </w:pPr>
            <w:r>
              <w:rPr>
                <w:rFonts w:hint="eastAsia"/>
                <w:b/>
                <w:color w:val="auto"/>
                <w:sz w:val="24"/>
              </w:rPr>
              <w:t>表4-1</w:t>
            </w:r>
            <w:r>
              <w:rPr>
                <w:rFonts w:hint="eastAsia"/>
                <w:b/>
                <w:color w:val="auto"/>
                <w:sz w:val="24"/>
                <w:lang w:val="en-US" w:eastAsia="zh-CN"/>
              </w:rPr>
              <w:t>7</w:t>
            </w:r>
            <w:r>
              <w:rPr>
                <w:rFonts w:hint="eastAsia"/>
                <w:b/>
                <w:color w:val="auto"/>
                <w:sz w:val="24"/>
              </w:rPr>
              <w:t>拟建项目噪声产生及治理情况（室外声源）</w:t>
            </w:r>
          </w:p>
          <w:tbl>
            <w:tblPr>
              <w:tblStyle w:val="89"/>
              <w:tblW w:w="84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8"/>
              <w:gridCol w:w="690"/>
              <w:gridCol w:w="735"/>
              <w:gridCol w:w="435"/>
              <w:gridCol w:w="360"/>
              <w:gridCol w:w="555"/>
              <w:gridCol w:w="930"/>
              <w:gridCol w:w="1005"/>
              <w:gridCol w:w="2280"/>
              <w:gridCol w:w="1121"/>
            </w:tblGrid>
            <w:tr w14:paraId="0407A2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8" w:type="dxa"/>
                  <w:vMerge w:val="restart"/>
                  <w:tcBorders>
                    <w:tl2br w:val="nil"/>
                    <w:tr2bl w:val="nil"/>
                  </w:tcBorders>
                  <w:vAlign w:val="center"/>
                </w:tcPr>
                <w:p w14:paraId="059800DF">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r>
                    <w:rPr>
                      <w:bCs/>
                      <w:color w:val="auto"/>
                      <w:szCs w:val="21"/>
                    </w:rPr>
                    <w:t>序号</w:t>
                  </w:r>
                </w:p>
              </w:tc>
              <w:tc>
                <w:tcPr>
                  <w:tcW w:w="690" w:type="dxa"/>
                  <w:vMerge w:val="restart"/>
                  <w:tcBorders>
                    <w:tl2br w:val="nil"/>
                    <w:tr2bl w:val="nil"/>
                  </w:tcBorders>
                  <w:vAlign w:val="center"/>
                </w:tcPr>
                <w:p w14:paraId="32FE54A1">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r>
                    <w:rPr>
                      <w:bCs/>
                      <w:color w:val="auto"/>
                      <w:szCs w:val="21"/>
                    </w:rPr>
                    <w:t>声源名称</w:t>
                  </w:r>
                </w:p>
              </w:tc>
              <w:tc>
                <w:tcPr>
                  <w:tcW w:w="735" w:type="dxa"/>
                  <w:vMerge w:val="restart"/>
                  <w:tcBorders>
                    <w:tl2br w:val="nil"/>
                    <w:tr2bl w:val="nil"/>
                  </w:tcBorders>
                  <w:vAlign w:val="center"/>
                </w:tcPr>
                <w:p w14:paraId="4077B0C6">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r>
                    <w:rPr>
                      <w:rFonts w:hint="eastAsia"/>
                      <w:bCs/>
                      <w:color w:val="auto"/>
                      <w:szCs w:val="21"/>
                    </w:rPr>
                    <w:t>编</w:t>
                  </w:r>
                  <w:r>
                    <w:rPr>
                      <w:bCs/>
                      <w:color w:val="auto"/>
                      <w:szCs w:val="21"/>
                    </w:rPr>
                    <w:t>号</w:t>
                  </w:r>
                </w:p>
              </w:tc>
              <w:tc>
                <w:tcPr>
                  <w:tcW w:w="1350" w:type="dxa"/>
                  <w:gridSpan w:val="3"/>
                  <w:tcBorders>
                    <w:tl2br w:val="nil"/>
                    <w:tr2bl w:val="nil"/>
                  </w:tcBorders>
                  <w:vAlign w:val="center"/>
                </w:tcPr>
                <w:p w14:paraId="7980FF8F">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r>
                    <w:rPr>
                      <w:bCs/>
                      <w:color w:val="auto"/>
                      <w:szCs w:val="21"/>
                    </w:rPr>
                    <w:t>空间相对位置/m</w:t>
                  </w:r>
                </w:p>
              </w:tc>
              <w:tc>
                <w:tcPr>
                  <w:tcW w:w="1935" w:type="dxa"/>
                  <w:gridSpan w:val="2"/>
                  <w:tcBorders>
                    <w:tl2br w:val="nil"/>
                    <w:tr2bl w:val="nil"/>
                  </w:tcBorders>
                  <w:vAlign w:val="center"/>
                </w:tcPr>
                <w:p w14:paraId="47F0FD66">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r>
                    <w:rPr>
                      <w:bCs/>
                      <w:color w:val="auto"/>
                      <w:szCs w:val="21"/>
                    </w:rPr>
                    <w:t>声源源强</w:t>
                  </w:r>
                </w:p>
              </w:tc>
              <w:tc>
                <w:tcPr>
                  <w:tcW w:w="2280" w:type="dxa"/>
                  <w:vMerge w:val="restart"/>
                  <w:tcBorders>
                    <w:tl2br w:val="nil"/>
                    <w:tr2bl w:val="nil"/>
                  </w:tcBorders>
                  <w:vAlign w:val="center"/>
                </w:tcPr>
                <w:p w14:paraId="1DC82E1D">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r>
                    <w:rPr>
                      <w:bCs/>
                      <w:color w:val="auto"/>
                      <w:szCs w:val="21"/>
                    </w:rPr>
                    <w:t>声源控制措施</w:t>
                  </w:r>
                </w:p>
              </w:tc>
              <w:tc>
                <w:tcPr>
                  <w:tcW w:w="1121" w:type="dxa"/>
                  <w:vMerge w:val="restart"/>
                  <w:tcBorders>
                    <w:tl2br w:val="nil"/>
                    <w:tr2bl w:val="nil"/>
                  </w:tcBorders>
                  <w:vAlign w:val="center"/>
                </w:tcPr>
                <w:p w14:paraId="44D36597">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r>
                    <w:rPr>
                      <w:bCs/>
                      <w:color w:val="auto"/>
                      <w:szCs w:val="21"/>
                    </w:rPr>
                    <w:t>运行时段h</w:t>
                  </w:r>
                </w:p>
              </w:tc>
            </w:tr>
            <w:tr w14:paraId="64CE83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8" w:type="dxa"/>
                  <w:vMerge w:val="continue"/>
                  <w:tcBorders>
                    <w:tl2br w:val="nil"/>
                    <w:tr2bl w:val="nil"/>
                  </w:tcBorders>
                  <w:vAlign w:val="center"/>
                </w:tcPr>
                <w:p w14:paraId="76848D35">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p>
              </w:tc>
              <w:tc>
                <w:tcPr>
                  <w:tcW w:w="690" w:type="dxa"/>
                  <w:vMerge w:val="continue"/>
                  <w:tcBorders>
                    <w:tl2br w:val="nil"/>
                    <w:tr2bl w:val="nil"/>
                  </w:tcBorders>
                  <w:vAlign w:val="center"/>
                </w:tcPr>
                <w:p w14:paraId="6971B94C">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p>
              </w:tc>
              <w:tc>
                <w:tcPr>
                  <w:tcW w:w="735" w:type="dxa"/>
                  <w:vMerge w:val="continue"/>
                  <w:tcBorders>
                    <w:tl2br w:val="nil"/>
                    <w:tr2bl w:val="nil"/>
                  </w:tcBorders>
                  <w:vAlign w:val="center"/>
                </w:tcPr>
                <w:p w14:paraId="3C81DF0D">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p>
              </w:tc>
              <w:tc>
                <w:tcPr>
                  <w:tcW w:w="435" w:type="dxa"/>
                  <w:tcBorders>
                    <w:tl2br w:val="nil"/>
                    <w:tr2bl w:val="nil"/>
                  </w:tcBorders>
                  <w:vAlign w:val="center"/>
                </w:tcPr>
                <w:p w14:paraId="686710DD">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r>
                    <w:rPr>
                      <w:bCs/>
                      <w:color w:val="auto"/>
                      <w:szCs w:val="21"/>
                    </w:rPr>
                    <w:t>X</w:t>
                  </w:r>
                </w:p>
              </w:tc>
              <w:tc>
                <w:tcPr>
                  <w:tcW w:w="360" w:type="dxa"/>
                  <w:tcBorders>
                    <w:tl2br w:val="nil"/>
                    <w:tr2bl w:val="nil"/>
                  </w:tcBorders>
                  <w:vAlign w:val="center"/>
                </w:tcPr>
                <w:p w14:paraId="26C2E483">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r>
                    <w:rPr>
                      <w:bCs/>
                      <w:color w:val="auto"/>
                      <w:szCs w:val="21"/>
                    </w:rPr>
                    <w:t>Y</w:t>
                  </w:r>
                </w:p>
              </w:tc>
              <w:tc>
                <w:tcPr>
                  <w:tcW w:w="555" w:type="dxa"/>
                  <w:tcBorders>
                    <w:tl2br w:val="nil"/>
                    <w:tr2bl w:val="nil"/>
                  </w:tcBorders>
                  <w:vAlign w:val="center"/>
                </w:tcPr>
                <w:p w14:paraId="69F4FBD0">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r>
                    <w:rPr>
                      <w:bCs/>
                      <w:color w:val="auto"/>
                      <w:szCs w:val="21"/>
                    </w:rPr>
                    <w:t>Z</w:t>
                  </w:r>
                </w:p>
              </w:tc>
              <w:tc>
                <w:tcPr>
                  <w:tcW w:w="930" w:type="dxa"/>
                  <w:tcBorders>
                    <w:tl2br w:val="nil"/>
                    <w:tr2bl w:val="nil"/>
                  </w:tcBorders>
                  <w:vAlign w:val="center"/>
                </w:tcPr>
                <w:p w14:paraId="74B3F0B7">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r>
                    <w:rPr>
                      <w:bCs/>
                      <w:color w:val="auto"/>
                      <w:szCs w:val="21"/>
                    </w:rPr>
                    <w:t>声压级</w:t>
                  </w:r>
                </w:p>
              </w:tc>
              <w:tc>
                <w:tcPr>
                  <w:tcW w:w="1005" w:type="dxa"/>
                  <w:tcBorders>
                    <w:tl2br w:val="nil"/>
                    <w:tr2bl w:val="nil"/>
                  </w:tcBorders>
                  <w:vAlign w:val="center"/>
                </w:tcPr>
                <w:p w14:paraId="5F729E2C">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r>
                    <w:rPr>
                      <w:bCs/>
                      <w:color w:val="auto"/>
                      <w:szCs w:val="21"/>
                    </w:rPr>
                    <w:t>距声源距离/m</w:t>
                  </w:r>
                </w:p>
              </w:tc>
              <w:tc>
                <w:tcPr>
                  <w:tcW w:w="2280" w:type="dxa"/>
                  <w:vMerge w:val="continue"/>
                  <w:tcBorders>
                    <w:tl2br w:val="nil"/>
                    <w:tr2bl w:val="nil"/>
                  </w:tcBorders>
                  <w:vAlign w:val="center"/>
                </w:tcPr>
                <w:p w14:paraId="7A15EAB4">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p>
              </w:tc>
              <w:tc>
                <w:tcPr>
                  <w:tcW w:w="1121" w:type="dxa"/>
                  <w:vMerge w:val="continue"/>
                  <w:tcBorders>
                    <w:tl2br w:val="nil"/>
                    <w:tr2bl w:val="nil"/>
                  </w:tcBorders>
                  <w:vAlign w:val="center"/>
                </w:tcPr>
                <w:p w14:paraId="5557C63A">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p>
              </w:tc>
            </w:tr>
            <w:tr w14:paraId="7DFAFD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8" w:type="dxa"/>
                  <w:tcBorders>
                    <w:tl2br w:val="nil"/>
                    <w:tr2bl w:val="nil"/>
                  </w:tcBorders>
                  <w:vAlign w:val="center"/>
                </w:tcPr>
                <w:p w14:paraId="20BE4E3D">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r>
                    <w:rPr>
                      <w:rFonts w:hint="eastAsia"/>
                      <w:bCs/>
                      <w:color w:val="auto"/>
                      <w:szCs w:val="21"/>
                    </w:rPr>
                    <w:t>1</w:t>
                  </w:r>
                </w:p>
              </w:tc>
              <w:tc>
                <w:tcPr>
                  <w:tcW w:w="690" w:type="dxa"/>
                  <w:tcBorders>
                    <w:tl2br w:val="nil"/>
                    <w:tr2bl w:val="nil"/>
                  </w:tcBorders>
                  <w:vAlign w:val="center"/>
                </w:tcPr>
                <w:p w14:paraId="7705AD37">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r>
                    <w:rPr>
                      <w:rFonts w:hint="eastAsia"/>
                      <w:bCs/>
                      <w:color w:val="auto"/>
                      <w:szCs w:val="21"/>
                    </w:rPr>
                    <w:t>风机</w:t>
                  </w:r>
                </w:p>
              </w:tc>
              <w:tc>
                <w:tcPr>
                  <w:tcW w:w="735" w:type="dxa"/>
                  <w:tcBorders>
                    <w:tl2br w:val="nil"/>
                    <w:tr2bl w:val="nil"/>
                  </w:tcBorders>
                  <w:shd w:val="clear" w:color="auto" w:fill="auto"/>
                  <w:vAlign w:val="center"/>
                </w:tcPr>
                <w:p w14:paraId="25180F71">
                  <w:pPr>
                    <w:keepNext w:val="0"/>
                    <w:keepLines w:val="0"/>
                    <w:pageBreakBefore w:val="0"/>
                    <w:widowControl w:val="0"/>
                    <w:kinsoku/>
                    <w:wordWrap/>
                    <w:overflowPunct/>
                    <w:topLinePunct w:val="0"/>
                    <w:bidi w:val="0"/>
                    <w:adjustRightInd w:val="0"/>
                    <w:snapToGrid w:val="0"/>
                    <w:ind w:left="-42" w:leftChars="-20" w:right="-42" w:rightChars="-20"/>
                    <w:jc w:val="center"/>
                    <w:textAlignment w:val="auto"/>
                    <w:rPr>
                      <w:color w:val="auto"/>
                      <w:szCs w:val="21"/>
                    </w:rPr>
                  </w:pPr>
                  <w:r>
                    <w:rPr>
                      <w:color w:val="auto"/>
                      <w:szCs w:val="21"/>
                    </w:rPr>
                    <w:t>TA00</w:t>
                  </w:r>
                  <w:r>
                    <w:rPr>
                      <w:rFonts w:hint="eastAsia"/>
                      <w:color w:val="auto"/>
                      <w:szCs w:val="21"/>
                    </w:rPr>
                    <w:t>1</w:t>
                  </w:r>
                </w:p>
              </w:tc>
              <w:tc>
                <w:tcPr>
                  <w:tcW w:w="435" w:type="dxa"/>
                  <w:tcBorders>
                    <w:tl2br w:val="nil"/>
                    <w:tr2bl w:val="nil"/>
                  </w:tcBorders>
                  <w:vAlign w:val="center"/>
                </w:tcPr>
                <w:p w14:paraId="20B878F8">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r>
                    <w:rPr>
                      <w:rFonts w:hint="eastAsia"/>
                      <w:bCs/>
                      <w:color w:val="auto"/>
                      <w:szCs w:val="21"/>
                    </w:rPr>
                    <w:t>20</w:t>
                  </w:r>
                </w:p>
              </w:tc>
              <w:tc>
                <w:tcPr>
                  <w:tcW w:w="360" w:type="dxa"/>
                  <w:tcBorders>
                    <w:tl2br w:val="nil"/>
                    <w:tr2bl w:val="nil"/>
                  </w:tcBorders>
                  <w:vAlign w:val="center"/>
                </w:tcPr>
                <w:p w14:paraId="44783670">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r>
                    <w:rPr>
                      <w:rFonts w:hint="eastAsia"/>
                      <w:bCs/>
                      <w:color w:val="auto"/>
                      <w:szCs w:val="21"/>
                    </w:rPr>
                    <w:t>5</w:t>
                  </w:r>
                </w:p>
              </w:tc>
              <w:tc>
                <w:tcPr>
                  <w:tcW w:w="555" w:type="dxa"/>
                  <w:tcBorders>
                    <w:tl2br w:val="nil"/>
                    <w:tr2bl w:val="nil"/>
                  </w:tcBorders>
                  <w:vAlign w:val="center"/>
                </w:tcPr>
                <w:p w14:paraId="76501E12">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r>
                    <w:rPr>
                      <w:rFonts w:hint="eastAsia"/>
                      <w:bCs/>
                      <w:color w:val="auto"/>
                      <w:szCs w:val="21"/>
                    </w:rPr>
                    <w:t>1.5</w:t>
                  </w:r>
                </w:p>
              </w:tc>
              <w:tc>
                <w:tcPr>
                  <w:tcW w:w="930" w:type="dxa"/>
                  <w:tcBorders>
                    <w:tl2br w:val="nil"/>
                    <w:tr2bl w:val="nil"/>
                  </w:tcBorders>
                  <w:vAlign w:val="center"/>
                </w:tcPr>
                <w:p w14:paraId="7893C95F">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r>
                    <w:rPr>
                      <w:rFonts w:hint="eastAsia"/>
                      <w:bCs/>
                      <w:color w:val="auto"/>
                      <w:szCs w:val="21"/>
                    </w:rPr>
                    <w:t>80-90</w:t>
                  </w:r>
                </w:p>
              </w:tc>
              <w:tc>
                <w:tcPr>
                  <w:tcW w:w="1005" w:type="dxa"/>
                  <w:tcBorders>
                    <w:tl2br w:val="nil"/>
                    <w:tr2bl w:val="nil"/>
                  </w:tcBorders>
                  <w:vAlign w:val="center"/>
                </w:tcPr>
                <w:p w14:paraId="3C2BCCD4">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r>
                    <w:rPr>
                      <w:rFonts w:hint="eastAsia"/>
                      <w:bCs/>
                      <w:color w:val="auto"/>
                      <w:szCs w:val="21"/>
                    </w:rPr>
                    <w:t>1</w:t>
                  </w:r>
                </w:p>
              </w:tc>
              <w:tc>
                <w:tcPr>
                  <w:tcW w:w="2280" w:type="dxa"/>
                  <w:vMerge w:val="restart"/>
                  <w:tcBorders>
                    <w:tl2br w:val="nil"/>
                    <w:tr2bl w:val="nil"/>
                  </w:tcBorders>
                  <w:vAlign w:val="center"/>
                </w:tcPr>
                <w:p w14:paraId="7C46E684">
                  <w:pPr>
                    <w:keepNext w:val="0"/>
                    <w:keepLines w:val="0"/>
                    <w:pageBreakBefore w:val="0"/>
                    <w:widowControl w:val="0"/>
                    <w:kinsoku/>
                    <w:wordWrap/>
                    <w:overflowPunct/>
                    <w:topLinePunct w:val="0"/>
                    <w:bidi w:val="0"/>
                    <w:adjustRightInd w:val="0"/>
                    <w:snapToGrid w:val="0"/>
                    <w:jc w:val="center"/>
                    <w:textAlignment w:val="auto"/>
                    <w:rPr>
                      <w:color w:val="auto"/>
                    </w:rPr>
                  </w:pPr>
                  <w:r>
                    <w:rPr>
                      <w:rFonts w:hAnsi="宋体"/>
                      <w:bCs/>
                      <w:color w:val="auto"/>
                      <w:szCs w:val="21"/>
                    </w:rPr>
                    <w:t>选用低噪音设备；消声</w:t>
                  </w:r>
                  <w:r>
                    <w:rPr>
                      <w:rFonts w:hint="eastAsia" w:hAnsi="宋体"/>
                      <w:bCs/>
                      <w:color w:val="auto"/>
                      <w:szCs w:val="21"/>
                    </w:rPr>
                    <w:t>减振</w:t>
                  </w:r>
                  <w:r>
                    <w:rPr>
                      <w:rFonts w:hAnsi="宋体"/>
                      <w:bCs/>
                      <w:color w:val="auto"/>
                      <w:szCs w:val="21"/>
                    </w:rPr>
                    <w:t>；加强操作管理和维护；合理布局等</w:t>
                  </w:r>
                </w:p>
              </w:tc>
              <w:tc>
                <w:tcPr>
                  <w:tcW w:w="1121" w:type="dxa"/>
                  <w:vMerge w:val="restart"/>
                  <w:tcBorders>
                    <w:tl2br w:val="nil"/>
                    <w:tr2bl w:val="nil"/>
                  </w:tcBorders>
                  <w:vAlign w:val="center"/>
                </w:tcPr>
                <w:p w14:paraId="5C119444">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bCs/>
                      <w:color w:val="auto"/>
                      <w:szCs w:val="21"/>
                    </w:rPr>
                  </w:pPr>
                  <w:r>
                    <w:rPr>
                      <w:rFonts w:hint="eastAsia" w:hAnsi="宋体"/>
                      <w:color w:val="auto"/>
                    </w:rPr>
                    <w:t>2400</w:t>
                  </w:r>
                </w:p>
              </w:tc>
            </w:tr>
            <w:tr w14:paraId="052B6B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8" w:type="dxa"/>
                  <w:tcBorders>
                    <w:tl2br w:val="nil"/>
                    <w:tr2bl w:val="nil"/>
                  </w:tcBorders>
                  <w:shd w:val="clear" w:color="auto" w:fill="auto"/>
                  <w:vAlign w:val="center"/>
                </w:tcPr>
                <w:p w14:paraId="481B90E6">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r>
                    <w:rPr>
                      <w:rFonts w:hint="eastAsia"/>
                      <w:bCs/>
                      <w:color w:val="auto"/>
                      <w:szCs w:val="21"/>
                    </w:rPr>
                    <w:t>2</w:t>
                  </w:r>
                </w:p>
              </w:tc>
              <w:tc>
                <w:tcPr>
                  <w:tcW w:w="690" w:type="dxa"/>
                  <w:tcBorders>
                    <w:tl2br w:val="nil"/>
                    <w:tr2bl w:val="nil"/>
                  </w:tcBorders>
                  <w:shd w:val="clear" w:color="auto" w:fill="auto"/>
                  <w:vAlign w:val="center"/>
                </w:tcPr>
                <w:p w14:paraId="0D0E2B01">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r>
                    <w:rPr>
                      <w:rFonts w:hint="eastAsia"/>
                      <w:bCs/>
                      <w:color w:val="auto"/>
                      <w:szCs w:val="21"/>
                    </w:rPr>
                    <w:t>风机</w:t>
                  </w:r>
                </w:p>
              </w:tc>
              <w:tc>
                <w:tcPr>
                  <w:tcW w:w="735" w:type="dxa"/>
                  <w:tcBorders>
                    <w:tl2br w:val="nil"/>
                    <w:tr2bl w:val="nil"/>
                  </w:tcBorders>
                  <w:shd w:val="clear" w:color="auto" w:fill="auto"/>
                  <w:vAlign w:val="center"/>
                </w:tcPr>
                <w:p w14:paraId="23EE9449">
                  <w:pPr>
                    <w:keepNext w:val="0"/>
                    <w:keepLines w:val="0"/>
                    <w:pageBreakBefore w:val="0"/>
                    <w:widowControl w:val="0"/>
                    <w:kinsoku/>
                    <w:wordWrap/>
                    <w:overflowPunct/>
                    <w:topLinePunct w:val="0"/>
                    <w:bidi w:val="0"/>
                    <w:adjustRightInd w:val="0"/>
                    <w:snapToGrid w:val="0"/>
                    <w:ind w:left="-42" w:leftChars="-20" w:right="-42" w:rightChars="-20"/>
                    <w:jc w:val="center"/>
                    <w:textAlignment w:val="auto"/>
                    <w:rPr>
                      <w:color w:val="auto"/>
                      <w:szCs w:val="21"/>
                    </w:rPr>
                  </w:pPr>
                  <w:r>
                    <w:rPr>
                      <w:color w:val="auto"/>
                      <w:szCs w:val="21"/>
                    </w:rPr>
                    <w:t>TA00</w:t>
                  </w:r>
                  <w:r>
                    <w:rPr>
                      <w:rFonts w:hint="eastAsia"/>
                      <w:color w:val="auto"/>
                      <w:szCs w:val="21"/>
                    </w:rPr>
                    <w:t>2</w:t>
                  </w:r>
                </w:p>
              </w:tc>
              <w:tc>
                <w:tcPr>
                  <w:tcW w:w="435" w:type="dxa"/>
                  <w:tcBorders>
                    <w:tl2br w:val="nil"/>
                    <w:tr2bl w:val="nil"/>
                  </w:tcBorders>
                  <w:shd w:val="clear" w:color="auto" w:fill="auto"/>
                  <w:vAlign w:val="center"/>
                </w:tcPr>
                <w:p w14:paraId="2E316E34">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r>
                    <w:rPr>
                      <w:rFonts w:hint="eastAsia"/>
                      <w:bCs/>
                      <w:color w:val="auto"/>
                      <w:szCs w:val="21"/>
                    </w:rPr>
                    <w:t>15</w:t>
                  </w:r>
                </w:p>
              </w:tc>
              <w:tc>
                <w:tcPr>
                  <w:tcW w:w="360" w:type="dxa"/>
                  <w:tcBorders>
                    <w:tl2br w:val="nil"/>
                    <w:tr2bl w:val="nil"/>
                  </w:tcBorders>
                  <w:shd w:val="clear" w:color="auto" w:fill="auto"/>
                  <w:vAlign w:val="center"/>
                </w:tcPr>
                <w:p w14:paraId="0D3E8FD2">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r>
                    <w:rPr>
                      <w:rFonts w:hint="eastAsia"/>
                      <w:bCs/>
                      <w:color w:val="auto"/>
                      <w:szCs w:val="21"/>
                    </w:rPr>
                    <w:t>5</w:t>
                  </w:r>
                </w:p>
              </w:tc>
              <w:tc>
                <w:tcPr>
                  <w:tcW w:w="555" w:type="dxa"/>
                  <w:tcBorders>
                    <w:tl2br w:val="nil"/>
                    <w:tr2bl w:val="nil"/>
                  </w:tcBorders>
                  <w:shd w:val="clear" w:color="auto" w:fill="auto"/>
                  <w:vAlign w:val="center"/>
                </w:tcPr>
                <w:p w14:paraId="6CE4BE95">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r>
                    <w:rPr>
                      <w:rFonts w:hint="eastAsia"/>
                      <w:bCs/>
                      <w:color w:val="auto"/>
                      <w:szCs w:val="21"/>
                    </w:rPr>
                    <w:t>1.5</w:t>
                  </w:r>
                </w:p>
              </w:tc>
              <w:tc>
                <w:tcPr>
                  <w:tcW w:w="930" w:type="dxa"/>
                  <w:tcBorders>
                    <w:tl2br w:val="nil"/>
                    <w:tr2bl w:val="nil"/>
                  </w:tcBorders>
                  <w:shd w:val="clear" w:color="auto" w:fill="auto"/>
                  <w:vAlign w:val="center"/>
                </w:tcPr>
                <w:p w14:paraId="2F8C58D9">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r>
                    <w:rPr>
                      <w:rFonts w:hint="eastAsia"/>
                      <w:bCs/>
                      <w:color w:val="auto"/>
                      <w:szCs w:val="21"/>
                    </w:rPr>
                    <w:t>80-90</w:t>
                  </w:r>
                </w:p>
              </w:tc>
              <w:tc>
                <w:tcPr>
                  <w:tcW w:w="1005" w:type="dxa"/>
                  <w:tcBorders>
                    <w:tl2br w:val="nil"/>
                    <w:tr2bl w:val="nil"/>
                  </w:tcBorders>
                  <w:shd w:val="clear" w:color="auto" w:fill="auto"/>
                  <w:vAlign w:val="center"/>
                </w:tcPr>
                <w:p w14:paraId="59B539F5">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r>
                    <w:rPr>
                      <w:rFonts w:hint="eastAsia"/>
                      <w:bCs/>
                      <w:color w:val="auto"/>
                      <w:szCs w:val="21"/>
                    </w:rPr>
                    <w:t>1</w:t>
                  </w:r>
                </w:p>
              </w:tc>
              <w:tc>
                <w:tcPr>
                  <w:tcW w:w="2280" w:type="dxa"/>
                  <w:vMerge w:val="continue"/>
                  <w:tcBorders>
                    <w:tl2br w:val="nil"/>
                    <w:tr2bl w:val="nil"/>
                  </w:tcBorders>
                  <w:vAlign w:val="center"/>
                </w:tcPr>
                <w:p w14:paraId="6455273A">
                  <w:pPr>
                    <w:keepNext w:val="0"/>
                    <w:keepLines w:val="0"/>
                    <w:pageBreakBefore w:val="0"/>
                    <w:widowControl w:val="0"/>
                    <w:kinsoku/>
                    <w:wordWrap/>
                    <w:overflowPunct/>
                    <w:topLinePunct w:val="0"/>
                    <w:bidi w:val="0"/>
                    <w:adjustRightInd w:val="0"/>
                    <w:snapToGrid w:val="0"/>
                    <w:jc w:val="center"/>
                    <w:textAlignment w:val="auto"/>
                    <w:rPr>
                      <w:rFonts w:hAnsi="宋体"/>
                      <w:bCs/>
                      <w:color w:val="auto"/>
                      <w:szCs w:val="21"/>
                    </w:rPr>
                  </w:pPr>
                </w:p>
              </w:tc>
              <w:tc>
                <w:tcPr>
                  <w:tcW w:w="1121" w:type="dxa"/>
                  <w:vMerge w:val="continue"/>
                  <w:tcBorders>
                    <w:tl2br w:val="nil"/>
                    <w:tr2bl w:val="nil"/>
                  </w:tcBorders>
                  <w:vAlign w:val="center"/>
                </w:tcPr>
                <w:p w14:paraId="0AA284AD">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Ansi="宋体"/>
                      <w:color w:val="auto"/>
                    </w:rPr>
                  </w:pPr>
                </w:p>
              </w:tc>
            </w:tr>
            <w:tr w14:paraId="0F388F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8" w:type="dxa"/>
                  <w:tcBorders>
                    <w:tl2br w:val="nil"/>
                    <w:tr2bl w:val="nil"/>
                  </w:tcBorders>
                  <w:vAlign w:val="center"/>
                </w:tcPr>
                <w:p w14:paraId="53493117">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r>
                    <w:rPr>
                      <w:rFonts w:hint="eastAsia"/>
                      <w:bCs/>
                      <w:color w:val="auto"/>
                      <w:szCs w:val="21"/>
                    </w:rPr>
                    <w:t>3</w:t>
                  </w:r>
                </w:p>
              </w:tc>
              <w:tc>
                <w:tcPr>
                  <w:tcW w:w="690" w:type="dxa"/>
                  <w:tcBorders>
                    <w:tl2br w:val="nil"/>
                    <w:tr2bl w:val="nil"/>
                  </w:tcBorders>
                  <w:vAlign w:val="center"/>
                </w:tcPr>
                <w:p w14:paraId="1CCD8155">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r>
                    <w:rPr>
                      <w:rFonts w:hint="eastAsia"/>
                      <w:bCs/>
                      <w:color w:val="auto"/>
                      <w:szCs w:val="21"/>
                    </w:rPr>
                    <w:t>风机</w:t>
                  </w:r>
                </w:p>
              </w:tc>
              <w:tc>
                <w:tcPr>
                  <w:tcW w:w="735" w:type="dxa"/>
                  <w:tcBorders>
                    <w:tl2br w:val="nil"/>
                    <w:tr2bl w:val="nil"/>
                  </w:tcBorders>
                  <w:shd w:val="clear" w:color="auto" w:fill="auto"/>
                  <w:vAlign w:val="center"/>
                </w:tcPr>
                <w:p w14:paraId="532D5E15">
                  <w:pPr>
                    <w:keepNext w:val="0"/>
                    <w:keepLines w:val="0"/>
                    <w:pageBreakBefore w:val="0"/>
                    <w:widowControl w:val="0"/>
                    <w:kinsoku/>
                    <w:wordWrap/>
                    <w:overflowPunct/>
                    <w:topLinePunct w:val="0"/>
                    <w:bidi w:val="0"/>
                    <w:adjustRightInd w:val="0"/>
                    <w:snapToGrid w:val="0"/>
                    <w:ind w:left="-42" w:leftChars="-20" w:right="-42" w:rightChars="-20"/>
                    <w:jc w:val="center"/>
                    <w:textAlignment w:val="auto"/>
                    <w:rPr>
                      <w:color w:val="auto"/>
                      <w:szCs w:val="21"/>
                    </w:rPr>
                  </w:pPr>
                  <w:r>
                    <w:rPr>
                      <w:color w:val="auto"/>
                      <w:szCs w:val="21"/>
                    </w:rPr>
                    <w:t>TA00</w:t>
                  </w:r>
                  <w:r>
                    <w:rPr>
                      <w:rFonts w:hint="eastAsia"/>
                      <w:color w:val="auto"/>
                      <w:szCs w:val="21"/>
                    </w:rPr>
                    <w:t>3</w:t>
                  </w:r>
                </w:p>
              </w:tc>
              <w:tc>
                <w:tcPr>
                  <w:tcW w:w="435" w:type="dxa"/>
                  <w:tcBorders>
                    <w:tl2br w:val="nil"/>
                    <w:tr2bl w:val="nil"/>
                  </w:tcBorders>
                  <w:vAlign w:val="center"/>
                </w:tcPr>
                <w:p w14:paraId="0AE5CD57">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r>
                    <w:rPr>
                      <w:rFonts w:hint="eastAsia"/>
                      <w:bCs/>
                      <w:color w:val="auto"/>
                      <w:szCs w:val="21"/>
                    </w:rPr>
                    <w:t>25</w:t>
                  </w:r>
                </w:p>
              </w:tc>
              <w:tc>
                <w:tcPr>
                  <w:tcW w:w="360" w:type="dxa"/>
                  <w:tcBorders>
                    <w:tl2br w:val="nil"/>
                    <w:tr2bl w:val="nil"/>
                  </w:tcBorders>
                  <w:vAlign w:val="center"/>
                </w:tcPr>
                <w:p w14:paraId="08B805B8">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r>
                    <w:rPr>
                      <w:rFonts w:hint="eastAsia"/>
                      <w:bCs/>
                      <w:color w:val="auto"/>
                      <w:szCs w:val="21"/>
                    </w:rPr>
                    <w:t>5</w:t>
                  </w:r>
                </w:p>
              </w:tc>
              <w:tc>
                <w:tcPr>
                  <w:tcW w:w="555" w:type="dxa"/>
                  <w:tcBorders>
                    <w:tl2br w:val="nil"/>
                    <w:tr2bl w:val="nil"/>
                  </w:tcBorders>
                  <w:vAlign w:val="center"/>
                </w:tcPr>
                <w:p w14:paraId="4CEA28F5">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r>
                    <w:rPr>
                      <w:rFonts w:hint="eastAsia"/>
                      <w:bCs/>
                      <w:color w:val="auto"/>
                      <w:szCs w:val="21"/>
                    </w:rPr>
                    <w:t>1.5</w:t>
                  </w:r>
                </w:p>
              </w:tc>
              <w:tc>
                <w:tcPr>
                  <w:tcW w:w="930" w:type="dxa"/>
                  <w:tcBorders>
                    <w:tl2br w:val="nil"/>
                    <w:tr2bl w:val="nil"/>
                  </w:tcBorders>
                  <w:vAlign w:val="center"/>
                </w:tcPr>
                <w:p w14:paraId="774F0261">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r>
                    <w:rPr>
                      <w:rFonts w:hint="eastAsia"/>
                      <w:bCs/>
                      <w:color w:val="auto"/>
                      <w:szCs w:val="21"/>
                    </w:rPr>
                    <w:t>80-90</w:t>
                  </w:r>
                </w:p>
              </w:tc>
              <w:tc>
                <w:tcPr>
                  <w:tcW w:w="1005" w:type="dxa"/>
                  <w:tcBorders>
                    <w:tl2br w:val="nil"/>
                    <w:tr2bl w:val="nil"/>
                  </w:tcBorders>
                  <w:vAlign w:val="center"/>
                </w:tcPr>
                <w:p w14:paraId="51178795">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auto"/>
                      <w:szCs w:val="21"/>
                    </w:rPr>
                  </w:pPr>
                  <w:r>
                    <w:rPr>
                      <w:rFonts w:hint="eastAsia"/>
                      <w:bCs/>
                      <w:color w:val="auto"/>
                      <w:szCs w:val="21"/>
                    </w:rPr>
                    <w:t>1</w:t>
                  </w:r>
                </w:p>
              </w:tc>
              <w:tc>
                <w:tcPr>
                  <w:tcW w:w="2280" w:type="dxa"/>
                  <w:vMerge w:val="continue"/>
                  <w:tcBorders>
                    <w:tl2br w:val="nil"/>
                    <w:tr2bl w:val="nil"/>
                  </w:tcBorders>
                  <w:vAlign w:val="center"/>
                </w:tcPr>
                <w:p w14:paraId="0B08B893">
                  <w:pPr>
                    <w:keepNext w:val="0"/>
                    <w:keepLines w:val="0"/>
                    <w:pageBreakBefore w:val="0"/>
                    <w:widowControl w:val="0"/>
                    <w:kinsoku/>
                    <w:wordWrap/>
                    <w:overflowPunct/>
                    <w:topLinePunct w:val="0"/>
                    <w:bidi w:val="0"/>
                    <w:adjustRightInd w:val="0"/>
                    <w:snapToGrid w:val="0"/>
                    <w:jc w:val="center"/>
                    <w:textAlignment w:val="auto"/>
                    <w:rPr>
                      <w:rFonts w:hAnsi="宋体"/>
                      <w:bCs/>
                      <w:color w:val="auto"/>
                      <w:szCs w:val="21"/>
                    </w:rPr>
                  </w:pPr>
                </w:p>
              </w:tc>
              <w:tc>
                <w:tcPr>
                  <w:tcW w:w="1121" w:type="dxa"/>
                  <w:vMerge w:val="continue"/>
                  <w:tcBorders>
                    <w:tl2br w:val="nil"/>
                    <w:tr2bl w:val="nil"/>
                  </w:tcBorders>
                  <w:vAlign w:val="center"/>
                </w:tcPr>
                <w:p w14:paraId="11F4EC73">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Ansi="宋体"/>
                      <w:color w:val="auto"/>
                    </w:rPr>
                  </w:pPr>
                </w:p>
              </w:tc>
            </w:tr>
          </w:tbl>
          <w:p w14:paraId="7B3CAE1C">
            <w:pPr>
              <w:autoSpaceDE w:val="0"/>
              <w:autoSpaceDN w:val="0"/>
              <w:adjustRightInd w:val="0"/>
              <w:snapToGrid w:val="0"/>
              <w:spacing w:before="120" w:beforeLines="50" w:line="360" w:lineRule="auto"/>
              <w:ind w:firstLine="482" w:firstLineChars="200"/>
              <w:rPr>
                <w:b/>
                <w:color w:val="auto"/>
                <w:sz w:val="24"/>
              </w:rPr>
            </w:pPr>
            <w:r>
              <w:rPr>
                <w:b/>
                <w:color w:val="auto"/>
                <w:sz w:val="24"/>
              </w:rPr>
              <w:t>3.1噪声预测</w:t>
            </w:r>
          </w:p>
          <w:p w14:paraId="39CC014C">
            <w:pPr>
              <w:adjustRightInd w:val="0"/>
              <w:snapToGrid w:val="0"/>
              <w:spacing w:line="360" w:lineRule="auto"/>
              <w:ind w:left="2" w:leftChars="1" w:firstLine="544" w:firstLineChars="227"/>
              <w:jc w:val="left"/>
              <w:rPr>
                <w:rFonts w:ascii="宋体" w:hAnsi="宋体" w:cs="宋体"/>
                <w:color w:val="auto"/>
                <w:szCs w:val="21"/>
              </w:rPr>
            </w:pPr>
            <w:r>
              <w:rPr>
                <w:rFonts w:hint="eastAsia" w:cs="宋体"/>
                <w:bCs/>
                <w:color w:val="auto"/>
                <w:sz w:val="24"/>
                <w:lang w:bidi="ar"/>
              </w:rPr>
              <w:t>本项目噪声主要来源于高压冲床、激光切割机、数控车床、数控磨床、加工中心</w:t>
            </w:r>
            <w:r>
              <w:rPr>
                <w:rFonts w:hint="eastAsia" w:cs="宋体"/>
                <w:color w:val="auto"/>
                <w:sz w:val="24"/>
                <w:lang w:bidi="ar"/>
              </w:rPr>
              <w:t>、空压机、真空泵、风机等设备，噪声值在</w:t>
            </w:r>
            <w:r>
              <w:rPr>
                <w:color w:val="auto"/>
                <w:sz w:val="24"/>
              </w:rPr>
              <w:t>60-</w:t>
            </w:r>
            <w:r>
              <w:rPr>
                <w:rFonts w:hint="eastAsia"/>
                <w:color w:val="auto"/>
                <w:sz w:val="24"/>
              </w:rPr>
              <w:t>90</w:t>
            </w:r>
            <w:r>
              <w:rPr>
                <w:color w:val="auto"/>
                <w:sz w:val="24"/>
                <w:lang w:bidi="ar"/>
              </w:rPr>
              <w:t>dB</w:t>
            </w:r>
            <w:r>
              <w:rPr>
                <w:rFonts w:hint="eastAsia" w:cs="宋体"/>
                <w:color w:val="auto"/>
                <w:sz w:val="24"/>
                <w:lang w:bidi="ar"/>
              </w:rPr>
              <w:t>（</w:t>
            </w:r>
            <w:r>
              <w:rPr>
                <w:color w:val="auto"/>
                <w:sz w:val="24"/>
                <w:lang w:bidi="ar"/>
              </w:rPr>
              <w:t>A</w:t>
            </w:r>
            <w:r>
              <w:rPr>
                <w:rFonts w:hint="eastAsia" w:cs="宋体"/>
                <w:color w:val="auto"/>
                <w:sz w:val="24"/>
                <w:lang w:bidi="ar"/>
              </w:rPr>
              <w:t>）之间。</w:t>
            </w:r>
            <w:r>
              <w:rPr>
                <w:rFonts w:hint="eastAsia" w:ascii="宋体" w:hAnsi="宋体" w:cs="宋体"/>
                <w:color w:val="auto"/>
                <w:sz w:val="24"/>
                <w:szCs w:val="21"/>
                <w:lang w:bidi="ar"/>
              </w:rPr>
              <w:t>主要预测昼间噪声。根据各噪声源的数量、空间位置、声源的作用时间段等情况，先计算各声源噪声到预测点的距离衰减，再计算合成声压级，最后与本底叠加以确定受声点的声压级。</w:t>
            </w:r>
          </w:p>
          <w:p w14:paraId="7AE92001">
            <w:pPr>
              <w:pStyle w:val="81"/>
              <w:adjustRightInd w:val="0"/>
              <w:snapToGrid w:val="0"/>
              <w:spacing w:before="0" w:beforeAutospacing="0" w:after="0" w:afterAutospacing="0" w:line="360" w:lineRule="auto"/>
              <w:ind w:firstLine="480" w:firstLineChars="200"/>
              <w:contextualSpacing/>
              <w:rPr>
                <w:rFonts w:ascii="Times New Roman" w:hAnsi="Times New Roman"/>
                <w:color w:val="auto"/>
                <w:szCs w:val="21"/>
                <w:lang w:val="en-US"/>
              </w:rPr>
            </w:pPr>
            <w:r>
              <w:rPr>
                <w:rFonts w:ascii="Times New Roman" w:hAnsi="Times New Roman"/>
                <w:color w:val="auto"/>
                <w:szCs w:val="21"/>
              </w:rPr>
              <w:t>预测模式：</w:t>
            </w:r>
          </w:p>
          <w:p w14:paraId="40B0A290">
            <w:pPr>
              <w:pStyle w:val="81"/>
              <w:numPr>
                <w:ilvl w:val="0"/>
                <w:numId w:val="4"/>
              </w:numPr>
              <w:adjustRightInd w:val="0"/>
              <w:snapToGrid w:val="0"/>
              <w:spacing w:before="0" w:after="0" w:line="360" w:lineRule="auto"/>
              <w:ind w:left="0" w:firstLine="480" w:firstLineChars="200"/>
              <w:contextualSpacing/>
              <w:rPr>
                <w:rFonts w:ascii="Times New Roman" w:hAnsi="Times New Roman"/>
                <w:color w:val="auto"/>
                <w:szCs w:val="21"/>
                <w:lang w:val="en-US"/>
              </w:rPr>
            </w:pPr>
            <w:r>
              <w:rPr>
                <w:rFonts w:ascii="Times New Roman" w:hAnsi="Times New Roman"/>
                <w:color w:val="auto"/>
                <w:szCs w:val="21"/>
              </w:rPr>
              <w:t>预测点的预测等效声级</w:t>
            </w:r>
          </w:p>
          <w:p w14:paraId="3B7B2049">
            <w:pPr>
              <w:pStyle w:val="81"/>
              <w:adjustRightInd w:val="0"/>
              <w:snapToGrid w:val="0"/>
              <w:spacing w:before="0" w:after="0" w:line="360" w:lineRule="auto"/>
              <w:ind w:firstLine="480" w:firstLineChars="200"/>
              <w:contextualSpacing/>
              <w:jc w:val="center"/>
              <w:rPr>
                <w:rFonts w:ascii="Times New Roman" w:hAnsi="Times New Roman"/>
                <w:color w:val="auto"/>
                <w:szCs w:val="21"/>
                <w:lang w:val="en-US"/>
              </w:rPr>
            </w:pPr>
            <w:r>
              <w:rPr>
                <w:rFonts w:ascii="Times New Roman" w:hAnsi="Times New Roman"/>
                <w:color w:val="auto"/>
                <w:position w:val="-30"/>
                <w:szCs w:val="21"/>
                <w:lang w:val="en-US"/>
              </w:rPr>
              <w:drawing>
                <wp:inline distT="0" distB="0" distL="114300" distR="114300">
                  <wp:extent cx="2324100" cy="228600"/>
                  <wp:effectExtent l="0" t="0" r="0" b="0"/>
                  <wp:docPr id="7"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8"/>
                          <pic:cNvPicPr>
                            <a:picLocks noChangeAspect="1"/>
                          </pic:cNvPicPr>
                        </pic:nvPicPr>
                        <pic:blipFill>
                          <a:blip r:embed="rId21"/>
                          <a:stretch>
                            <a:fillRect/>
                          </a:stretch>
                        </pic:blipFill>
                        <pic:spPr>
                          <a:xfrm>
                            <a:off x="0" y="0"/>
                            <a:ext cx="2324100" cy="228600"/>
                          </a:xfrm>
                          <a:prstGeom prst="rect">
                            <a:avLst/>
                          </a:prstGeom>
                          <a:noFill/>
                          <a:ln>
                            <a:noFill/>
                          </a:ln>
                        </pic:spPr>
                      </pic:pic>
                    </a:graphicData>
                  </a:graphic>
                </wp:inline>
              </w:drawing>
            </w:r>
          </w:p>
          <w:p w14:paraId="7A2C1C33">
            <w:pPr>
              <w:pStyle w:val="81"/>
              <w:adjustRightInd w:val="0"/>
              <w:snapToGrid w:val="0"/>
              <w:spacing w:before="0" w:after="0" w:line="360" w:lineRule="auto"/>
              <w:ind w:firstLine="480" w:firstLineChars="200"/>
              <w:contextualSpacing/>
              <w:rPr>
                <w:rFonts w:ascii="Times New Roman" w:hAnsi="Times New Roman"/>
                <w:color w:val="auto"/>
                <w:szCs w:val="21"/>
                <w:lang w:val="en-US"/>
              </w:rPr>
            </w:pPr>
            <w:r>
              <w:rPr>
                <w:rFonts w:ascii="Times New Roman" w:hAnsi="Times New Roman"/>
                <w:color w:val="auto"/>
                <w:szCs w:val="21"/>
              </w:rPr>
              <w:t>式中：</w:t>
            </w:r>
            <w:r>
              <w:rPr>
                <w:rFonts w:ascii="Times New Roman" w:hAnsi="Times New Roman"/>
                <w:color w:val="auto"/>
                <w:szCs w:val="21"/>
                <w:lang w:val="en-US"/>
              </w:rPr>
              <w:t>L</w:t>
            </w:r>
            <w:r>
              <w:rPr>
                <w:rFonts w:ascii="Times New Roman" w:hAnsi="Times New Roman"/>
                <w:color w:val="auto"/>
                <w:szCs w:val="21"/>
                <w:vertAlign w:val="subscript"/>
                <w:lang w:val="en-US"/>
              </w:rPr>
              <w:t>eq</w:t>
            </w:r>
            <w:r>
              <w:rPr>
                <w:rFonts w:ascii="Times New Roman" w:hAnsi="Times New Roman"/>
                <w:color w:val="auto"/>
                <w:szCs w:val="21"/>
                <w:lang w:val="en-US"/>
              </w:rPr>
              <w:t>——</w:t>
            </w:r>
            <w:r>
              <w:rPr>
                <w:rFonts w:ascii="Times New Roman" w:hAnsi="Times New Roman"/>
                <w:color w:val="auto"/>
                <w:szCs w:val="21"/>
              </w:rPr>
              <w:t>等效声级，</w:t>
            </w:r>
            <w:r>
              <w:rPr>
                <w:rFonts w:ascii="Times New Roman" w:hAnsi="Times New Roman"/>
                <w:color w:val="auto"/>
                <w:szCs w:val="21"/>
                <w:lang w:val="en-US"/>
              </w:rPr>
              <w:t>dB</w:t>
            </w:r>
            <w:r>
              <w:rPr>
                <w:rFonts w:ascii="Times New Roman" w:hAnsi="Times New Roman"/>
                <w:color w:val="auto"/>
                <w:szCs w:val="21"/>
              </w:rPr>
              <w:t>（</w:t>
            </w:r>
            <w:r>
              <w:rPr>
                <w:rFonts w:ascii="Times New Roman" w:hAnsi="Times New Roman"/>
                <w:color w:val="auto"/>
                <w:szCs w:val="21"/>
                <w:lang w:val="en-US"/>
              </w:rPr>
              <w:t>A</w:t>
            </w:r>
            <w:r>
              <w:rPr>
                <w:rFonts w:ascii="Times New Roman" w:hAnsi="Times New Roman"/>
                <w:color w:val="auto"/>
                <w:szCs w:val="21"/>
              </w:rPr>
              <w:t>）；</w:t>
            </w:r>
          </w:p>
          <w:p w14:paraId="3484ED1C">
            <w:pPr>
              <w:pStyle w:val="81"/>
              <w:adjustRightInd w:val="0"/>
              <w:snapToGrid w:val="0"/>
              <w:spacing w:before="0" w:after="0" w:line="360" w:lineRule="auto"/>
              <w:ind w:firstLine="480" w:firstLineChars="200"/>
              <w:contextualSpacing/>
              <w:rPr>
                <w:rFonts w:ascii="Times New Roman" w:hAnsi="Times New Roman"/>
                <w:color w:val="auto"/>
                <w:szCs w:val="21"/>
                <w:lang w:val="en-US"/>
              </w:rPr>
            </w:pPr>
            <w:r>
              <w:rPr>
                <w:rFonts w:ascii="Times New Roman" w:hAnsi="Times New Roman"/>
                <w:color w:val="auto"/>
                <w:szCs w:val="21"/>
                <w:lang w:val="en-US"/>
              </w:rPr>
              <w:t>L</w:t>
            </w:r>
            <w:r>
              <w:rPr>
                <w:rFonts w:ascii="Times New Roman" w:hAnsi="Times New Roman"/>
                <w:color w:val="auto"/>
                <w:szCs w:val="21"/>
                <w:vertAlign w:val="subscript"/>
                <w:lang w:val="en-US"/>
              </w:rPr>
              <w:t>eqg</w:t>
            </w:r>
            <w:r>
              <w:rPr>
                <w:rFonts w:ascii="Times New Roman" w:hAnsi="Times New Roman"/>
                <w:color w:val="auto"/>
                <w:szCs w:val="21"/>
                <w:lang w:val="en-US"/>
              </w:rPr>
              <w:t>——</w:t>
            </w:r>
            <w:r>
              <w:rPr>
                <w:rFonts w:ascii="Times New Roman" w:hAnsi="Times New Roman"/>
                <w:color w:val="auto"/>
                <w:szCs w:val="21"/>
              </w:rPr>
              <w:t>声源在预测点的等效声级贡献值，</w:t>
            </w:r>
            <w:r>
              <w:rPr>
                <w:rFonts w:ascii="Times New Roman" w:hAnsi="Times New Roman"/>
                <w:color w:val="auto"/>
                <w:szCs w:val="21"/>
                <w:lang w:val="en-US"/>
              </w:rPr>
              <w:t>dB</w:t>
            </w:r>
            <w:r>
              <w:rPr>
                <w:rFonts w:ascii="Times New Roman" w:hAnsi="Times New Roman"/>
                <w:color w:val="auto"/>
                <w:szCs w:val="21"/>
              </w:rPr>
              <w:t>（</w:t>
            </w:r>
            <w:r>
              <w:rPr>
                <w:rFonts w:ascii="Times New Roman" w:hAnsi="Times New Roman"/>
                <w:color w:val="auto"/>
                <w:szCs w:val="21"/>
                <w:lang w:val="en-US"/>
              </w:rPr>
              <w:t>A</w:t>
            </w:r>
            <w:r>
              <w:rPr>
                <w:rFonts w:ascii="Times New Roman" w:hAnsi="Times New Roman"/>
                <w:color w:val="auto"/>
                <w:szCs w:val="21"/>
              </w:rPr>
              <w:t>）；</w:t>
            </w:r>
          </w:p>
          <w:p w14:paraId="4C20F707">
            <w:pPr>
              <w:pStyle w:val="81"/>
              <w:adjustRightInd w:val="0"/>
              <w:snapToGrid w:val="0"/>
              <w:spacing w:before="0" w:after="0" w:line="360" w:lineRule="auto"/>
              <w:ind w:firstLine="480" w:firstLineChars="200"/>
              <w:contextualSpacing/>
              <w:rPr>
                <w:rFonts w:ascii="Times New Roman" w:hAnsi="Times New Roman"/>
                <w:color w:val="auto"/>
                <w:szCs w:val="21"/>
                <w:lang w:val="en-US"/>
              </w:rPr>
            </w:pPr>
            <w:r>
              <w:rPr>
                <w:rFonts w:ascii="Times New Roman" w:hAnsi="Times New Roman"/>
                <w:color w:val="auto"/>
                <w:szCs w:val="21"/>
                <w:lang w:val="en-US"/>
              </w:rPr>
              <w:t>L</w:t>
            </w:r>
            <w:r>
              <w:rPr>
                <w:rFonts w:ascii="Times New Roman" w:hAnsi="Times New Roman"/>
                <w:color w:val="auto"/>
                <w:szCs w:val="21"/>
                <w:vertAlign w:val="subscript"/>
                <w:lang w:val="en-US"/>
              </w:rPr>
              <w:t>eqb</w:t>
            </w:r>
            <w:r>
              <w:rPr>
                <w:rFonts w:ascii="Times New Roman" w:hAnsi="Times New Roman"/>
                <w:color w:val="auto"/>
                <w:szCs w:val="21"/>
                <w:lang w:val="en-US"/>
              </w:rPr>
              <w:t>——</w:t>
            </w:r>
            <w:r>
              <w:rPr>
                <w:rFonts w:ascii="Times New Roman" w:hAnsi="Times New Roman"/>
                <w:color w:val="auto"/>
                <w:szCs w:val="21"/>
              </w:rPr>
              <w:t>预测点的背景值，</w:t>
            </w:r>
            <w:r>
              <w:rPr>
                <w:rFonts w:ascii="Times New Roman" w:hAnsi="Times New Roman"/>
                <w:color w:val="auto"/>
                <w:szCs w:val="21"/>
                <w:lang w:val="en-US"/>
              </w:rPr>
              <w:t>dB</w:t>
            </w:r>
            <w:r>
              <w:rPr>
                <w:rFonts w:ascii="Times New Roman" w:hAnsi="Times New Roman"/>
                <w:color w:val="auto"/>
                <w:szCs w:val="21"/>
              </w:rPr>
              <w:t>（</w:t>
            </w:r>
            <w:r>
              <w:rPr>
                <w:rFonts w:ascii="Times New Roman" w:hAnsi="Times New Roman"/>
                <w:color w:val="auto"/>
                <w:szCs w:val="21"/>
                <w:lang w:val="en-US"/>
              </w:rPr>
              <w:t>A</w:t>
            </w:r>
            <w:r>
              <w:rPr>
                <w:rFonts w:ascii="Times New Roman" w:hAnsi="Times New Roman"/>
                <w:color w:val="auto"/>
                <w:szCs w:val="21"/>
              </w:rPr>
              <w:t>）。</w:t>
            </w:r>
          </w:p>
          <w:p w14:paraId="57B446BA">
            <w:pPr>
              <w:pStyle w:val="81"/>
              <w:numPr>
                <w:ilvl w:val="0"/>
                <w:numId w:val="4"/>
              </w:numPr>
              <w:adjustRightInd w:val="0"/>
              <w:snapToGrid w:val="0"/>
              <w:spacing w:before="0" w:after="0" w:line="360" w:lineRule="auto"/>
              <w:ind w:left="0" w:firstLine="480" w:firstLineChars="200"/>
              <w:contextualSpacing/>
              <w:rPr>
                <w:rFonts w:ascii="Times New Roman" w:hAnsi="Times New Roman"/>
                <w:color w:val="auto"/>
                <w:szCs w:val="21"/>
                <w:lang w:val="en-US"/>
              </w:rPr>
            </w:pPr>
            <w:r>
              <w:rPr>
                <w:rFonts w:ascii="Times New Roman" w:hAnsi="Times New Roman"/>
                <w:color w:val="auto"/>
                <w:szCs w:val="21"/>
              </w:rPr>
              <w:t>噪声贡献值</w:t>
            </w:r>
          </w:p>
          <w:p w14:paraId="540DEA10">
            <w:pPr>
              <w:pStyle w:val="81"/>
              <w:adjustRightInd w:val="0"/>
              <w:snapToGrid w:val="0"/>
              <w:spacing w:before="0" w:after="0" w:line="360" w:lineRule="auto"/>
              <w:ind w:firstLine="480" w:firstLineChars="200"/>
              <w:contextualSpacing/>
              <w:jc w:val="center"/>
              <w:rPr>
                <w:rFonts w:ascii="Times New Roman" w:hAnsi="Times New Roman"/>
                <w:color w:val="auto"/>
                <w:szCs w:val="21"/>
                <w:lang w:val="en-US"/>
              </w:rPr>
            </w:pPr>
            <w:r>
              <w:rPr>
                <w:rFonts w:ascii="Times New Roman" w:hAnsi="Times New Roman"/>
                <w:color w:val="auto"/>
                <w:position w:val="-30"/>
                <w:szCs w:val="21"/>
                <w:lang w:val="en-US"/>
              </w:rPr>
              <w:drawing>
                <wp:inline distT="0" distB="0" distL="114300" distR="114300">
                  <wp:extent cx="1733550" cy="438150"/>
                  <wp:effectExtent l="0" t="0" r="0" b="0"/>
                  <wp:docPr id="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9"/>
                          <pic:cNvPicPr>
                            <a:picLocks noChangeAspect="1"/>
                          </pic:cNvPicPr>
                        </pic:nvPicPr>
                        <pic:blipFill>
                          <a:blip r:embed="rId22"/>
                          <a:stretch>
                            <a:fillRect/>
                          </a:stretch>
                        </pic:blipFill>
                        <pic:spPr>
                          <a:xfrm>
                            <a:off x="0" y="0"/>
                            <a:ext cx="1733550" cy="438150"/>
                          </a:xfrm>
                          <a:prstGeom prst="rect">
                            <a:avLst/>
                          </a:prstGeom>
                          <a:noFill/>
                          <a:ln>
                            <a:noFill/>
                          </a:ln>
                        </pic:spPr>
                      </pic:pic>
                    </a:graphicData>
                  </a:graphic>
                </wp:inline>
              </w:drawing>
            </w:r>
          </w:p>
          <w:p w14:paraId="20C53B52">
            <w:pPr>
              <w:pStyle w:val="81"/>
              <w:adjustRightInd w:val="0"/>
              <w:snapToGrid w:val="0"/>
              <w:spacing w:before="0" w:after="0" w:line="360" w:lineRule="auto"/>
              <w:ind w:firstLine="480" w:firstLineChars="200"/>
              <w:contextualSpacing/>
              <w:rPr>
                <w:rFonts w:ascii="Times New Roman" w:hAnsi="Times New Roman"/>
                <w:color w:val="auto"/>
                <w:szCs w:val="21"/>
                <w:lang w:val="en-US"/>
              </w:rPr>
            </w:pPr>
            <w:r>
              <w:rPr>
                <w:rFonts w:ascii="Times New Roman" w:hAnsi="Times New Roman"/>
                <w:color w:val="auto"/>
                <w:szCs w:val="21"/>
              </w:rPr>
              <w:t>式中：</w:t>
            </w:r>
            <w:r>
              <w:rPr>
                <w:rFonts w:ascii="Times New Roman" w:hAnsi="Times New Roman"/>
                <w:color w:val="auto"/>
                <w:szCs w:val="21"/>
                <w:lang w:val="en-US"/>
              </w:rPr>
              <w:t>L</w:t>
            </w:r>
            <w:r>
              <w:rPr>
                <w:rFonts w:ascii="Times New Roman" w:hAnsi="Times New Roman"/>
                <w:color w:val="auto"/>
                <w:szCs w:val="21"/>
                <w:vertAlign w:val="subscript"/>
                <w:lang w:val="en-US"/>
              </w:rPr>
              <w:t>Ai</w:t>
            </w:r>
            <w:r>
              <w:rPr>
                <w:rFonts w:ascii="Times New Roman" w:hAnsi="Times New Roman"/>
                <w:color w:val="auto"/>
                <w:szCs w:val="21"/>
                <w:lang w:val="en-US"/>
              </w:rPr>
              <w:t>——i</w:t>
            </w:r>
            <w:r>
              <w:rPr>
                <w:rFonts w:ascii="Times New Roman" w:hAnsi="Times New Roman"/>
                <w:color w:val="auto"/>
                <w:szCs w:val="21"/>
              </w:rPr>
              <w:t>声源在预测点产生的</w:t>
            </w:r>
            <w:r>
              <w:rPr>
                <w:rFonts w:ascii="Times New Roman" w:hAnsi="Times New Roman"/>
                <w:color w:val="auto"/>
                <w:szCs w:val="21"/>
                <w:lang w:val="en-US"/>
              </w:rPr>
              <w:t>A</w:t>
            </w:r>
            <w:r>
              <w:rPr>
                <w:rFonts w:ascii="Times New Roman" w:hAnsi="Times New Roman"/>
                <w:color w:val="auto"/>
                <w:szCs w:val="21"/>
              </w:rPr>
              <w:t>声级，</w:t>
            </w:r>
            <w:r>
              <w:rPr>
                <w:rFonts w:ascii="Times New Roman" w:hAnsi="Times New Roman"/>
                <w:color w:val="auto"/>
                <w:szCs w:val="21"/>
                <w:lang w:val="en-US"/>
              </w:rPr>
              <w:t>dB</w:t>
            </w:r>
            <w:r>
              <w:rPr>
                <w:rFonts w:ascii="Times New Roman" w:hAnsi="Times New Roman"/>
                <w:color w:val="auto"/>
                <w:szCs w:val="21"/>
              </w:rPr>
              <w:t>（</w:t>
            </w:r>
            <w:r>
              <w:rPr>
                <w:rFonts w:ascii="Times New Roman" w:hAnsi="Times New Roman"/>
                <w:color w:val="auto"/>
                <w:szCs w:val="21"/>
                <w:lang w:val="en-US"/>
              </w:rPr>
              <w:t>A</w:t>
            </w:r>
            <w:r>
              <w:rPr>
                <w:rFonts w:ascii="Times New Roman" w:hAnsi="Times New Roman"/>
                <w:color w:val="auto"/>
                <w:szCs w:val="21"/>
              </w:rPr>
              <w:t>）；</w:t>
            </w:r>
          </w:p>
          <w:p w14:paraId="299AEA0D">
            <w:pPr>
              <w:pStyle w:val="81"/>
              <w:adjustRightInd w:val="0"/>
              <w:snapToGrid w:val="0"/>
              <w:spacing w:before="0" w:after="0" w:line="360" w:lineRule="auto"/>
              <w:ind w:firstLine="480" w:firstLineChars="200"/>
              <w:contextualSpacing/>
              <w:rPr>
                <w:rFonts w:ascii="Times New Roman" w:hAnsi="Times New Roman"/>
                <w:color w:val="auto"/>
                <w:szCs w:val="21"/>
                <w:lang w:val="en-US"/>
              </w:rPr>
            </w:pPr>
            <w:r>
              <w:rPr>
                <w:rFonts w:ascii="Times New Roman" w:hAnsi="Times New Roman"/>
                <w:color w:val="auto"/>
                <w:szCs w:val="21"/>
                <w:lang w:val="en-US"/>
              </w:rPr>
              <w:t>T——</w:t>
            </w:r>
            <w:r>
              <w:rPr>
                <w:rFonts w:ascii="Times New Roman" w:hAnsi="Times New Roman"/>
                <w:color w:val="auto"/>
                <w:szCs w:val="21"/>
              </w:rPr>
              <w:t>预测计算的时间段，</w:t>
            </w:r>
            <w:r>
              <w:rPr>
                <w:rFonts w:ascii="Times New Roman" w:hAnsi="Times New Roman"/>
                <w:color w:val="auto"/>
                <w:szCs w:val="21"/>
                <w:lang w:val="en-US"/>
              </w:rPr>
              <w:t>s</w:t>
            </w:r>
            <w:r>
              <w:rPr>
                <w:rFonts w:ascii="Times New Roman" w:hAnsi="Times New Roman"/>
                <w:color w:val="auto"/>
                <w:szCs w:val="21"/>
              </w:rPr>
              <w:t>；</w:t>
            </w:r>
          </w:p>
          <w:p w14:paraId="0550B6D9">
            <w:pPr>
              <w:pStyle w:val="81"/>
              <w:adjustRightInd w:val="0"/>
              <w:snapToGrid w:val="0"/>
              <w:spacing w:before="0" w:after="0" w:line="360" w:lineRule="auto"/>
              <w:ind w:firstLine="480" w:firstLineChars="200"/>
              <w:contextualSpacing/>
              <w:rPr>
                <w:rFonts w:ascii="Times New Roman" w:hAnsi="Times New Roman"/>
                <w:color w:val="auto"/>
                <w:szCs w:val="21"/>
                <w:lang w:val="en-US"/>
              </w:rPr>
            </w:pPr>
            <w:r>
              <w:rPr>
                <w:rFonts w:ascii="Times New Roman" w:hAnsi="Times New Roman"/>
                <w:color w:val="auto"/>
                <w:szCs w:val="21"/>
                <w:lang w:val="en-US"/>
              </w:rPr>
              <w:t>t</w:t>
            </w:r>
            <w:r>
              <w:rPr>
                <w:rFonts w:ascii="Times New Roman" w:hAnsi="Times New Roman"/>
                <w:color w:val="auto"/>
                <w:szCs w:val="21"/>
                <w:vertAlign w:val="subscript"/>
                <w:lang w:val="en-US"/>
              </w:rPr>
              <w:t>i</w:t>
            </w:r>
            <w:r>
              <w:rPr>
                <w:rFonts w:ascii="Times New Roman" w:hAnsi="Times New Roman"/>
                <w:color w:val="auto"/>
                <w:szCs w:val="21"/>
                <w:lang w:val="en-US"/>
              </w:rPr>
              <w:t>——i</w:t>
            </w:r>
            <w:r>
              <w:rPr>
                <w:rFonts w:ascii="Times New Roman" w:hAnsi="Times New Roman"/>
                <w:color w:val="auto"/>
                <w:szCs w:val="21"/>
              </w:rPr>
              <w:t>声源在</w:t>
            </w:r>
            <w:r>
              <w:rPr>
                <w:rFonts w:ascii="Times New Roman" w:hAnsi="Times New Roman"/>
                <w:color w:val="auto"/>
                <w:szCs w:val="21"/>
                <w:lang w:val="en-US"/>
              </w:rPr>
              <w:t>T</w:t>
            </w:r>
            <w:r>
              <w:rPr>
                <w:rFonts w:ascii="Times New Roman" w:hAnsi="Times New Roman"/>
                <w:color w:val="auto"/>
                <w:szCs w:val="21"/>
              </w:rPr>
              <w:t>时段内的运行时间，</w:t>
            </w:r>
            <w:r>
              <w:rPr>
                <w:rFonts w:ascii="Times New Roman" w:hAnsi="Times New Roman"/>
                <w:color w:val="auto"/>
                <w:szCs w:val="21"/>
                <w:lang w:val="en-US"/>
              </w:rPr>
              <w:t>s</w:t>
            </w:r>
            <w:r>
              <w:rPr>
                <w:rFonts w:ascii="Times New Roman" w:hAnsi="Times New Roman"/>
                <w:color w:val="auto"/>
                <w:szCs w:val="21"/>
              </w:rPr>
              <w:t>。</w:t>
            </w:r>
          </w:p>
          <w:p w14:paraId="056ADF05">
            <w:pPr>
              <w:pStyle w:val="81"/>
              <w:numPr>
                <w:ilvl w:val="0"/>
                <w:numId w:val="4"/>
              </w:numPr>
              <w:adjustRightInd w:val="0"/>
              <w:snapToGrid w:val="0"/>
              <w:spacing w:before="0" w:after="0" w:line="360" w:lineRule="auto"/>
              <w:ind w:left="0" w:firstLine="480" w:firstLineChars="200"/>
              <w:contextualSpacing/>
              <w:rPr>
                <w:rFonts w:ascii="Times New Roman" w:hAnsi="Times New Roman"/>
                <w:color w:val="auto"/>
                <w:szCs w:val="21"/>
                <w:lang w:val="en-US"/>
              </w:rPr>
            </w:pPr>
            <w:r>
              <w:rPr>
                <w:rFonts w:ascii="Times New Roman" w:hAnsi="Times New Roman"/>
                <w:color w:val="auto"/>
                <w:szCs w:val="21"/>
              </w:rPr>
              <w:t>预测点的</w:t>
            </w:r>
            <w:r>
              <w:rPr>
                <w:rFonts w:ascii="Times New Roman" w:hAnsi="Times New Roman"/>
                <w:color w:val="auto"/>
                <w:szCs w:val="21"/>
                <w:lang w:val="en-US"/>
              </w:rPr>
              <w:t>A</w:t>
            </w:r>
            <w:r>
              <w:rPr>
                <w:rFonts w:ascii="Times New Roman" w:hAnsi="Times New Roman"/>
                <w:color w:val="auto"/>
                <w:szCs w:val="21"/>
              </w:rPr>
              <w:t>声级</w:t>
            </w:r>
            <w:r>
              <w:rPr>
                <w:rFonts w:ascii="Times New Roman" w:hAnsi="Times New Roman"/>
                <w:color w:val="auto"/>
                <w:position w:val="-12"/>
                <w:szCs w:val="21"/>
                <w:lang w:val="en-US"/>
              </w:rPr>
              <w:drawing>
                <wp:inline distT="0" distB="0" distL="114300" distR="114300">
                  <wp:extent cx="1009650" cy="190500"/>
                  <wp:effectExtent l="0" t="0" r="0" b="0"/>
                  <wp:docPr id="3"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0"/>
                          <pic:cNvPicPr>
                            <a:picLocks noChangeAspect="1"/>
                          </pic:cNvPicPr>
                        </pic:nvPicPr>
                        <pic:blipFill>
                          <a:blip r:embed="rId23"/>
                          <a:stretch>
                            <a:fillRect/>
                          </a:stretch>
                        </pic:blipFill>
                        <pic:spPr>
                          <a:xfrm>
                            <a:off x="0" y="0"/>
                            <a:ext cx="1009650" cy="190500"/>
                          </a:xfrm>
                          <a:prstGeom prst="rect">
                            <a:avLst/>
                          </a:prstGeom>
                          <a:noFill/>
                          <a:ln>
                            <a:noFill/>
                          </a:ln>
                        </pic:spPr>
                      </pic:pic>
                    </a:graphicData>
                  </a:graphic>
                </wp:inline>
              </w:drawing>
            </w:r>
          </w:p>
          <w:p w14:paraId="24212B5F">
            <w:pPr>
              <w:pStyle w:val="81"/>
              <w:adjustRightInd w:val="0"/>
              <w:snapToGrid w:val="0"/>
              <w:spacing w:before="0" w:after="0" w:line="360" w:lineRule="auto"/>
              <w:ind w:firstLine="480" w:firstLineChars="200"/>
              <w:contextualSpacing/>
              <w:rPr>
                <w:rFonts w:ascii="Times New Roman" w:hAnsi="Times New Roman"/>
                <w:color w:val="auto"/>
                <w:szCs w:val="21"/>
                <w:lang w:val="en-US"/>
              </w:rPr>
            </w:pPr>
            <w:r>
              <w:rPr>
                <w:rFonts w:ascii="Times New Roman" w:hAnsi="Times New Roman"/>
                <w:color w:val="auto"/>
                <w:szCs w:val="21"/>
              </w:rPr>
              <w:t>式中：</w:t>
            </w:r>
            <w:r>
              <w:rPr>
                <w:rFonts w:ascii="Times New Roman" w:hAnsi="Times New Roman"/>
                <w:color w:val="auto"/>
                <w:szCs w:val="21"/>
                <w:lang w:val="en-US"/>
              </w:rPr>
              <w:t>L</w:t>
            </w:r>
            <w:r>
              <w:rPr>
                <w:rFonts w:ascii="Times New Roman" w:hAnsi="Times New Roman"/>
                <w:color w:val="auto"/>
                <w:szCs w:val="21"/>
                <w:vertAlign w:val="subscript"/>
                <w:lang w:val="en-US"/>
              </w:rPr>
              <w:t>A</w:t>
            </w:r>
            <w:r>
              <w:rPr>
                <w:rFonts w:ascii="Times New Roman" w:hAnsi="Times New Roman"/>
                <w:color w:val="auto"/>
                <w:szCs w:val="21"/>
              </w:rPr>
              <w:t>（</w:t>
            </w:r>
            <w:r>
              <w:rPr>
                <w:rFonts w:ascii="Times New Roman" w:hAnsi="Times New Roman"/>
                <w:color w:val="auto"/>
                <w:szCs w:val="21"/>
                <w:lang w:val="en-US"/>
              </w:rPr>
              <w:t>r</w:t>
            </w:r>
            <w:r>
              <w:rPr>
                <w:rFonts w:ascii="Times New Roman" w:hAnsi="Times New Roman"/>
                <w:color w:val="auto"/>
                <w:szCs w:val="21"/>
              </w:rPr>
              <w:t>）</w:t>
            </w:r>
            <w:r>
              <w:rPr>
                <w:rFonts w:ascii="Times New Roman" w:hAnsi="Times New Roman"/>
                <w:color w:val="auto"/>
                <w:szCs w:val="21"/>
                <w:lang w:val="en-US"/>
              </w:rPr>
              <w:t>——</w:t>
            </w:r>
            <w:r>
              <w:rPr>
                <w:rFonts w:ascii="Times New Roman" w:hAnsi="Times New Roman"/>
                <w:color w:val="auto"/>
                <w:szCs w:val="21"/>
              </w:rPr>
              <w:t>距离声源</w:t>
            </w:r>
            <w:r>
              <w:rPr>
                <w:rFonts w:ascii="Times New Roman" w:hAnsi="Times New Roman"/>
                <w:color w:val="auto"/>
                <w:szCs w:val="21"/>
                <w:lang w:val="en-US"/>
              </w:rPr>
              <w:t>r</w:t>
            </w:r>
            <w:r>
              <w:rPr>
                <w:rFonts w:ascii="Times New Roman" w:hAnsi="Times New Roman"/>
                <w:color w:val="auto"/>
                <w:szCs w:val="21"/>
              </w:rPr>
              <w:t>处的</w:t>
            </w:r>
            <w:r>
              <w:rPr>
                <w:rFonts w:ascii="Times New Roman" w:hAnsi="Times New Roman"/>
                <w:color w:val="auto"/>
                <w:szCs w:val="21"/>
                <w:lang w:val="en-US"/>
              </w:rPr>
              <w:t>A</w:t>
            </w:r>
            <w:r>
              <w:rPr>
                <w:rFonts w:ascii="Times New Roman" w:hAnsi="Times New Roman"/>
                <w:color w:val="auto"/>
                <w:szCs w:val="21"/>
              </w:rPr>
              <w:t>声级，</w:t>
            </w:r>
            <w:r>
              <w:rPr>
                <w:rFonts w:ascii="Times New Roman" w:hAnsi="Times New Roman"/>
                <w:color w:val="auto"/>
                <w:szCs w:val="21"/>
                <w:lang w:val="en-US"/>
              </w:rPr>
              <w:t>dB</w:t>
            </w:r>
            <w:r>
              <w:rPr>
                <w:rFonts w:ascii="Times New Roman" w:hAnsi="Times New Roman"/>
                <w:color w:val="auto"/>
                <w:szCs w:val="21"/>
              </w:rPr>
              <w:t>（</w:t>
            </w:r>
            <w:r>
              <w:rPr>
                <w:rFonts w:ascii="Times New Roman" w:hAnsi="Times New Roman"/>
                <w:color w:val="auto"/>
                <w:szCs w:val="21"/>
                <w:lang w:val="en-US"/>
              </w:rPr>
              <w:t>A</w:t>
            </w:r>
            <w:r>
              <w:rPr>
                <w:rFonts w:ascii="Times New Roman" w:hAnsi="Times New Roman"/>
                <w:color w:val="auto"/>
                <w:szCs w:val="21"/>
              </w:rPr>
              <w:t>）；</w:t>
            </w:r>
          </w:p>
          <w:p w14:paraId="2313B5BF">
            <w:pPr>
              <w:pStyle w:val="81"/>
              <w:adjustRightInd w:val="0"/>
              <w:snapToGrid w:val="0"/>
              <w:spacing w:before="0" w:after="0" w:line="360" w:lineRule="auto"/>
              <w:ind w:firstLine="480" w:firstLineChars="200"/>
              <w:contextualSpacing/>
              <w:rPr>
                <w:rFonts w:ascii="Times New Roman" w:hAnsi="Times New Roman"/>
                <w:color w:val="auto"/>
                <w:szCs w:val="21"/>
                <w:lang w:val="en-US"/>
              </w:rPr>
            </w:pPr>
            <w:r>
              <w:rPr>
                <w:rFonts w:ascii="Times New Roman" w:hAnsi="Times New Roman"/>
                <w:color w:val="auto"/>
                <w:szCs w:val="21"/>
                <w:lang w:val="en-US"/>
              </w:rPr>
              <w:t>L</w:t>
            </w:r>
            <w:r>
              <w:rPr>
                <w:rFonts w:ascii="Times New Roman" w:hAnsi="Times New Roman"/>
                <w:color w:val="auto"/>
                <w:szCs w:val="21"/>
                <w:vertAlign w:val="subscript"/>
                <w:lang w:val="en-US"/>
              </w:rPr>
              <w:t>A</w:t>
            </w:r>
            <w:r>
              <w:rPr>
                <w:rFonts w:ascii="Times New Roman" w:hAnsi="Times New Roman"/>
                <w:color w:val="auto"/>
                <w:szCs w:val="21"/>
              </w:rPr>
              <w:t>（</w:t>
            </w:r>
            <w:r>
              <w:rPr>
                <w:rFonts w:ascii="Times New Roman" w:hAnsi="Times New Roman"/>
                <w:color w:val="auto"/>
                <w:szCs w:val="21"/>
                <w:lang w:val="en-US"/>
              </w:rPr>
              <w:t>r</w:t>
            </w:r>
            <w:r>
              <w:rPr>
                <w:rFonts w:ascii="Times New Roman" w:hAnsi="Times New Roman"/>
                <w:color w:val="auto"/>
                <w:szCs w:val="21"/>
                <w:vertAlign w:val="subscript"/>
                <w:lang w:val="en-US"/>
              </w:rPr>
              <w:t>0</w:t>
            </w:r>
            <w:r>
              <w:rPr>
                <w:rFonts w:ascii="Times New Roman" w:hAnsi="Times New Roman"/>
                <w:color w:val="auto"/>
                <w:szCs w:val="21"/>
              </w:rPr>
              <w:t>）</w:t>
            </w:r>
            <w:r>
              <w:rPr>
                <w:rFonts w:ascii="Times New Roman" w:hAnsi="Times New Roman"/>
                <w:color w:val="auto"/>
                <w:szCs w:val="21"/>
                <w:lang w:val="en-US"/>
              </w:rPr>
              <w:t>——</w:t>
            </w:r>
            <w:r>
              <w:rPr>
                <w:rFonts w:ascii="Times New Roman" w:hAnsi="Times New Roman"/>
                <w:color w:val="auto"/>
                <w:szCs w:val="21"/>
              </w:rPr>
              <w:t>参考位置</w:t>
            </w:r>
            <w:r>
              <w:rPr>
                <w:rFonts w:ascii="Times New Roman" w:hAnsi="Times New Roman"/>
                <w:color w:val="auto"/>
                <w:szCs w:val="21"/>
                <w:lang w:val="en-US"/>
              </w:rPr>
              <w:t>r</w:t>
            </w:r>
            <w:r>
              <w:rPr>
                <w:rFonts w:ascii="Times New Roman" w:hAnsi="Times New Roman"/>
                <w:color w:val="auto"/>
                <w:szCs w:val="21"/>
                <w:vertAlign w:val="subscript"/>
                <w:lang w:val="en-US"/>
              </w:rPr>
              <w:t>0</w:t>
            </w:r>
            <w:r>
              <w:rPr>
                <w:rFonts w:ascii="Times New Roman" w:hAnsi="Times New Roman"/>
                <w:color w:val="auto"/>
                <w:szCs w:val="21"/>
              </w:rPr>
              <w:t>处的</w:t>
            </w:r>
            <w:r>
              <w:rPr>
                <w:rFonts w:ascii="Times New Roman" w:hAnsi="Times New Roman"/>
                <w:color w:val="auto"/>
                <w:szCs w:val="21"/>
                <w:lang w:val="en-US"/>
              </w:rPr>
              <w:t>A</w:t>
            </w:r>
            <w:r>
              <w:rPr>
                <w:rFonts w:ascii="Times New Roman" w:hAnsi="Times New Roman"/>
                <w:color w:val="auto"/>
                <w:szCs w:val="21"/>
              </w:rPr>
              <w:t>声级，</w:t>
            </w:r>
            <w:r>
              <w:rPr>
                <w:rFonts w:ascii="Times New Roman" w:hAnsi="Times New Roman"/>
                <w:color w:val="auto"/>
                <w:szCs w:val="21"/>
                <w:lang w:val="en-US"/>
              </w:rPr>
              <w:t>dB</w:t>
            </w:r>
            <w:r>
              <w:rPr>
                <w:rFonts w:ascii="Times New Roman" w:hAnsi="Times New Roman"/>
                <w:color w:val="auto"/>
                <w:szCs w:val="21"/>
              </w:rPr>
              <w:t>（</w:t>
            </w:r>
            <w:r>
              <w:rPr>
                <w:rFonts w:ascii="Times New Roman" w:hAnsi="Times New Roman"/>
                <w:color w:val="auto"/>
                <w:szCs w:val="21"/>
                <w:lang w:val="en-US"/>
              </w:rPr>
              <w:t>A</w:t>
            </w:r>
            <w:r>
              <w:rPr>
                <w:rFonts w:ascii="Times New Roman" w:hAnsi="Times New Roman"/>
                <w:color w:val="auto"/>
                <w:szCs w:val="21"/>
              </w:rPr>
              <w:t>）；</w:t>
            </w:r>
          </w:p>
          <w:p w14:paraId="4AE194D1">
            <w:pPr>
              <w:pStyle w:val="81"/>
              <w:adjustRightInd w:val="0"/>
              <w:snapToGrid w:val="0"/>
              <w:spacing w:before="0" w:after="0" w:line="360" w:lineRule="auto"/>
              <w:ind w:firstLine="480" w:firstLineChars="200"/>
              <w:contextualSpacing/>
              <w:rPr>
                <w:rFonts w:ascii="Times New Roman" w:hAnsi="Times New Roman"/>
                <w:color w:val="auto"/>
                <w:szCs w:val="21"/>
                <w:lang w:val="en-US"/>
              </w:rPr>
            </w:pPr>
            <w:r>
              <w:rPr>
                <w:rFonts w:ascii="Times New Roman" w:hAnsi="Times New Roman"/>
                <w:color w:val="auto"/>
                <w:szCs w:val="21"/>
                <w:lang w:val="en-US"/>
              </w:rPr>
              <w:t>r</w:t>
            </w:r>
            <w:r>
              <w:rPr>
                <w:rFonts w:ascii="Times New Roman" w:hAnsi="Times New Roman"/>
                <w:color w:val="auto"/>
                <w:szCs w:val="21"/>
                <w:vertAlign w:val="subscript"/>
                <w:lang w:val="en-US"/>
              </w:rPr>
              <w:t>0</w:t>
            </w:r>
            <w:r>
              <w:rPr>
                <w:rFonts w:ascii="Times New Roman" w:hAnsi="Times New Roman"/>
                <w:color w:val="auto"/>
                <w:szCs w:val="21"/>
                <w:lang w:val="en-US"/>
              </w:rPr>
              <w:t>——</w:t>
            </w:r>
            <w:r>
              <w:rPr>
                <w:rFonts w:ascii="Times New Roman" w:hAnsi="Times New Roman"/>
                <w:color w:val="auto"/>
                <w:szCs w:val="21"/>
              </w:rPr>
              <w:t>参考位置距离声源的距离，</w:t>
            </w:r>
            <w:r>
              <w:rPr>
                <w:rFonts w:ascii="Times New Roman" w:hAnsi="Times New Roman"/>
                <w:color w:val="auto"/>
                <w:szCs w:val="21"/>
                <w:lang w:val="en-US"/>
              </w:rPr>
              <w:t>m</w:t>
            </w:r>
            <w:r>
              <w:rPr>
                <w:rFonts w:ascii="Times New Roman" w:hAnsi="Times New Roman"/>
                <w:color w:val="auto"/>
                <w:szCs w:val="21"/>
              </w:rPr>
              <w:t>；</w:t>
            </w:r>
          </w:p>
          <w:p w14:paraId="5C881DFE">
            <w:pPr>
              <w:pStyle w:val="81"/>
              <w:adjustRightInd w:val="0"/>
              <w:snapToGrid w:val="0"/>
              <w:spacing w:before="0" w:after="0" w:line="360" w:lineRule="auto"/>
              <w:ind w:firstLine="480" w:firstLineChars="200"/>
              <w:contextualSpacing/>
              <w:rPr>
                <w:rFonts w:ascii="Times New Roman" w:hAnsi="Times New Roman"/>
                <w:color w:val="auto"/>
                <w:szCs w:val="21"/>
                <w:lang w:val="en-US"/>
              </w:rPr>
            </w:pPr>
            <w:r>
              <w:rPr>
                <w:rFonts w:ascii="Times New Roman" w:hAnsi="Times New Roman"/>
                <w:color w:val="auto"/>
                <w:szCs w:val="21"/>
                <w:lang w:val="en-US"/>
              </w:rPr>
              <w:t>r——</w:t>
            </w:r>
            <w:r>
              <w:rPr>
                <w:rFonts w:ascii="Times New Roman" w:hAnsi="Times New Roman"/>
                <w:color w:val="auto"/>
                <w:szCs w:val="21"/>
              </w:rPr>
              <w:t>预测点距离声源的距离，</w:t>
            </w:r>
            <w:r>
              <w:rPr>
                <w:rFonts w:ascii="Times New Roman" w:hAnsi="Times New Roman"/>
                <w:color w:val="auto"/>
                <w:szCs w:val="21"/>
                <w:lang w:val="en-US"/>
              </w:rPr>
              <w:t>m</w:t>
            </w:r>
            <w:r>
              <w:rPr>
                <w:rFonts w:ascii="Times New Roman" w:hAnsi="Times New Roman"/>
                <w:color w:val="auto"/>
                <w:szCs w:val="21"/>
              </w:rPr>
              <w:t>；</w:t>
            </w:r>
          </w:p>
          <w:p w14:paraId="2C141BE8">
            <w:pPr>
              <w:pStyle w:val="81"/>
              <w:adjustRightInd w:val="0"/>
              <w:snapToGrid w:val="0"/>
              <w:spacing w:before="0" w:after="0" w:line="360" w:lineRule="auto"/>
              <w:ind w:firstLine="480" w:firstLineChars="200"/>
              <w:contextualSpacing/>
              <w:rPr>
                <w:rFonts w:ascii="Times New Roman" w:hAnsi="Times New Roman"/>
                <w:color w:val="auto"/>
                <w:szCs w:val="21"/>
                <w:lang w:val="en-US"/>
              </w:rPr>
            </w:pPr>
            <w:r>
              <w:rPr>
                <w:rFonts w:ascii="Times New Roman" w:hAnsi="Times New Roman"/>
                <w:color w:val="auto"/>
                <w:szCs w:val="21"/>
                <w:lang w:val="en-US"/>
              </w:rPr>
              <w:t>A——</w:t>
            </w:r>
            <w:r>
              <w:rPr>
                <w:rFonts w:ascii="Times New Roman" w:hAnsi="Times New Roman"/>
                <w:color w:val="auto"/>
                <w:szCs w:val="21"/>
              </w:rPr>
              <w:t>倍频带衰减，</w:t>
            </w:r>
            <w:r>
              <w:rPr>
                <w:rFonts w:ascii="Times New Roman" w:hAnsi="Times New Roman"/>
                <w:color w:val="auto"/>
                <w:szCs w:val="21"/>
                <w:lang w:val="en-US"/>
              </w:rPr>
              <w:t>dB</w:t>
            </w:r>
            <w:r>
              <w:rPr>
                <w:rFonts w:ascii="Times New Roman" w:hAnsi="Times New Roman"/>
                <w:color w:val="auto"/>
                <w:szCs w:val="21"/>
              </w:rPr>
              <w:t>。</w:t>
            </w:r>
          </w:p>
          <w:p w14:paraId="1D36727B">
            <w:pPr>
              <w:pStyle w:val="81"/>
              <w:adjustRightInd w:val="0"/>
              <w:snapToGrid w:val="0"/>
              <w:spacing w:before="0" w:after="0" w:line="360" w:lineRule="auto"/>
              <w:ind w:firstLine="480" w:firstLineChars="200"/>
              <w:contextualSpacing/>
              <w:rPr>
                <w:rFonts w:ascii="Times New Roman" w:hAnsi="Times New Roman"/>
                <w:color w:val="auto"/>
                <w:szCs w:val="21"/>
                <w:lang w:val="en-US"/>
              </w:rPr>
            </w:pPr>
            <w:r>
              <w:rPr>
                <w:rFonts w:hint="eastAsia" w:cs="宋体"/>
                <w:color w:val="auto"/>
                <w:szCs w:val="21"/>
                <w:lang w:val="en-US"/>
              </w:rPr>
              <w:t>④</w:t>
            </w:r>
            <w:r>
              <w:rPr>
                <w:rFonts w:ascii="Times New Roman" w:hAnsi="Times New Roman"/>
                <w:color w:val="auto"/>
                <w:szCs w:val="21"/>
              </w:rPr>
              <w:t>倍频带衰减</w:t>
            </w:r>
            <w:r>
              <w:rPr>
                <w:rFonts w:ascii="Times New Roman" w:hAnsi="Times New Roman"/>
                <w:color w:val="auto"/>
                <w:position w:val="-14"/>
                <w:szCs w:val="21"/>
                <w:lang w:val="en-US"/>
              </w:rPr>
              <w:drawing>
                <wp:inline distT="0" distB="0" distL="114300" distR="114300">
                  <wp:extent cx="2381250" cy="285750"/>
                  <wp:effectExtent l="0" t="0" r="0" b="0"/>
                  <wp:docPr id="4"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1"/>
                          <pic:cNvPicPr>
                            <a:picLocks noChangeAspect="1"/>
                          </pic:cNvPicPr>
                        </pic:nvPicPr>
                        <pic:blipFill>
                          <a:blip r:embed="rId24"/>
                          <a:stretch>
                            <a:fillRect/>
                          </a:stretch>
                        </pic:blipFill>
                        <pic:spPr>
                          <a:xfrm>
                            <a:off x="0" y="0"/>
                            <a:ext cx="2381250" cy="285750"/>
                          </a:xfrm>
                          <a:prstGeom prst="rect">
                            <a:avLst/>
                          </a:prstGeom>
                          <a:noFill/>
                          <a:ln>
                            <a:noFill/>
                          </a:ln>
                        </pic:spPr>
                      </pic:pic>
                    </a:graphicData>
                  </a:graphic>
                </wp:inline>
              </w:drawing>
            </w:r>
          </w:p>
          <w:p w14:paraId="76FB4262">
            <w:pPr>
              <w:pStyle w:val="81"/>
              <w:adjustRightInd w:val="0"/>
              <w:snapToGrid w:val="0"/>
              <w:spacing w:before="0" w:after="0" w:line="360" w:lineRule="auto"/>
              <w:ind w:firstLine="480" w:firstLineChars="200"/>
              <w:contextualSpacing/>
              <w:rPr>
                <w:rFonts w:ascii="Times New Roman" w:hAnsi="Times New Roman"/>
                <w:color w:val="auto"/>
                <w:szCs w:val="21"/>
                <w:lang w:val="en-US"/>
              </w:rPr>
            </w:pPr>
            <w:r>
              <w:rPr>
                <w:rFonts w:ascii="Times New Roman" w:hAnsi="Times New Roman"/>
                <w:color w:val="auto"/>
                <w:szCs w:val="21"/>
              </w:rPr>
              <w:t>式中：</w:t>
            </w:r>
            <w:r>
              <w:rPr>
                <w:rFonts w:ascii="Times New Roman" w:hAnsi="Times New Roman"/>
                <w:color w:val="auto"/>
                <w:szCs w:val="21"/>
                <w:lang w:val="en-US"/>
              </w:rPr>
              <w:t>A</w:t>
            </w:r>
            <w:r>
              <w:rPr>
                <w:rFonts w:ascii="Times New Roman" w:hAnsi="Times New Roman"/>
                <w:color w:val="auto"/>
                <w:szCs w:val="21"/>
                <w:vertAlign w:val="subscript"/>
                <w:lang w:val="en-US"/>
              </w:rPr>
              <w:t>div</w:t>
            </w:r>
            <w:r>
              <w:rPr>
                <w:rFonts w:ascii="Times New Roman" w:hAnsi="Times New Roman"/>
                <w:color w:val="auto"/>
                <w:szCs w:val="21"/>
                <w:lang w:val="en-US"/>
              </w:rPr>
              <w:t>——</w:t>
            </w:r>
            <w:r>
              <w:rPr>
                <w:rFonts w:ascii="Times New Roman" w:hAnsi="Times New Roman"/>
                <w:color w:val="auto"/>
                <w:szCs w:val="21"/>
              </w:rPr>
              <w:t>几何发散引起的倍频带衰减，</w:t>
            </w:r>
            <w:r>
              <w:rPr>
                <w:rFonts w:ascii="Times New Roman" w:hAnsi="Times New Roman"/>
                <w:color w:val="auto"/>
                <w:szCs w:val="21"/>
                <w:lang w:val="en-US"/>
              </w:rPr>
              <w:t>dB</w:t>
            </w:r>
            <w:r>
              <w:rPr>
                <w:rFonts w:ascii="Times New Roman" w:hAnsi="Times New Roman"/>
                <w:color w:val="auto"/>
                <w:szCs w:val="21"/>
              </w:rPr>
              <w:t>；</w:t>
            </w:r>
          </w:p>
          <w:p w14:paraId="5501E42E">
            <w:pPr>
              <w:pStyle w:val="81"/>
              <w:adjustRightInd w:val="0"/>
              <w:snapToGrid w:val="0"/>
              <w:spacing w:before="0" w:after="0" w:line="360" w:lineRule="auto"/>
              <w:ind w:firstLine="480" w:firstLineChars="200"/>
              <w:contextualSpacing/>
              <w:rPr>
                <w:rFonts w:ascii="Times New Roman" w:hAnsi="Times New Roman"/>
                <w:color w:val="auto"/>
                <w:szCs w:val="21"/>
                <w:lang w:val="en-US"/>
              </w:rPr>
            </w:pPr>
            <w:r>
              <w:rPr>
                <w:rFonts w:ascii="Times New Roman" w:hAnsi="Times New Roman"/>
                <w:color w:val="auto"/>
                <w:szCs w:val="21"/>
                <w:lang w:val="en-US"/>
              </w:rPr>
              <w:t>A</w:t>
            </w:r>
            <w:r>
              <w:rPr>
                <w:rFonts w:ascii="Times New Roman" w:hAnsi="Times New Roman"/>
                <w:color w:val="auto"/>
                <w:szCs w:val="21"/>
                <w:vertAlign w:val="subscript"/>
                <w:lang w:val="en-US"/>
              </w:rPr>
              <w:t>atm</w:t>
            </w:r>
            <w:r>
              <w:rPr>
                <w:rFonts w:ascii="Times New Roman" w:hAnsi="Times New Roman"/>
                <w:color w:val="auto"/>
                <w:szCs w:val="21"/>
                <w:lang w:val="en-US"/>
              </w:rPr>
              <w:t>——</w:t>
            </w:r>
            <w:r>
              <w:rPr>
                <w:rFonts w:ascii="Times New Roman" w:hAnsi="Times New Roman"/>
                <w:color w:val="auto"/>
                <w:szCs w:val="21"/>
              </w:rPr>
              <w:t>大气吸收引起的倍频带衰减，</w:t>
            </w:r>
            <w:r>
              <w:rPr>
                <w:rFonts w:ascii="Times New Roman" w:hAnsi="Times New Roman"/>
                <w:color w:val="auto"/>
                <w:szCs w:val="21"/>
                <w:lang w:val="en-US"/>
              </w:rPr>
              <w:t>dB</w:t>
            </w:r>
            <w:r>
              <w:rPr>
                <w:rFonts w:ascii="Times New Roman" w:hAnsi="Times New Roman"/>
                <w:color w:val="auto"/>
                <w:szCs w:val="21"/>
              </w:rPr>
              <w:t>；</w:t>
            </w:r>
          </w:p>
          <w:p w14:paraId="0E556025">
            <w:pPr>
              <w:pStyle w:val="81"/>
              <w:adjustRightInd w:val="0"/>
              <w:snapToGrid w:val="0"/>
              <w:spacing w:before="0" w:after="0" w:line="360" w:lineRule="auto"/>
              <w:ind w:firstLine="480" w:firstLineChars="200"/>
              <w:contextualSpacing/>
              <w:rPr>
                <w:rFonts w:ascii="Times New Roman" w:hAnsi="Times New Roman"/>
                <w:color w:val="auto"/>
                <w:szCs w:val="21"/>
                <w:lang w:val="en-US"/>
              </w:rPr>
            </w:pPr>
            <w:r>
              <w:rPr>
                <w:rFonts w:ascii="Times New Roman" w:hAnsi="Times New Roman"/>
                <w:color w:val="auto"/>
                <w:szCs w:val="21"/>
                <w:lang w:val="en-US"/>
              </w:rPr>
              <w:t>A</w:t>
            </w:r>
            <w:r>
              <w:rPr>
                <w:rFonts w:ascii="Times New Roman" w:hAnsi="Times New Roman"/>
                <w:color w:val="auto"/>
                <w:szCs w:val="21"/>
                <w:vertAlign w:val="subscript"/>
                <w:lang w:val="en-US"/>
              </w:rPr>
              <w:t>gr</w:t>
            </w:r>
            <w:r>
              <w:rPr>
                <w:rFonts w:ascii="Times New Roman" w:hAnsi="Times New Roman"/>
                <w:color w:val="auto"/>
                <w:szCs w:val="21"/>
                <w:lang w:val="en-US"/>
              </w:rPr>
              <w:t>——</w:t>
            </w:r>
            <w:r>
              <w:rPr>
                <w:rFonts w:ascii="Times New Roman" w:hAnsi="Times New Roman"/>
                <w:color w:val="auto"/>
                <w:szCs w:val="21"/>
              </w:rPr>
              <w:t>地面效应引起的倍频带衰减，</w:t>
            </w:r>
            <w:r>
              <w:rPr>
                <w:rFonts w:ascii="Times New Roman" w:hAnsi="Times New Roman"/>
                <w:color w:val="auto"/>
                <w:szCs w:val="21"/>
                <w:lang w:val="en-US"/>
              </w:rPr>
              <w:t>dB</w:t>
            </w:r>
            <w:r>
              <w:rPr>
                <w:rFonts w:ascii="Times New Roman" w:hAnsi="Times New Roman"/>
                <w:color w:val="auto"/>
                <w:szCs w:val="21"/>
              </w:rPr>
              <w:t>；</w:t>
            </w:r>
          </w:p>
          <w:p w14:paraId="4E834F2B">
            <w:pPr>
              <w:pStyle w:val="81"/>
              <w:adjustRightInd w:val="0"/>
              <w:snapToGrid w:val="0"/>
              <w:spacing w:before="0" w:after="0" w:line="360" w:lineRule="auto"/>
              <w:ind w:firstLine="480" w:firstLineChars="200"/>
              <w:contextualSpacing/>
              <w:rPr>
                <w:rFonts w:ascii="Times New Roman" w:hAnsi="Times New Roman"/>
                <w:color w:val="auto"/>
                <w:szCs w:val="21"/>
                <w:lang w:val="en-US"/>
              </w:rPr>
            </w:pPr>
            <w:r>
              <w:rPr>
                <w:rFonts w:ascii="Times New Roman" w:hAnsi="Times New Roman"/>
                <w:color w:val="auto"/>
                <w:szCs w:val="21"/>
                <w:lang w:val="en-US"/>
              </w:rPr>
              <w:t>A</w:t>
            </w:r>
            <w:r>
              <w:rPr>
                <w:rFonts w:ascii="Times New Roman" w:hAnsi="Times New Roman"/>
                <w:color w:val="auto"/>
                <w:szCs w:val="21"/>
                <w:vertAlign w:val="subscript"/>
                <w:lang w:val="en-US"/>
              </w:rPr>
              <w:t>bar</w:t>
            </w:r>
            <w:r>
              <w:rPr>
                <w:rFonts w:ascii="Times New Roman" w:hAnsi="Times New Roman"/>
                <w:color w:val="auto"/>
                <w:szCs w:val="21"/>
                <w:lang w:val="en-US"/>
              </w:rPr>
              <w:t>——</w:t>
            </w:r>
            <w:r>
              <w:rPr>
                <w:rFonts w:ascii="Times New Roman" w:hAnsi="Times New Roman"/>
                <w:color w:val="auto"/>
                <w:szCs w:val="21"/>
              </w:rPr>
              <w:t>声屏障引起的倍频带衰减，</w:t>
            </w:r>
            <w:r>
              <w:rPr>
                <w:rFonts w:ascii="Times New Roman" w:hAnsi="Times New Roman"/>
                <w:color w:val="auto"/>
                <w:szCs w:val="21"/>
                <w:lang w:val="en-US"/>
              </w:rPr>
              <w:t>dB</w:t>
            </w:r>
            <w:r>
              <w:rPr>
                <w:rFonts w:ascii="Times New Roman" w:hAnsi="Times New Roman"/>
                <w:color w:val="auto"/>
                <w:szCs w:val="21"/>
              </w:rPr>
              <w:t>；</w:t>
            </w:r>
          </w:p>
          <w:p w14:paraId="0CEDDBAB">
            <w:pPr>
              <w:pStyle w:val="81"/>
              <w:adjustRightInd w:val="0"/>
              <w:snapToGrid w:val="0"/>
              <w:spacing w:before="0" w:beforeAutospacing="0" w:after="0" w:afterAutospacing="0" w:line="360" w:lineRule="auto"/>
              <w:ind w:firstLine="480" w:firstLineChars="200"/>
              <w:contextualSpacing/>
              <w:rPr>
                <w:rFonts w:ascii="Times New Roman" w:hAnsi="Times New Roman"/>
                <w:color w:val="auto"/>
                <w:szCs w:val="21"/>
                <w:lang w:val="en-US"/>
              </w:rPr>
            </w:pPr>
            <w:r>
              <w:rPr>
                <w:rFonts w:ascii="Times New Roman" w:hAnsi="Times New Roman"/>
                <w:color w:val="auto"/>
                <w:szCs w:val="21"/>
                <w:lang w:val="en-US"/>
              </w:rPr>
              <w:t>A</w:t>
            </w:r>
            <w:r>
              <w:rPr>
                <w:rFonts w:ascii="Times New Roman" w:hAnsi="Times New Roman"/>
                <w:color w:val="auto"/>
                <w:szCs w:val="21"/>
                <w:vertAlign w:val="subscript"/>
                <w:lang w:val="en-US"/>
              </w:rPr>
              <w:t>misc</w:t>
            </w:r>
            <w:r>
              <w:rPr>
                <w:rFonts w:ascii="Times New Roman" w:hAnsi="Times New Roman"/>
                <w:color w:val="auto"/>
                <w:szCs w:val="21"/>
                <w:lang w:val="en-US"/>
              </w:rPr>
              <w:t>——</w:t>
            </w:r>
            <w:r>
              <w:rPr>
                <w:rFonts w:ascii="Times New Roman" w:hAnsi="Times New Roman"/>
                <w:color w:val="auto"/>
                <w:szCs w:val="21"/>
              </w:rPr>
              <w:t>其他多方面效应引起的倍频带衰减，</w:t>
            </w:r>
            <w:r>
              <w:rPr>
                <w:rFonts w:ascii="Times New Roman" w:hAnsi="Times New Roman"/>
                <w:color w:val="auto"/>
                <w:szCs w:val="21"/>
                <w:lang w:val="en-US"/>
              </w:rPr>
              <w:t>dB</w:t>
            </w:r>
            <w:r>
              <w:rPr>
                <w:rFonts w:ascii="Times New Roman" w:hAnsi="Times New Roman"/>
                <w:color w:val="auto"/>
                <w:szCs w:val="21"/>
              </w:rPr>
              <w:t>。</w:t>
            </w:r>
          </w:p>
          <w:p w14:paraId="23F8CC31">
            <w:pPr>
              <w:widowControl/>
              <w:ind w:left="2" w:leftChars="1" w:firstLine="547" w:firstLineChars="227"/>
              <w:jc w:val="center"/>
              <w:rPr>
                <w:rFonts w:hint="eastAsia" w:cs="宋体"/>
                <w:b/>
                <w:color w:val="auto"/>
                <w:kern w:val="0"/>
                <w:sz w:val="24"/>
                <w:szCs w:val="20"/>
                <w:lang w:bidi="ar"/>
              </w:rPr>
            </w:pPr>
          </w:p>
          <w:p w14:paraId="2516EB21">
            <w:pPr>
              <w:widowControl/>
              <w:ind w:left="2" w:leftChars="1" w:firstLine="547" w:firstLineChars="227"/>
              <w:jc w:val="center"/>
              <w:rPr>
                <w:rFonts w:hint="eastAsia" w:cs="宋体"/>
                <w:b/>
                <w:color w:val="auto"/>
                <w:kern w:val="0"/>
                <w:sz w:val="24"/>
                <w:szCs w:val="20"/>
                <w:lang w:bidi="ar"/>
              </w:rPr>
            </w:pPr>
          </w:p>
          <w:p w14:paraId="3739D38E">
            <w:pPr>
              <w:widowControl/>
              <w:ind w:left="2" w:leftChars="1" w:firstLine="547" w:firstLineChars="227"/>
              <w:jc w:val="center"/>
              <w:rPr>
                <w:rFonts w:cs="宋体"/>
                <w:b/>
                <w:color w:val="auto"/>
                <w:kern w:val="0"/>
                <w:sz w:val="24"/>
                <w:szCs w:val="20"/>
                <w:lang w:bidi="ar"/>
              </w:rPr>
            </w:pPr>
            <w:r>
              <w:rPr>
                <w:rFonts w:hint="eastAsia" w:cs="宋体"/>
                <w:b/>
                <w:color w:val="auto"/>
                <w:kern w:val="0"/>
                <w:sz w:val="24"/>
                <w:szCs w:val="20"/>
                <w:lang w:bidi="ar"/>
              </w:rPr>
              <w:t>表</w:t>
            </w:r>
            <w:r>
              <w:rPr>
                <w:b/>
                <w:color w:val="auto"/>
                <w:kern w:val="0"/>
                <w:sz w:val="24"/>
                <w:szCs w:val="20"/>
                <w:lang w:bidi="ar"/>
              </w:rPr>
              <w:t>4-1</w:t>
            </w:r>
            <w:r>
              <w:rPr>
                <w:rFonts w:hint="eastAsia"/>
                <w:b/>
                <w:color w:val="auto"/>
                <w:kern w:val="0"/>
                <w:sz w:val="24"/>
                <w:szCs w:val="20"/>
                <w:lang w:val="en-US" w:eastAsia="zh-CN" w:bidi="ar"/>
              </w:rPr>
              <w:t>8</w:t>
            </w:r>
            <w:r>
              <w:rPr>
                <w:rFonts w:hint="eastAsia" w:cs="宋体"/>
                <w:b/>
                <w:color w:val="auto"/>
                <w:kern w:val="0"/>
                <w:sz w:val="24"/>
                <w:szCs w:val="20"/>
                <w:lang w:bidi="ar"/>
              </w:rPr>
              <w:t>项目噪声贡献值结果一览表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681"/>
              <w:gridCol w:w="1692"/>
              <w:gridCol w:w="1693"/>
              <w:gridCol w:w="1693"/>
              <w:gridCol w:w="1700"/>
            </w:tblGrid>
            <w:tr w14:paraId="247790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93" w:type="pct"/>
                  <w:vMerge w:val="restart"/>
                  <w:tcBorders>
                    <w:top w:val="single" w:color="auto" w:sz="12" w:space="0"/>
                    <w:left w:val="nil"/>
                    <w:bottom w:val="single" w:color="auto" w:sz="4" w:space="0"/>
                    <w:right w:val="single" w:color="auto" w:sz="4" w:space="0"/>
                  </w:tcBorders>
                  <w:shd w:val="clear" w:color="auto" w:fill="auto"/>
                  <w:vAlign w:val="center"/>
                </w:tcPr>
                <w:p w14:paraId="02F4C1CF">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hAnsi="宋体" w:cs="宋体"/>
                      <w:color w:val="auto"/>
                      <w:szCs w:val="21"/>
                      <w:lang w:bidi="ar"/>
                    </w:rPr>
                    <w:t>点位</w:t>
                  </w:r>
                </w:p>
              </w:tc>
              <w:tc>
                <w:tcPr>
                  <w:tcW w:w="4004" w:type="pct"/>
                  <w:gridSpan w:val="4"/>
                  <w:tcBorders>
                    <w:top w:val="single" w:color="auto" w:sz="12" w:space="0"/>
                    <w:left w:val="single" w:color="auto" w:sz="4" w:space="0"/>
                    <w:bottom w:val="single" w:color="auto" w:sz="4" w:space="0"/>
                    <w:right w:val="nil"/>
                  </w:tcBorders>
                  <w:shd w:val="clear" w:color="auto" w:fill="auto"/>
                  <w:vAlign w:val="center"/>
                </w:tcPr>
                <w:p w14:paraId="568C1ADD">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hAnsi="宋体" w:cs="宋体"/>
                      <w:color w:val="auto"/>
                      <w:szCs w:val="21"/>
                      <w:lang w:bidi="ar"/>
                    </w:rPr>
                    <w:t>昼间</w:t>
                  </w:r>
                </w:p>
              </w:tc>
            </w:tr>
            <w:tr w14:paraId="7CFAE3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93" w:type="pct"/>
                  <w:vMerge w:val="continue"/>
                  <w:tcBorders>
                    <w:top w:val="single" w:color="auto" w:sz="12" w:space="0"/>
                    <w:left w:val="nil"/>
                    <w:bottom w:val="single" w:color="auto" w:sz="4" w:space="0"/>
                    <w:right w:val="single" w:color="auto" w:sz="4" w:space="0"/>
                  </w:tcBorders>
                  <w:shd w:val="clear" w:color="auto" w:fill="auto"/>
                  <w:vAlign w:val="center"/>
                </w:tcPr>
                <w:p w14:paraId="534C43F8">
                  <w:pPr>
                    <w:keepNext w:val="0"/>
                    <w:keepLines w:val="0"/>
                    <w:pageBreakBefore w:val="0"/>
                    <w:kinsoku/>
                    <w:wordWrap/>
                    <w:overflowPunct/>
                    <w:topLinePunct w:val="0"/>
                    <w:autoSpaceDE/>
                    <w:autoSpaceDN/>
                    <w:bidi w:val="0"/>
                    <w:adjustRightInd w:val="0"/>
                    <w:snapToGrid w:val="0"/>
                    <w:ind w:firstLine="0"/>
                    <w:rPr>
                      <w:color w:val="auto"/>
                      <w:sz w:val="20"/>
                      <w:szCs w:val="20"/>
                    </w:rPr>
                  </w:pP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1BD3227D">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hAnsi="宋体" w:cs="宋体"/>
                      <w:color w:val="auto"/>
                      <w:szCs w:val="21"/>
                      <w:lang w:bidi="ar"/>
                    </w:rPr>
                    <w:t>本底值</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67D49FF0">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hAnsi="宋体" w:cs="宋体"/>
                      <w:color w:val="auto"/>
                      <w:szCs w:val="21"/>
                      <w:lang w:bidi="ar"/>
                    </w:rPr>
                    <w:t>贡献值</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4672F98C">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hAnsi="宋体" w:cs="宋体"/>
                      <w:color w:val="auto"/>
                      <w:szCs w:val="21"/>
                      <w:lang w:bidi="ar"/>
                    </w:rPr>
                    <w:t>预测值</w:t>
                  </w:r>
                </w:p>
              </w:tc>
              <w:tc>
                <w:tcPr>
                  <w:tcW w:w="1003" w:type="pct"/>
                  <w:tcBorders>
                    <w:top w:val="single" w:color="auto" w:sz="4" w:space="0"/>
                    <w:left w:val="single" w:color="auto" w:sz="4" w:space="0"/>
                    <w:bottom w:val="single" w:color="auto" w:sz="4" w:space="0"/>
                    <w:right w:val="nil"/>
                  </w:tcBorders>
                  <w:shd w:val="clear" w:color="auto" w:fill="auto"/>
                  <w:vAlign w:val="center"/>
                </w:tcPr>
                <w:p w14:paraId="4A734486">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hAnsi="宋体" w:cs="宋体"/>
                      <w:color w:val="auto"/>
                      <w:szCs w:val="21"/>
                      <w:lang w:bidi="ar"/>
                    </w:rPr>
                    <w:t>达标状况</w:t>
                  </w:r>
                </w:p>
              </w:tc>
            </w:tr>
            <w:tr w14:paraId="54F9B6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93" w:type="pct"/>
                  <w:tcBorders>
                    <w:top w:val="single" w:color="auto" w:sz="4" w:space="0"/>
                    <w:left w:val="nil"/>
                    <w:bottom w:val="single" w:color="auto" w:sz="4" w:space="0"/>
                    <w:right w:val="single" w:color="auto" w:sz="4" w:space="0"/>
                  </w:tcBorders>
                  <w:shd w:val="clear" w:color="auto" w:fill="auto"/>
                  <w:vAlign w:val="center"/>
                </w:tcPr>
                <w:p w14:paraId="01E31178">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hAnsi="宋体" w:cs="宋体"/>
                      <w:color w:val="auto"/>
                      <w:szCs w:val="21"/>
                      <w:lang w:bidi="ar"/>
                    </w:rPr>
                    <w:t>厂界东</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7817E644">
                  <w:pPr>
                    <w:keepNext w:val="0"/>
                    <w:keepLines w:val="0"/>
                    <w:pageBreakBefore w:val="0"/>
                    <w:kinsoku/>
                    <w:wordWrap/>
                    <w:overflowPunct/>
                    <w:topLinePunct w:val="0"/>
                    <w:autoSpaceDE/>
                    <w:autoSpaceDN/>
                    <w:bidi w:val="0"/>
                    <w:adjustRightInd w:val="0"/>
                    <w:snapToGrid w:val="0"/>
                    <w:ind w:firstLine="0"/>
                    <w:jc w:val="center"/>
                    <w:rPr>
                      <w:color w:val="auto"/>
                      <w:szCs w:val="21"/>
                    </w:rPr>
                  </w:pPr>
                  <w:r>
                    <w:rPr>
                      <w:color w:val="auto"/>
                      <w:szCs w:val="21"/>
                      <w:lang w:bidi="ar"/>
                    </w:rPr>
                    <w:t>/</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3851703C">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lang w:bidi="ar"/>
                    </w:rPr>
                    <w:t>42.5</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469770DE">
                  <w:pPr>
                    <w:keepNext w:val="0"/>
                    <w:keepLines w:val="0"/>
                    <w:pageBreakBefore w:val="0"/>
                    <w:kinsoku/>
                    <w:wordWrap/>
                    <w:overflowPunct/>
                    <w:topLinePunct w:val="0"/>
                    <w:autoSpaceDE/>
                    <w:autoSpaceDN/>
                    <w:bidi w:val="0"/>
                    <w:adjustRightInd w:val="0"/>
                    <w:snapToGrid w:val="0"/>
                    <w:ind w:firstLine="0"/>
                    <w:jc w:val="center"/>
                    <w:rPr>
                      <w:color w:val="auto"/>
                      <w:szCs w:val="21"/>
                    </w:rPr>
                  </w:pPr>
                  <w:r>
                    <w:rPr>
                      <w:color w:val="auto"/>
                      <w:szCs w:val="21"/>
                      <w:lang w:bidi="ar"/>
                    </w:rPr>
                    <w:t>/</w:t>
                  </w:r>
                </w:p>
              </w:tc>
              <w:tc>
                <w:tcPr>
                  <w:tcW w:w="1003" w:type="pct"/>
                  <w:tcBorders>
                    <w:top w:val="single" w:color="auto" w:sz="4" w:space="0"/>
                    <w:left w:val="single" w:color="auto" w:sz="4" w:space="0"/>
                    <w:bottom w:val="single" w:color="auto" w:sz="4" w:space="0"/>
                    <w:right w:val="nil"/>
                  </w:tcBorders>
                  <w:shd w:val="clear" w:color="auto" w:fill="auto"/>
                  <w:vAlign w:val="center"/>
                </w:tcPr>
                <w:p w14:paraId="0AFF5EA7">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hAnsi="宋体" w:cs="宋体"/>
                      <w:color w:val="auto"/>
                      <w:szCs w:val="21"/>
                      <w:lang w:bidi="ar"/>
                    </w:rPr>
                    <w:t>达标</w:t>
                  </w:r>
                </w:p>
              </w:tc>
            </w:tr>
            <w:tr w14:paraId="35CB93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93" w:type="pct"/>
                  <w:tcBorders>
                    <w:top w:val="single" w:color="auto" w:sz="4" w:space="0"/>
                    <w:left w:val="nil"/>
                    <w:bottom w:val="single" w:color="auto" w:sz="4" w:space="0"/>
                    <w:right w:val="single" w:color="auto" w:sz="4" w:space="0"/>
                  </w:tcBorders>
                  <w:shd w:val="clear" w:color="auto" w:fill="auto"/>
                  <w:vAlign w:val="center"/>
                </w:tcPr>
                <w:p w14:paraId="31220A6F">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hAnsi="宋体" w:cs="宋体"/>
                      <w:color w:val="auto"/>
                      <w:szCs w:val="21"/>
                      <w:lang w:bidi="ar"/>
                    </w:rPr>
                    <w:t>厂界南</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591B5E09">
                  <w:pPr>
                    <w:keepNext w:val="0"/>
                    <w:keepLines w:val="0"/>
                    <w:pageBreakBefore w:val="0"/>
                    <w:kinsoku/>
                    <w:wordWrap/>
                    <w:overflowPunct/>
                    <w:topLinePunct w:val="0"/>
                    <w:autoSpaceDE/>
                    <w:autoSpaceDN/>
                    <w:bidi w:val="0"/>
                    <w:adjustRightInd w:val="0"/>
                    <w:snapToGrid w:val="0"/>
                    <w:ind w:firstLine="0"/>
                    <w:jc w:val="center"/>
                    <w:rPr>
                      <w:color w:val="auto"/>
                      <w:szCs w:val="21"/>
                    </w:rPr>
                  </w:pPr>
                  <w:r>
                    <w:rPr>
                      <w:color w:val="auto"/>
                      <w:szCs w:val="21"/>
                      <w:lang w:bidi="ar"/>
                    </w:rPr>
                    <w:t>/</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2F36A6A1">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lang w:bidi="ar"/>
                    </w:rPr>
                    <w:t>44.6</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1E233B2D">
                  <w:pPr>
                    <w:keepNext w:val="0"/>
                    <w:keepLines w:val="0"/>
                    <w:pageBreakBefore w:val="0"/>
                    <w:kinsoku/>
                    <w:wordWrap/>
                    <w:overflowPunct/>
                    <w:topLinePunct w:val="0"/>
                    <w:autoSpaceDE/>
                    <w:autoSpaceDN/>
                    <w:bidi w:val="0"/>
                    <w:adjustRightInd w:val="0"/>
                    <w:snapToGrid w:val="0"/>
                    <w:ind w:firstLine="0"/>
                    <w:jc w:val="center"/>
                    <w:rPr>
                      <w:color w:val="auto"/>
                      <w:szCs w:val="21"/>
                    </w:rPr>
                  </w:pPr>
                  <w:r>
                    <w:rPr>
                      <w:color w:val="auto"/>
                      <w:szCs w:val="21"/>
                      <w:lang w:bidi="ar"/>
                    </w:rPr>
                    <w:t>/</w:t>
                  </w:r>
                </w:p>
              </w:tc>
              <w:tc>
                <w:tcPr>
                  <w:tcW w:w="1003" w:type="pct"/>
                  <w:tcBorders>
                    <w:top w:val="single" w:color="auto" w:sz="4" w:space="0"/>
                    <w:left w:val="single" w:color="auto" w:sz="4" w:space="0"/>
                    <w:bottom w:val="single" w:color="auto" w:sz="4" w:space="0"/>
                    <w:right w:val="nil"/>
                  </w:tcBorders>
                  <w:shd w:val="clear" w:color="auto" w:fill="auto"/>
                  <w:vAlign w:val="center"/>
                </w:tcPr>
                <w:p w14:paraId="56809440">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hAnsi="宋体" w:cs="宋体"/>
                      <w:color w:val="auto"/>
                      <w:szCs w:val="21"/>
                      <w:lang w:bidi="ar"/>
                    </w:rPr>
                    <w:t>达标</w:t>
                  </w:r>
                </w:p>
              </w:tc>
            </w:tr>
            <w:tr w14:paraId="49F11D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93" w:type="pct"/>
                  <w:tcBorders>
                    <w:top w:val="single" w:color="auto" w:sz="4" w:space="0"/>
                    <w:left w:val="nil"/>
                    <w:bottom w:val="single" w:color="auto" w:sz="4" w:space="0"/>
                    <w:right w:val="single" w:color="auto" w:sz="4" w:space="0"/>
                  </w:tcBorders>
                  <w:shd w:val="clear" w:color="auto" w:fill="auto"/>
                  <w:vAlign w:val="center"/>
                </w:tcPr>
                <w:p w14:paraId="16913D08">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hAnsi="宋体" w:cs="宋体"/>
                      <w:color w:val="auto"/>
                      <w:szCs w:val="21"/>
                      <w:lang w:bidi="ar"/>
                    </w:rPr>
                    <w:t>厂界西</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6E168103">
                  <w:pPr>
                    <w:keepNext w:val="0"/>
                    <w:keepLines w:val="0"/>
                    <w:pageBreakBefore w:val="0"/>
                    <w:kinsoku/>
                    <w:wordWrap/>
                    <w:overflowPunct/>
                    <w:topLinePunct w:val="0"/>
                    <w:autoSpaceDE/>
                    <w:autoSpaceDN/>
                    <w:bidi w:val="0"/>
                    <w:adjustRightInd w:val="0"/>
                    <w:snapToGrid w:val="0"/>
                    <w:ind w:firstLine="0"/>
                    <w:jc w:val="center"/>
                    <w:rPr>
                      <w:color w:val="auto"/>
                      <w:szCs w:val="21"/>
                    </w:rPr>
                  </w:pPr>
                  <w:r>
                    <w:rPr>
                      <w:color w:val="auto"/>
                      <w:szCs w:val="21"/>
                      <w:lang w:bidi="ar"/>
                    </w:rPr>
                    <w:t>/</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3575C9B1">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lang w:bidi="ar"/>
                    </w:rPr>
                    <w:t>41.6</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7AF0915A">
                  <w:pPr>
                    <w:keepNext w:val="0"/>
                    <w:keepLines w:val="0"/>
                    <w:pageBreakBefore w:val="0"/>
                    <w:kinsoku/>
                    <w:wordWrap/>
                    <w:overflowPunct/>
                    <w:topLinePunct w:val="0"/>
                    <w:autoSpaceDE/>
                    <w:autoSpaceDN/>
                    <w:bidi w:val="0"/>
                    <w:adjustRightInd w:val="0"/>
                    <w:snapToGrid w:val="0"/>
                    <w:ind w:firstLine="0"/>
                    <w:jc w:val="center"/>
                    <w:rPr>
                      <w:color w:val="auto"/>
                      <w:szCs w:val="21"/>
                    </w:rPr>
                  </w:pPr>
                  <w:r>
                    <w:rPr>
                      <w:color w:val="auto"/>
                      <w:szCs w:val="21"/>
                      <w:lang w:bidi="ar"/>
                    </w:rPr>
                    <w:t>/</w:t>
                  </w:r>
                </w:p>
              </w:tc>
              <w:tc>
                <w:tcPr>
                  <w:tcW w:w="1003" w:type="pct"/>
                  <w:tcBorders>
                    <w:top w:val="single" w:color="auto" w:sz="4" w:space="0"/>
                    <w:left w:val="single" w:color="auto" w:sz="4" w:space="0"/>
                    <w:bottom w:val="single" w:color="auto" w:sz="4" w:space="0"/>
                    <w:right w:val="nil"/>
                  </w:tcBorders>
                  <w:shd w:val="clear" w:color="auto" w:fill="auto"/>
                  <w:vAlign w:val="center"/>
                </w:tcPr>
                <w:p w14:paraId="595A9425">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hAnsi="宋体" w:cs="宋体"/>
                      <w:color w:val="auto"/>
                      <w:szCs w:val="21"/>
                      <w:lang w:bidi="ar"/>
                    </w:rPr>
                    <w:t>达标</w:t>
                  </w:r>
                </w:p>
              </w:tc>
            </w:tr>
            <w:tr w14:paraId="087C04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93" w:type="pct"/>
                  <w:tcBorders>
                    <w:top w:val="single" w:color="auto" w:sz="4" w:space="0"/>
                    <w:left w:val="nil"/>
                    <w:bottom w:val="single" w:color="auto" w:sz="12" w:space="0"/>
                    <w:right w:val="single" w:color="auto" w:sz="4" w:space="0"/>
                  </w:tcBorders>
                  <w:shd w:val="clear" w:color="auto" w:fill="auto"/>
                  <w:vAlign w:val="center"/>
                </w:tcPr>
                <w:p w14:paraId="026CE68E">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hAnsi="宋体" w:cs="宋体"/>
                      <w:color w:val="auto"/>
                      <w:szCs w:val="21"/>
                      <w:lang w:bidi="ar"/>
                    </w:rPr>
                    <w:t>厂界北</w:t>
                  </w:r>
                </w:p>
              </w:tc>
              <w:tc>
                <w:tcPr>
                  <w:tcW w:w="1000" w:type="pct"/>
                  <w:tcBorders>
                    <w:top w:val="single" w:color="auto" w:sz="4" w:space="0"/>
                    <w:left w:val="single" w:color="auto" w:sz="4" w:space="0"/>
                    <w:bottom w:val="single" w:color="auto" w:sz="12" w:space="0"/>
                    <w:right w:val="single" w:color="auto" w:sz="4" w:space="0"/>
                  </w:tcBorders>
                  <w:shd w:val="clear" w:color="auto" w:fill="auto"/>
                  <w:vAlign w:val="center"/>
                </w:tcPr>
                <w:p w14:paraId="58449992">
                  <w:pPr>
                    <w:keepNext w:val="0"/>
                    <w:keepLines w:val="0"/>
                    <w:pageBreakBefore w:val="0"/>
                    <w:kinsoku/>
                    <w:wordWrap/>
                    <w:overflowPunct/>
                    <w:topLinePunct w:val="0"/>
                    <w:autoSpaceDE/>
                    <w:autoSpaceDN/>
                    <w:bidi w:val="0"/>
                    <w:adjustRightInd w:val="0"/>
                    <w:snapToGrid w:val="0"/>
                    <w:ind w:firstLine="0"/>
                    <w:jc w:val="center"/>
                    <w:rPr>
                      <w:color w:val="auto"/>
                      <w:szCs w:val="21"/>
                    </w:rPr>
                  </w:pPr>
                  <w:r>
                    <w:rPr>
                      <w:color w:val="auto"/>
                      <w:szCs w:val="21"/>
                      <w:lang w:bidi="ar"/>
                    </w:rPr>
                    <w:t>/</w:t>
                  </w:r>
                </w:p>
              </w:tc>
              <w:tc>
                <w:tcPr>
                  <w:tcW w:w="1693" w:type="dxa"/>
                  <w:tcBorders>
                    <w:top w:val="single" w:color="auto" w:sz="4" w:space="0"/>
                    <w:left w:val="single" w:color="auto" w:sz="4" w:space="0"/>
                    <w:bottom w:val="single" w:color="auto" w:sz="12" w:space="0"/>
                    <w:right w:val="single" w:color="auto" w:sz="4" w:space="0"/>
                  </w:tcBorders>
                  <w:shd w:val="clear" w:color="auto" w:fill="auto"/>
                  <w:vAlign w:val="center"/>
                </w:tcPr>
                <w:p w14:paraId="76F4A27C">
                  <w:pPr>
                    <w:keepNext w:val="0"/>
                    <w:keepLines w:val="0"/>
                    <w:pageBreakBefore w:val="0"/>
                    <w:widowControl/>
                    <w:kinsoku/>
                    <w:wordWrap/>
                    <w:overflowPunct/>
                    <w:topLinePunct w:val="0"/>
                    <w:autoSpaceDE/>
                    <w:autoSpaceDN/>
                    <w:bidi w:val="0"/>
                    <w:adjustRightInd w:val="0"/>
                    <w:snapToGrid w:val="0"/>
                    <w:ind w:right="-42" w:rightChars="-20" w:firstLine="0"/>
                    <w:jc w:val="center"/>
                    <w:textAlignment w:val="baseline"/>
                    <w:rPr>
                      <w:color w:val="auto"/>
                      <w:szCs w:val="21"/>
                    </w:rPr>
                  </w:pPr>
                  <w:r>
                    <w:rPr>
                      <w:color w:val="auto"/>
                      <w:szCs w:val="21"/>
                      <w:lang w:bidi="ar"/>
                    </w:rPr>
                    <w:t>42.5</w:t>
                  </w:r>
                </w:p>
              </w:tc>
              <w:tc>
                <w:tcPr>
                  <w:tcW w:w="1000" w:type="pct"/>
                  <w:tcBorders>
                    <w:top w:val="single" w:color="auto" w:sz="4" w:space="0"/>
                    <w:left w:val="single" w:color="auto" w:sz="4" w:space="0"/>
                    <w:bottom w:val="single" w:color="auto" w:sz="12" w:space="0"/>
                    <w:right w:val="single" w:color="auto" w:sz="4" w:space="0"/>
                  </w:tcBorders>
                  <w:shd w:val="clear" w:color="auto" w:fill="auto"/>
                  <w:vAlign w:val="center"/>
                </w:tcPr>
                <w:p w14:paraId="547A9EE6">
                  <w:pPr>
                    <w:keepNext w:val="0"/>
                    <w:keepLines w:val="0"/>
                    <w:pageBreakBefore w:val="0"/>
                    <w:kinsoku/>
                    <w:wordWrap/>
                    <w:overflowPunct/>
                    <w:topLinePunct w:val="0"/>
                    <w:autoSpaceDE/>
                    <w:autoSpaceDN/>
                    <w:bidi w:val="0"/>
                    <w:adjustRightInd w:val="0"/>
                    <w:snapToGrid w:val="0"/>
                    <w:ind w:firstLine="0"/>
                    <w:jc w:val="center"/>
                    <w:rPr>
                      <w:color w:val="auto"/>
                      <w:szCs w:val="21"/>
                    </w:rPr>
                  </w:pPr>
                  <w:r>
                    <w:rPr>
                      <w:color w:val="auto"/>
                      <w:szCs w:val="21"/>
                      <w:lang w:bidi="ar"/>
                    </w:rPr>
                    <w:t>/</w:t>
                  </w:r>
                </w:p>
              </w:tc>
              <w:tc>
                <w:tcPr>
                  <w:tcW w:w="1003" w:type="pct"/>
                  <w:tcBorders>
                    <w:top w:val="single" w:color="auto" w:sz="4" w:space="0"/>
                    <w:left w:val="single" w:color="auto" w:sz="4" w:space="0"/>
                    <w:bottom w:val="single" w:color="auto" w:sz="12" w:space="0"/>
                    <w:right w:val="nil"/>
                  </w:tcBorders>
                  <w:shd w:val="clear" w:color="auto" w:fill="auto"/>
                  <w:vAlign w:val="center"/>
                </w:tcPr>
                <w:p w14:paraId="6728BD84">
                  <w:pPr>
                    <w:keepNext w:val="0"/>
                    <w:keepLines w:val="0"/>
                    <w:pageBreakBefore w:val="0"/>
                    <w:kinsoku/>
                    <w:wordWrap/>
                    <w:overflowPunct/>
                    <w:topLinePunct w:val="0"/>
                    <w:autoSpaceDE/>
                    <w:autoSpaceDN/>
                    <w:bidi w:val="0"/>
                    <w:adjustRightInd w:val="0"/>
                    <w:snapToGrid w:val="0"/>
                    <w:ind w:firstLine="0"/>
                    <w:jc w:val="center"/>
                    <w:rPr>
                      <w:color w:val="auto"/>
                      <w:szCs w:val="21"/>
                    </w:rPr>
                  </w:pPr>
                  <w:r>
                    <w:rPr>
                      <w:rFonts w:hint="eastAsia" w:hAnsi="宋体" w:cs="宋体"/>
                      <w:color w:val="auto"/>
                      <w:szCs w:val="21"/>
                      <w:lang w:bidi="ar"/>
                    </w:rPr>
                    <w:t>达标</w:t>
                  </w:r>
                </w:p>
              </w:tc>
            </w:tr>
          </w:tbl>
          <w:p w14:paraId="6512CABC">
            <w:pPr>
              <w:adjustRightInd w:val="0"/>
              <w:snapToGrid w:val="0"/>
              <w:spacing w:before="120" w:beforeLines="50" w:line="360" w:lineRule="auto"/>
              <w:ind w:firstLine="480" w:firstLineChars="200"/>
              <w:rPr>
                <w:color w:val="auto"/>
                <w:sz w:val="24"/>
              </w:rPr>
            </w:pPr>
            <w:bookmarkStart w:id="33" w:name="_Toc159927032"/>
            <w:bookmarkEnd w:id="33"/>
            <w:bookmarkStart w:id="34" w:name="OLE_LINK9"/>
            <w:bookmarkStart w:id="35" w:name="_Hlk364239474"/>
            <w:r>
              <w:rPr>
                <w:color w:val="auto"/>
                <w:sz w:val="24"/>
              </w:rPr>
              <w:t>从表</w:t>
            </w:r>
            <w:bookmarkEnd w:id="34"/>
            <w:bookmarkEnd w:id="35"/>
            <w:r>
              <w:rPr>
                <w:color w:val="auto"/>
                <w:sz w:val="24"/>
              </w:rPr>
              <w:t>4-</w:t>
            </w:r>
            <w:r>
              <w:rPr>
                <w:rFonts w:hint="eastAsia"/>
                <w:color w:val="auto"/>
                <w:sz w:val="24"/>
              </w:rPr>
              <w:t>1</w:t>
            </w:r>
            <w:r>
              <w:rPr>
                <w:rFonts w:hint="eastAsia"/>
                <w:color w:val="auto"/>
                <w:sz w:val="24"/>
                <w:lang w:val="en-US" w:eastAsia="zh-CN"/>
              </w:rPr>
              <w:t>8</w:t>
            </w:r>
            <w:r>
              <w:rPr>
                <w:color w:val="auto"/>
                <w:sz w:val="24"/>
              </w:rPr>
              <w:t>可以看出：建设项目</w:t>
            </w:r>
            <w:r>
              <w:rPr>
                <w:rFonts w:hint="eastAsia"/>
                <w:color w:val="auto"/>
                <w:sz w:val="24"/>
              </w:rPr>
              <w:t>厂界四周</w:t>
            </w:r>
            <w:r>
              <w:rPr>
                <w:color w:val="auto"/>
                <w:sz w:val="24"/>
              </w:rPr>
              <w:t>噪声贡献值为</w:t>
            </w:r>
            <w:r>
              <w:rPr>
                <w:rFonts w:hint="eastAsia"/>
                <w:color w:val="auto"/>
                <w:sz w:val="24"/>
              </w:rPr>
              <w:t>41.6-44.6</w:t>
            </w:r>
            <w:r>
              <w:rPr>
                <w:color w:val="auto"/>
                <w:sz w:val="24"/>
              </w:rPr>
              <w:t>dB</w:t>
            </w:r>
            <w:r>
              <w:rPr>
                <w:rFonts w:hint="eastAsia"/>
                <w:color w:val="auto"/>
                <w:sz w:val="24"/>
              </w:rPr>
              <w:t>（</w:t>
            </w:r>
            <w:r>
              <w:rPr>
                <w:color w:val="auto"/>
                <w:sz w:val="24"/>
              </w:rPr>
              <w:t>A</w:t>
            </w:r>
            <w:r>
              <w:rPr>
                <w:rFonts w:hint="eastAsia"/>
                <w:color w:val="auto"/>
                <w:sz w:val="24"/>
              </w:rPr>
              <w:t>），</w:t>
            </w:r>
            <w:r>
              <w:rPr>
                <w:color w:val="auto"/>
                <w:sz w:val="24"/>
              </w:rPr>
              <w:t>能够满足《工业企业厂界环境噪声排放标准》（GB12348-2008）</w:t>
            </w:r>
            <w:r>
              <w:rPr>
                <w:rFonts w:hint="eastAsia"/>
                <w:color w:val="auto"/>
                <w:sz w:val="24"/>
              </w:rPr>
              <w:t>3</w:t>
            </w:r>
            <w:r>
              <w:rPr>
                <w:color w:val="auto"/>
                <w:sz w:val="24"/>
              </w:rPr>
              <w:t>类标准要求</w:t>
            </w:r>
            <w:r>
              <w:rPr>
                <w:rFonts w:hint="eastAsia"/>
                <w:color w:val="auto"/>
                <w:sz w:val="24"/>
              </w:rPr>
              <w:t>，</w:t>
            </w:r>
            <w:r>
              <w:rPr>
                <w:color w:val="auto"/>
                <w:sz w:val="24"/>
              </w:rPr>
              <w:t>因此项目噪声对环境的影响能够满足环境保护的要求。</w:t>
            </w:r>
          </w:p>
          <w:p w14:paraId="5D95C215">
            <w:pPr>
              <w:widowControl/>
              <w:spacing w:line="360" w:lineRule="auto"/>
              <w:ind w:firstLine="482" w:firstLineChars="200"/>
              <w:jc w:val="left"/>
              <w:rPr>
                <w:color w:val="auto"/>
                <w:sz w:val="24"/>
              </w:rPr>
            </w:pPr>
            <w:r>
              <w:rPr>
                <w:rFonts w:hint="eastAsia"/>
                <w:b/>
                <w:color w:val="auto"/>
                <w:kern w:val="0"/>
                <w:sz w:val="24"/>
              </w:rPr>
              <w:t>3.2</w:t>
            </w:r>
            <w:r>
              <w:rPr>
                <w:b/>
                <w:color w:val="auto"/>
                <w:kern w:val="0"/>
                <w:sz w:val="24"/>
              </w:rPr>
              <w:t>噪声防治措施及厂界达标分析</w:t>
            </w:r>
          </w:p>
          <w:p w14:paraId="5968F0E4">
            <w:pPr>
              <w:widowControl/>
              <w:spacing w:line="360" w:lineRule="auto"/>
              <w:ind w:firstLine="480" w:firstLineChars="200"/>
              <w:jc w:val="left"/>
              <w:rPr>
                <w:color w:val="auto"/>
                <w:sz w:val="24"/>
              </w:rPr>
            </w:pPr>
            <w:r>
              <w:rPr>
                <w:color w:val="auto"/>
                <w:sz w:val="24"/>
              </w:rPr>
              <w:t>企业周边50m范围内</w:t>
            </w:r>
            <w:r>
              <w:rPr>
                <w:rFonts w:hint="eastAsia"/>
                <w:color w:val="auto"/>
                <w:sz w:val="24"/>
              </w:rPr>
              <w:t>无</w:t>
            </w:r>
            <w:r>
              <w:rPr>
                <w:color w:val="auto"/>
                <w:sz w:val="24"/>
              </w:rPr>
              <w:t>声环境保护目标</w:t>
            </w:r>
            <w:r>
              <w:rPr>
                <w:rFonts w:hint="eastAsia"/>
                <w:color w:val="auto"/>
                <w:sz w:val="24"/>
              </w:rPr>
              <w:t>，</w:t>
            </w:r>
            <w:r>
              <w:rPr>
                <w:color w:val="auto"/>
                <w:sz w:val="24"/>
              </w:rPr>
              <w:t>项目建设主要噪声源</w:t>
            </w:r>
            <w:r>
              <w:rPr>
                <w:rFonts w:hint="eastAsia"/>
                <w:color w:val="auto"/>
                <w:sz w:val="24"/>
              </w:rPr>
              <w:t>为生产设备</w:t>
            </w:r>
            <w:r>
              <w:rPr>
                <w:color w:val="auto"/>
                <w:kern w:val="0"/>
                <w:sz w:val="24"/>
              </w:rPr>
              <w:t>等</w:t>
            </w:r>
            <w:r>
              <w:rPr>
                <w:color w:val="auto"/>
                <w:sz w:val="24"/>
              </w:rPr>
              <w:t>，其源强约60-85dB</w:t>
            </w:r>
            <w:r>
              <w:rPr>
                <w:rFonts w:hint="eastAsia"/>
                <w:color w:val="auto"/>
                <w:sz w:val="24"/>
              </w:rPr>
              <w:t>（</w:t>
            </w:r>
            <w:r>
              <w:rPr>
                <w:color w:val="auto"/>
                <w:sz w:val="24"/>
              </w:rPr>
              <w:t>A</w:t>
            </w:r>
            <w:r>
              <w:rPr>
                <w:rFonts w:hint="eastAsia"/>
                <w:color w:val="auto"/>
                <w:sz w:val="24"/>
              </w:rPr>
              <w:t>）</w:t>
            </w:r>
            <w:r>
              <w:rPr>
                <w:color w:val="auto"/>
                <w:sz w:val="24"/>
              </w:rPr>
              <w:t>，</w:t>
            </w:r>
            <w:r>
              <w:rPr>
                <w:rFonts w:hint="eastAsia"/>
                <w:color w:val="auto"/>
                <w:sz w:val="24"/>
              </w:rPr>
              <w:t>为进一步减小项目噪声影响，针对项目特点，建设单位采取了不同的噪声防治措施，首先是先从声源上进行有效控制，其次采取有效的隔声、消声、吸声等控制措施，厂区拟采取噪声防治措施如下</w:t>
            </w:r>
            <w:r>
              <w:rPr>
                <w:color w:val="auto"/>
                <w:sz w:val="24"/>
              </w:rPr>
              <w:t>：</w:t>
            </w:r>
          </w:p>
          <w:p w14:paraId="101284A9">
            <w:pPr>
              <w:widowControl/>
              <w:adjustRightInd w:val="0"/>
              <w:snapToGrid w:val="0"/>
              <w:spacing w:line="360" w:lineRule="auto"/>
              <w:ind w:firstLine="480" w:firstLineChars="200"/>
              <w:rPr>
                <w:color w:val="auto"/>
                <w:sz w:val="24"/>
              </w:rPr>
            </w:pPr>
            <w:r>
              <w:rPr>
                <w:color w:val="auto"/>
                <w:sz w:val="24"/>
              </w:rPr>
              <w:t>（1）</w:t>
            </w:r>
            <w:r>
              <w:rPr>
                <w:rFonts w:hint="eastAsia"/>
                <w:color w:val="auto"/>
                <w:sz w:val="24"/>
              </w:rPr>
              <w:t>从声源上控制，加工设备选择低噪声和符合国家噪声标准的设备。生产设备均采用性能好、噪声发生源强小和生产效率高的设备。动力设备采用钢砼隔振基础，管道、阀门接口采取缓动及减振的挠性接头（口）</w:t>
            </w:r>
            <w:r>
              <w:rPr>
                <w:color w:val="auto"/>
                <w:sz w:val="24"/>
              </w:rPr>
              <w:t>。</w:t>
            </w:r>
          </w:p>
          <w:p w14:paraId="7DFFA417">
            <w:pPr>
              <w:widowControl/>
              <w:adjustRightInd w:val="0"/>
              <w:snapToGrid w:val="0"/>
              <w:spacing w:line="360" w:lineRule="auto"/>
              <w:ind w:firstLine="480" w:firstLineChars="200"/>
              <w:rPr>
                <w:color w:val="auto"/>
                <w:sz w:val="24"/>
              </w:rPr>
            </w:pPr>
            <w:r>
              <w:rPr>
                <w:color w:val="auto"/>
                <w:sz w:val="24"/>
              </w:rPr>
              <w:t>（2）</w:t>
            </w:r>
            <w:r>
              <w:rPr>
                <w:rFonts w:hint="eastAsia"/>
                <w:color w:val="auto"/>
                <w:sz w:val="24"/>
              </w:rPr>
              <w:t>合理布局：将高噪声设备</w:t>
            </w:r>
            <w:r>
              <w:rPr>
                <w:rFonts w:hAnsi="宋体"/>
                <w:color w:val="auto"/>
                <w:sz w:val="24"/>
              </w:rPr>
              <w:t>尽量布置在</w:t>
            </w:r>
            <w:r>
              <w:rPr>
                <w:rFonts w:hint="eastAsia" w:hAnsi="宋体"/>
                <w:color w:val="auto"/>
                <w:sz w:val="24"/>
              </w:rPr>
              <w:t>生产车间</w:t>
            </w:r>
            <w:r>
              <w:rPr>
                <w:rFonts w:hAnsi="宋体"/>
                <w:color w:val="auto"/>
                <w:sz w:val="24"/>
              </w:rPr>
              <w:t>中间，</w:t>
            </w:r>
            <w:r>
              <w:rPr>
                <w:rFonts w:hint="eastAsia" w:hAnsi="宋体"/>
                <w:color w:val="auto"/>
                <w:sz w:val="24"/>
              </w:rPr>
              <w:t>且</w:t>
            </w:r>
            <w:r>
              <w:rPr>
                <w:rFonts w:hint="eastAsia"/>
                <w:color w:val="auto"/>
                <w:sz w:val="24"/>
              </w:rPr>
              <w:t>尽量布置在远离厂界及声环境敏感保护目标处的生产车间内；低噪声设备布置在距离厂界及敏感目标较近的生产车间内，尽量布置在车间中间，远离生产车间边界，通过距离衰减，减轻噪声对周围环境的影响</w:t>
            </w:r>
            <w:r>
              <w:rPr>
                <w:color w:val="auto"/>
                <w:sz w:val="24"/>
              </w:rPr>
              <w:t>。</w:t>
            </w:r>
          </w:p>
          <w:p w14:paraId="0D2469E1">
            <w:pPr>
              <w:widowControl/>
              <w:adjustRightInd w:val="0"/>
              <w:snapToGrid w:val="0"/>
              <w:spacing w:line="360" w:lineRule="auto"/>
              <w:ind w:firstLine="480" w:firstLineChars="200"/>
              <w:rPr>
                <w:color w:val="auto"/>
                <w:sz w:val="24"/>
              </w:rPr>
            </w:pPr>
            <w:r>
              <w:rPr>
                <w:rFonts w:hint="eastAsia"/>
                <w:color w:val="auto"/>
                <w:sz w:val="24"/>
              </w:rPr>
              <w:t>（3）加强管理：平时加强对各噪声设备的保养、检修，保证设备良好运转，减轻运行噪声强度。</w:t>
            </w:r>
          </w:p>
          <w:p w14:paraId="07F14652">
            <w:pPr>
              <w:widowControl/>
              <w:adjustRightInd w:val="0"/>
              <w:snapToGrid w:val="0"/>
              <w:spacing w:line="360" w:lineRule="auto"/>
              <w:ind w:firstLine="480" w:firstLineChars="200"/>
              <w:rPr>
                <w:color w:val="auto"/>
                <w:sz w:val="24"/>
              </w:rPr>
            </w:pPr>
            <w:r>
              <w:rPr>
                <w:rFonts w:hint="eastAsia"/>
                <w:color w:val="auto"/>
                <w:sz w:val="24"/>
              </w:rPr>
              <w:t>（4）在设计及安装中根据不同的设备采取消声、减振、隔声。经过基础减振、消声等措施噪声可降低5~10dB（A）；车间墙体隔声可达到10~15dB（A）的隔声量。</w:t>
            </w:r>
          </w:p>
          <w:p w14:paraId="0B4CC1E0">
            <w:pPr>
              <w:widowControl/>
              <w:adjustRightInd w:val="0"/>
              <w:snapToGrid w:val="0"/>
              <w:spacing w:line="360" w:lineRule="auto"/>
              <w:ind w:firstLine="480" w:firstLineChars="200"/>
              <w:rPr>
                <w:color w:val="auto"/>
                <w:sz w:val="24"/>
              </w:rPr>
            </w:pPr>
            <w:r>
              <w:rPr>
                <w:rFonts w:hint="eastAsia"/>
                <w:color w:val="auto"/>
                <w:sz w:val="24"/>
              </w:rPr>
              <w:t>（5）增加厂区绿化，阻挡噪声传播进行降噪。</w:t>
            </w:r>
          </w:p>
          <w:p w14:paraId="58A55A78">
            <w:pPr>
              <w:widowControl/>
              <w:adjustRightInd w:val="0"/>
              <w:snapToGrid w:val="0"/>
              <w:spacing w:line="360" w:lineRule="auto"/>
              <w:ind w:firstLine="480" w:firstLineChars="200"/>
              <w:rPr>
                <w:color w:val="auto"/>
                <w:sz w:val="24"/>
              </w:rPr>
            </w:pPr>
            <w:r>
              <w:rPr>
                <w:rFonts w:hint="eastAsia"/>
                <w:color w:val="auto"/>
                <w:sz w:val="24"/>
              </w:rPr>
              <w:t>采取以上措施后，厂界四周</w:t>
            </w:r>
            <w:r>
              <w:rPr>
                <w:color w:val="auto"/>
                <w:sz w:val="24"/>
              </w:rPr>
              <w:t>噪声满足《工业企业厂界环境噪声排放标准》（GB12348-2008）</w:t>
            </w:r>
            <w:r>
              <w:rPr>
                <w:rFonts w:hint="eastAsia"/>
                <w:color w:val="auto"/>
                <w:sz w:val="24"/>
              </w:rPr>
              <w:t>3</w:t>
            </w:r>
            <w:r>
              <w:rPr>
                <w:color w:val="auto"/>
                <w:sz w:val="24"/>
              </w:rPr>
              <w:t>类标准</w:t>
            </w:r>
            <w:r>
              <w:rPr>
                <w:rFonts w:hint="eastAsia"/>
                <w:color w:val="auto"/>
                <w:sz w:val="24"/>
              </w:rPr>
              <w:t>，确保对周边环境保护目标的影响降到最小</w:t>
            </w:r>
            <w:r>
              <w:rPr>
                <w:color w:val="auto"/>
                <w:sz w:val="24"/>
              </w:rPr>
              <w:t>。</w:t>
            </w:r>
          </w:p>
          <w:p w14:paraId="549B9EB9">
            <w:pPr>
              <w:widowControl/>
              <w:spacing w:line="360" w:lineRule="auto"/>
              <w:ind w:firstLine="482" w:firstLineChars="200"/>
              <w:jc w:val="left"/>
              <w:rPr>
                <w:b/>
                <w:color w:val="auto"/>
                <w:kern w:val="0"/>
                <w:sz w:val="24"/>
              </w:rPr>
            </w:pPr>
            <w:r>
              <w:rPr>
                <w:b/>
                <w:color w:val="auto"/>
                <w:kern w:val="0"/>
                <w:sz w:val="24"/>
              </w:rPr>
              <w:t>3.3自行监测计划</w:t>
            </w:r>
          </w:p>
          <w:p w14:paraId="29266A82">
            <w:pPr>
              <w:adjustRightInd w:val="0"/>
              <w:snapToGrid w:val="0"/>
              <w:spacing w:line="360" w:lineRule="auto"/>
              <w:ind w:firstLine="480" w:firstLineChars="200"/>
              <w:rPr>
                <w:b/>
                <w:bCs/>
                <w:color w:val="auto"/>
                <w:sz w:val="24"/>
              </w:rPr>
            </w:pPr>
            <w:r>
              <w:rPr>
                <w:rFonts w:hint="eastAsia" w:hAnsi="宋体"/>
                <w:color w:val="auto"/>
                <w:sz w:val="24"/>
                <w:lang w:bidi="ar"/>
              </w:rPr>
              <w:t>根据《排污单位自行监测技术指南</w:t>
            </w:r>
            <w:r>
              <w:rPr>
                <w:color w:val="auto"/>
                <w:sz w:val="24"/>
                <w:lang w:bidi="ar"/>
              </w:rPr>
              <w:t xml:space="preserve"> </w:t>
            </w:r>
            <w:r>
              <w:rPr>
                <w:rFonts w:hint="eastAsia" w:hAnsi="宋体"/>
                <w:color w:val="auto"/>
                <w:sz w:val="24"/>
                <w:lang w:bidi="ar"/>
              </w:rPr>
              <w:t>总则》（</w:t>
            </w:r>
            <w:r>
              <w:rPr>
                <w:color w:val="auto"/>
                <w:sz w:val="24"/>
                <w:lang w:bidi="ar"/>
              </w:rPr>
              <w:t>HJ819-2017</w:t>
            </w:r>
            <w:r>
              <w:rPr>
                <w:rFonts w:hint="eastAsia" w:hAnsi="宋体"/>
                <w:color w:val="auto"/>
                <w:sz w:val="24"/>
                <w:lang w:bidi="ar"/>
              </w:rPr>
              <w:t>），对厂界噪声的例行监测。监测的实施可以根据实际情况由厂方自测或委托有资质的环境监测单位监测。</w:t>
            </w:r>
          </w:p>
          <w:p w14:paraId="336BB830">
            <w:pPr>
              <w:adjustRightInd w:val="0"/>
              <w:snapToGrid w:val="0"/>
              <w:ind w:firstLine="482" w:firstLineChars="200"/>
              <w:jc w:val="center"/>
              <w:rPr>
                <w:b/>
                <w:color w:val="auto"/>
                <w:sz w:val="24"/>
              </w:rPr>
            </w:pPr>
            <w:r>
              <w:rPr>
                <w:b/>
                <w:bCs/>
                <w:color w:val="auto"/>
                <w:sz w:val="24"/>
              </w:rPr>
              <w:t>表4-</w:t>
            </w:r>
            <w:r>
              <w:rPr>
                <w:rFonts w:hint="eastAsia"/>
                <w:b/>
                <w:bCs/>
                <w:color w:val="auto"/>
                <w:sz w:val="24"/>
              </w:rPr>
              <w:t>1</w:t>
            </w:r>
            <w:r>
              <w:rPr>
                <w:rFonts w:hint="eastAsia"/>
                <w:b/>
                <w:bCs/>
                <w:color w:val="auto"/>
                <w:sz w:val="24"/>
                <w:lang w:val="en-US" w:eastAsia="zh-CN"/>
              </w:rPr>
              <w:t>9</w:t>
            </w:r>
            <w:r>
              <w:rPr>
                <w:b/>
                <w:color w:val="auto"/>
                <w:sz w:val="24"/>
              </w:rPr>
              <w:t>项目噪声监测方案</w:t>
            </w:r>
          </w:p>
          <w:tbl>
            <w:tblPr>
              <w:tblStyle w:val="88"/>
              <w:tblW w:w="8477" w:type="dxa"/>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44"/>
              <w:gridCol w:w="1135"/>
              <w:gridCol w:w="1843"/>
              <w:gridCol w:w="1135"/>
              <w:gridCol w:w="3420"/>
            </w:tblGrid>
            <w:tr w14:paraId="3CA4BC11">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45" w:type="dxa"/>
                  <w:tcBorders>
                    <w:top w:val="single" w:color="auto" w:sz="12" w:space="0"/>
                    <w:left w:val="nil"/>
                    <w:bottom w:val="single" w:color="auto" w:sz="6" w:space="0"/>
                    <w:right w:val="single" w:color="auto" w:sz="6" w:space="0"/>
                  </w:tcBorders>
                  <w:shd w:val="clear" w:color="auto" w:fill="auto"/>
                  <w:vAlign w:val="center"/>
                </w:tcPr>
                <w:p w14:paraId="556BCB6A">
                  <w:pPr>
                    <w:pStyle w:val="4051"/>
                    <w:keepNext w:val="0"/>
                    <w:keepLines w:val="0"/>
                    <w:pageBreakBefore w:val="0"/>
                    <w:widowControl/>
                    <w:kinsoku/>
                    <w:wordWrap w:val="0"/>
                    <w:overflowPunct/>
                    <w:topLinePunct w:val="0"/>
                    <w:autoSpaceDE/>
                    <w:autoSpaceDN/>
                    <w:bidi w:val="0"/>
                    <w:adjustRightInd w:val="0"/>
                    <w:snapToGrid w:val="0"/>
                    <w:ind w:firstLine="0"/>
                    <w:textAlignment w:val="auto"/>
                    <w:rPr>
                      <w:b/>
                      <w:color w:val="auto"/>
                      <w:sz w:val="21"/>
                    </w:rPr>
                  </w:pPr>
                  <w:r>
                    <w:rPr>
                      <w:rFonts w:hint="eastAsia" w:hAnsi="宋体" w:cs="宋体"/>
                      <w:b/>
                      <w:color w:val="auto"/>
                      <w:sz w:val="21"/>
                    </w:rPr>
                    <w:t>类别</w:t>
                  </w:r>
                </w:p>
              </w:tc>
              <w:tc>
                <w:tcPr>
                  <w:tcW w:w="1135" w:type="dxa"/>
                  <w:tcBorders>
                    <w:top w:val="single" w:color="auto" w:sz="12" w:space="0"/>
                    <w:left w:val="single" w:color="auto" w:sz="6" w:space="0"/>
                    <w:bottom w:val="single" w:color="auto" w:sz="6" w:space="0"/>
                    <w:right w:val="single" w:color="auto" w:sz="6" w:space="0"/>
                  </w:tcBorders>
                  <w:shd w:val="clear" w:color="auto" w:fill="auto"/>
                  <w:vAlign w:val="center"/>
                </w:tcPr>
                <w:p w14:paraId="39CE8E9E">
                  <w:pPr>
                    <w:pStyle w:val="4051"/>
                    <w:keepNext w:val="0"/>
                    <w:keepLines w:val="0"/>
                    <w:pageBreakBefore w:val="0"/>
                    <w:widowControl/>
                    <w:kinsoku/>
                    <w:wordWrap w:val="0"/>
                    <w:overflowPunct/>
                    <w:topLinePunct w:val="0"/>
                    <w:autoSpaceDE/>
                    <w:autoSpaceDN/>
                    <w:bidi w:val="0"/>
                    <w:adjustRightInd w:val="0"/>
                    <w:snapToGrid w:val="0"/>
                    <w:ind w:firstLine="0"/>
                    <w:textAlignment w:val="auto"/>
                    <w:rPr>
                      <w:b/>
                      <w:color w:val="auto"/>
                      <w:sz w:val="21"/>
                    </w:rPr>
                  </w:pPr>
                  <w:r>
                    <w:rPr>
                      <w:rFonts w:hint="eastAsia" w:hAnsi="宋体" w:cs="宋体"/>
                      <w:b/>
                      <w:color w:val="auto"/>
                      <w:sz w:val="21"/>
                    </w:rPr>
                    <w:t>监测指标</w:t>
                  </w:r>
                </w:p>
              </w:tc>
              <w:tc>
                <w:tcPr>
                  <w:tcW w:w="1843" w:type="dxa"/>
                  <w:tcBorders>
                    <w:top w:val="single" w:color="auto" w:sz="12" w:space="0"/>
                    <w:left w:val="single" w:color="auto" w:sz="6" w:space="0"/>
                    <w:bottom w:val="single" w:color="auto" w:sz="6" w:space="0"/>
                    <w:right w:val="single" w:color="auto" w:sz="6" w:space="0"/>
                  </w:tcBorders>
                  <w:shd w:val="clear" w:color="auto" w:fill="auto"/>
                  <w:vAlign w:val="center"/>
                </w:tcPr>
                <w:p w14:paraId="3AE7ABC3">
                  <w:pPr>
                    <w:pStyle w:val="4051"/>
                    <w:keepNext w:val="0"/>
                    <w:keepLines w:val="0"/>
                    <w:pageBreakBefore w:val="0"/>
                    <w:widowControl/>
                    <w:kinsoku/>
                    <w:wordWrap w:val="0"/>
                    <w:overflowPunct/>
                    <w:topLinePunct w:val="0"/>
                    <w:autoSpaceDE/>
                    <w:autoSpaceDN/>
                    <w:bidi w:val="0"/>
                    <w:adjustRightInd w:val="0"/>
                    <w:snapToGrid w:val="0"/>
                    <w:ind w:firstLine="0"/>
                    <w:textAlignment w:val="auto"/>
                    <w:rPr>
                      <w:b/>
                      <w:color w:val="auto"/>
                      <w:sz w:val="21"/>
                    </w:rPr>
                  </w:pPr>
                  <w:r>
                    <w:rPr>
                      <w:rFonts w:hint="eastAsia" w:hAnsi="宋体" w:cs="宋体"/>
                      <w:b/>
                      <w:color w:val="auto"/>
                      <w:sz w:val="21"/>
                    </w:rPr>
                    <w:t>监测频次</w:t>
                  </w:r>
                </w:p>
              </w:tc>
              <w:tc>
                <w:tcPr>
                  <w:tcW w:w="1135" w:type="dxa"/>
                  <w:tcBorders>
                    <w:top w:val="single" w:color="auto" w:sz="12" w:space="0"/>
                    <w:left w:val="single" w:color="auto" w:sz="6" w:space="0"/>
                    <w:bottom w:val="single" w:color="auto" w:sz="6" w:space="0"/>
                    <w:right w:val="single" w:color="auto" w:sz="6" w:space="0"/>
                  </w:tcBorders>
                  <w:shd w:val="clear" w:color="auto" w:fill="auto"/>
                  <w:vAlign w:val="center"/>
                </w:tcPr>
                <w:p w14:paraId="613C741F">
                  <w:pPr>
                    <w:pStyle w:val="4051"/>
                    <w:keepNext w:val="0"/>
                    <w:keepLines w:val="0"/>
                    <w:pageBreakBefore w:val="0"/>
                    <w:widowControl/>
                    <w:kinsoku/>
                    <w:wordWrap w:val="0"/>
                    <w:overflowPunct/>
                    <w:topLinePunct w:val="0"/>
                    <w:autoSpaceDE/>
                    <w:autoSpaceDN/>
                    <w:bidi w:val="0"/>
                    <w:adjustRightInd w:val="0"/>
                    <w:snapToGrid w:val="0"/>
                    <w:ind w:firstLine="0"/>
                    <w:textAlignment w:val="auto"/>
                    <w:rPr>
                      <w:b/>
                      <w:color w:val="auto"/>
                      <w:sz w:val="21"/>
                    </w:rPr>
                  </w:pPr>
                  <w:r>
                    <w:rPr>
                      <w:rFonts w:hint="eastAsia" w:hAnsi="宋体" w:cs="宋体"/>
                      <w:b/>
                      <w:color w:val="auto"/>
                      <w:sz w:val="21"/>
                    </w:rPr>
                    <w:t>监测点位</w:t>
                  </w:r>
                </w:p>
              </w:tc>
              <w:tc>
                <w:tcPr>
                  <w:tcW w:w="3421" w:type="dxa"/>
                  <w:tcBorders>
                    <w:top w:val="single" w:color="auto" w:sz="12" w:space="0"/>
                    <w:left w:val="single" w:color="auto" w:sz="6" w:space="0"/>
                    <w:bottom w:val="single" w:color="auto" w:sz="6" w:space="0"/>
                    <w:right w:val="nil"/>
                  </w:tcBorders>
                  <w:shd w:val="clear" w:color="auto" w:fill="auto"/>
                  <w:vAlign w:val="center"/>
                </w:tcPr>
                <w:p w14:paraId="296E758E">
                  <w:pPr>
                    <w:pStyle w:val="4051"/>
                    <w:keepNext w:val="0"/>
                    <w:keepLines w:val="0"/>
                    <w:pageBreakBefore w:val="0"/>
                    <w:widowControl/>
                    <w:kinsoku/>
                    <w:wordWrap w:val="0"/>
                    <w:overflowPunct/>
                    <w:topLinePunct w:val="0"/>
                    <w:autoSpaceDE/>
                    <w:autoSpaceDN/>
                    <w:bidi w:val="0"/>
                    <w:adjustRightInd w:val="0"/>
                    <w:snapToGrid w:val="0"/>
                    <w:ind w:firstLine="0"/>
                    <w:textAlignment w:val="auto"/>
                    <w:rPr>
                      <w:b/>
                      <w:color w:val="auto"/>
                      <w:sz w:val="21"/>
                    </w:rPr>
                  </w:pPr>
                  <w:r>
                    <w:rPr>
                      <w:rFonts w:hint="eastAsia" w:hAnsi="宋体" w:cs="宋体"/>
                      <w:b/>
                      <w:color w:val="auto"/>
                      <w:sz w:val="21"/>
                    </w:rPr>
                    <w:t>执行排放标准</w:t>
                  </w:r>
                </w:p>
              </w:tc>
            </w:tr>
            <w:tr w14:paraId="7685811E">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45" w:type="dxa"/>
                  <w:tcBorders>
                    <w:top w:val="single" w:color="auto" w:sz="6" w:space="0"/>
                    <w:left w:val="nil"/>
                    <w:bottom w:val="single" w:color="auto" w:sz="12" w:space="0"/>
                    <w:right w:val="single" w:color="auto" w:sz="6" w:space="0"/>
                  </w:tcBorders>
                  <w:shd w:val="clear" w:color="auto" w:fill="auto"/>
                  <w:vAlign w:val="center"/>
                </w:tcPr>
                <w:p w14:paraId="5402EB1A">
                  <w:pPr>
                    <w:pStyle w:val="4051"/>
                    <w:keepNext w:val="0"/>
                    <w:keepLines w:val="0"/>
                    <w:pageBreakBefore w:val="0"/>
                    <w:widowControl/>
                    <w:kinsoku/>
                    <w:wordWrap w:val="0"/>
                    <w:overflowPunct/>
                    <w:topLinePunct w:val="0"/>
                    <w:autoSpaceDE/>
                    <w:autoSpaceDN/>
                    <w:bidi w:val="0"/>
                    <w:adjustRightInd w:val="0"/>
                    <w:snapToGrid w:val="0"/>
                    <w:ind w:firstLine="0"/>
                    <w:textAlignment w:val="auto"/>
                    <w:rPr>
                      <w:color w:val="auto"/>
                      <w:sz w:val="21"/>
                    </w:rPr>
                  </w:pPr>
                  <w:r>
                    <w:rPr>
                      <w:rFonts w:hint="eastAsia" w:hAnsi="宋体" w:cs="宋体"/>
                      <w:color w:val="auto"/>
                      <w:sz w:val="21"/>
                    </w:rPr>
                    <w:t>噪声</w:t>
                  </w:r>
                </w:p>
              </w:tc>
              <w:tc>
                <w:tcPr>
                  <w:tcW w:w="1135" w:type="dxa"/>
                  <w:tcBorders>
                    <w:top w:val="single" w:color="auto" w:sz="6" w:space="0"/>
                    <w:left w:val="single" w:color="auto" w:sz="6" w:space="0"/>
                    <w:bottom w:val="single" w:color="auto" w:sz="12" w:space="0"/>
                    <w:right w:val="single" w:color="auto" w:sz="6" w:space="0"/>
                  </w:tcBorders>
                  <w:shd w:val="clear" w:color="auto" w:fill="auto"/>
                  <w:vAlign w:val="center"/>
                </w:tcPr>
                <w:p w14:paraId="4E3B4C98">
                  <w:pPr>
                    <w:pStyle w:val="4051"/>
                    <w:keepNext w:val="0"/>
                    <w:keepLines w:val="0"/>
                    <w:pageBreakBefore w:val="0"/>
                    <w:widowControl/>
                    <w:kinsoku/>
                    <w:wordWrap w:val="0"/>
                    <w:overflowPunct/>
                    <w:topLinePunct w:val="0"/>
                    <w:autoSpaceDE/>
                    <w:autoSpaceDN/>
                    <w:bidi w:val="0"/>
                    <w:adjustRightInd w:val="0"/>
                    <w:snapToGrid w:val="0"/>
                    <w:ind w:firstLine="0"/>
                    <w:textAlignment w:val="auto"/>
                    <w:rPr>
                      <w:color w:val="auto"/>
                      <w:sz w:val="21"/>
                    </w:rPr>
                  </w:pPr>
                  <w:r>
                    <w:rPr>
                      <w:rFonts w:hint="eastAsia" w:hAnsi="宋体" w:cs="宋体"/>
                      <w:color w:val="auto"/>
                      <w:sz w:val="21"/>
                    </w:rPr>
                    <w:t>等效</w:t>
                  </w:r>
                  <w:r>
                    <w:rPr>
                      <w:color w:val="auto"/>
                      <w:sz w:val="21"/>
                    </w:rPr>
                    <w:t>A</w:t>
                  </w:r>
                  <w:r>
                    <w:rPr>
                      <w:rFonts w:hint="eastAsia" w:hAnsi="宋体" w:cs="宋体"/>
                      <w:color w:val="auto"/>
                      <w:sz w:val="21"/>
                    </w:rPr>
                    <w:t>声级</w:t>
                  </w:r>
                </w:p>
              </w:tc>
              <w:tc>
                <w:tcPr>
                  <w:tcW w:w="1843" w:type="dxa"/>
                  <w:tcBorders>
                    <w:top w:val="single" w:color="auto" w:sz="6" w:space="0"/>
                    <w:left w:val="single" w:color="auto" w:sz="6" w:space="0"/>
                    <w:bottom w:val="single" w:color="auto" w:sz="12" w:space="0"/>
                    <w:right w:val="single" w:color="auto" w:sz="6" w:space="0"/>
                  </w:tcBorders>
                  <w:shd w:val="clear" w:color="auto" w:fill="auto"/>
                  <w:vAlign w:val="center"/>
                </w:tcPr>
                <w:p w14:paraId="53C094D4">
                  <w:pPr>
                    <w:pStyle w:val="4051"/>
                    <w:keepNext w:val="0"/>
                    <w:keepLines w:val="0"/>
                    <w:pageBreakBefore w:val="0"/>
                    <w:widowControl/>
                    <w:kinsoku/>
                    <w:wordWrap w:val="0"/>
                    <w:overflowPunct/>
                    <w:topLinePunct w:val="0"/>
                    <w:autoSpaceDE/>
                    <w:autoSpaceDN/>
                    <w:bidi w:val="0"/>
                    <w:adjustRightInd w:val="0"/>
                    <w:snapToGrid w:val="0"/>
                    <w:ind w:firstLine="0"/>
                    <w:textAlignment w:val="auto"/>
                    <w:rPr>
                      <w:color w:val="auto"/>
                      <w:sz w:val="21"/>
                    </w:rPr>
                  </w:pPr>
                  <w:r>
                    <w:rPr>
                      <w:color w:val="auto"/>
                      <w:sz w:val="21"/>
                    </w:rPr>
                    <w:t>1</w:t>
                  </w:r>
                  <w:r>
                    <w:rPr>
                      <w:rFonts w:hint="eastAsia" w:hAnsi="宋体" w:cs="宋体"/>
                      <w:color w:val="auto"/>
                      <w:sz w:val="21"/>
                    </w:rPr>
                    <w:t>次</w:t>
                  </w:r>
                  <w:r>
                    <w:rPr>
                      <w:color w:val="auto"/>
                      <w:sz w:val="21"/>
                    </w:rPr>
                    <w:t>/</w:t>
                  </w:r>
                  <w:r>
                    <w:rPr>
                      <w:rFonts w:hint="eastAsia" w:hAnsi="宋体" w:cs="宋体"/>
                      <w:color w:val="auto"/>
                      <w:sz w:val="21"/>
                    </w:rPr>
                    <w:t>季度（昼间一次）</w:t>
                  </w:r>
                </w:p>
              </w:tc>
              <w:tc>
                <w:tcPr>
                  <w:tcW w:w="1135" w:type="dxa"/>
                  <w:tcBorders>
                    <w:top w:val="single" w:color="auto" w:sz="6" w:space="0"/>
                    <w:left w:val="single" w:color="auto" w:sz="6" w:space="0"/>
                    <w:bottom w:val="single" w:color="auto" w:sz="12" w:space="0"/>
                    <w:right w:val="single" w:color="auto" w:sz="6" w:space="0"/>
                  </w:tcBorders>
                  <w:shd w:val="clear" w:color="auto" w:fill="auto"/>
                  <w:vAlign w:val="center"/>
                </w:tcPr>
                <w:p w14:paraId="283C40CA">
                  <w:pPr>
                    <w:pStyle w:val="4051"/>
                    <w:keepNext w:val="0"/>
                    <w:keepLines w:val="0"/>
                    <w:pageBreakBefore w:val="0"/>
                    <w:widowControl/>
                    <w:kinsoku/>
                    <w:wordWrap w:val="0"/>
                    <w:overflowPunct/>
                    <w:topLinePunct w:val="0"/>
                    <w:autoSpaceDE/>
                    <w:autoSpaceDN/>
                    <w:bidi w:val="0"/>
                    <w:adjustRightInd w:val="0"/>
                    <w:snapToGrid w:val="0"/>
                    <w:ind w:firstLine="0"/>
                    <w:textAlignment w:val="auto"/>
                    <w:rPr>
                      <w:color w:val="auto"/>
                      <w:sz w:val="21"/>
                    </w:rPr>
                  </w:pPr>
                  <w:r>
                    <w:rPr>
                      <w:rFonts w:hint="eastAsia" w:hAnsi="宋体" w:cs="宋体"/>
                      <w:color w:val="auto"/>
                      <w:sz w:val="21"/>
                    </w:rPr>
                    <w:t>厂界四周</w:t>
                  </w:r>
                </w:p>
              </w:tc>
              <w:tc>
                <w:tcPr>
                  <w:tcW w:w="3421" w:type="dxa"/>
                  <w:tcBorders>
                    <w:top w:val="single" w:color="auto" w:sz="6" w:space="0"/>
                    <w:left w:val="single" w:color="auto" w:sz="6" w:space="0"/>
                    <w:bottom w:val="single" w:color="auto" w:sz="12" w:space="0"/>
                    <w:right w:val="nil"/>
                  </w:tcBorders>
                  <w:shd w:val="clear" w:color="auto" w:fill="auto"/>
                  <w:vAlign w:val="center"/>
                </w:tcPr>
                <w:p w14:paraId="4E135B85">
                  <w:pPr>
                    <w:pStyle w:val="4051"/>
                    <w:keepNext w:val="0"/>
                    <w:keepLines w:val="0"/>
                    <w:pageBreakBefore w:val="0"/>
                    <w:widowControl/>
                    <w:kinsoku/>
                    <w:wordWrap w:val="0"/>
                    <w:overflowPunct/>
                    <w:topLinePunct w:val="0"/>
                    <w:autoSpaceDE/>
                    <w:autoSpaceDN/>
                    <w:bidi w:val="0"/>
                    <w:adjustRightInd w:val="0"/>
                    <w:snapToGrid w:val="0"/>
                    <w:ind w:firstLine="0"/>
                    <w:textAlignment w:val="auto"/>
                    <w:rPr>
                      <w:color w:val="auto"/>
                      <w:sz w:val="21"/>
                    </w:rPr>
                  </w:pPr>
                  <w:r>
                    <w:rPr>
                      <w:rFonts w:hint="eastAsia" w:hAnsi="宋体" w:cs="宋体"/>
                      <w:snapToGrid w:val="0"/>
                      <w:color w:val="auto"/>
                      <w:sz w:val="21"/>
                    </w:rPr>
                    <w:t>《工业企业厂界环境噪声排放标准》</w:t>
                  </w:r>
                  <w:r>
                    <w:rPr>
                      <w:rFonts w:hint="eastAsia" w:hAnsi="宋体" w:cs="宋体"/>
                      <w:color w:val="auto"/>
                      <w:sz w:val="21"/>
                    </w:rPr>
                    <w:t>（</w:t>
                  </w:r>
                  <w:r>
                    <w:rPr>
                      <w:color w:val="auto"/>
                      <w:sz w:val="21"/>
                    </w:rPr>
                    <w:t>GB12348-2008</w:t>
                  </w:r>
                  <w:r>
                    <w:rPr>
                      <w:rFonts w:hint="eastAsia" w:hAnsi="宋体" w:cs="宋体"/>
                      <w:color w:val="auto"/>
                      <w:sz w:val="21"/>
                    </w:rPr>
                    <w:t>）</w:t>
                  </w:r>
                  <w:r>
                    <w:rPr>
                      <w:rFonts w:hint="eastAsia" w:hAnsi="宋体"/>
                      <w:color w:val="auto"/>
                      <w:sz w:val="21"/>
                    </w:rPr>
                    <w:t>3</w:t>
                  </w:r>
                  <w:r>
                    <w:rPr>
                      <w:rFonts w:hint="eastAsia" w:hAnsi="宋体" w:cs="宋体"/>
                      <w:color w:val="auto"/>
                      <w:sz w:val="21"/>
                    </w:rPr>
                    <w:t>类标准</w:t>
                  </w:r>
                </w:p>
              </w:tc>
            </w:tr>
          </w:tbl>
          <w:p w14:paraId="6EDECF3D">
            <w:pPr>
              <w:adjustRightInd w:val="0"/>
              <w:snapToGrid w:val="0"/>
              <w:spacing w:before="120" w:beforeLines="50" w:line="360" w:lineRule="auto"/>
              <w:ind w:firstLine="482"/>
              <w:rPr>
                <w:b/>
                <w:bCs/>
                <w:color w:val="auto"/>
                <w:sz w:val="24"/>
              </w:rPr>
            </w:pPr>
            <w:r>
              <w:rPr>
                <w:rFonts w:hint="eastAsia"/>
                <w:b/>
                <w:bCs/>
                <w:color w:val="auto"/>
                <w:sz w:val="24"/>
              </w:rPr>
              <w:t>4.</w:t>
            </w:r>
            <w:r>
              <w:rPr>
                <w:b/>
                <w:bCs/>
                <w:color w:val="auto"/>
                <w:sz w:val="24"/>
              </w:rPr>
              <w:t>固废产生情况分析</w:t>
            </w:r>
          </w:p>
          <w:p w14:paraId="7844EA6C">
            <w:pPr>
              <w:adjustRightInd w:val="0"/>
              <w:snapToGrid w:val="0"/>
              <w:spacing w:line="360" w:lineRule="auto"/>
              <w:ind w:firstLine="482" w:firstLineChars="200"/>
              <w:rPr>
                <w:b/>
                <w:bCs/>
                <w:color w:val="auto"/>
                <w:sz w:val="24"/>
              </w:rPr>
            </w:pPr>
            <w:r>
              <w:rPr>
                <w:b/>
                <w:bCs/>
                <w:color w:val="auto"/>
                <w:sz w:val="24"/>
              </w:rPr>
              <w:t>4.1本项目固体废弃物产生及处理情况。</w:t>
            </w:r>
          </w:p>
          <w:p w14:paraId="77313707">
            <w:pPr>
              <w:adjustRightInd w:val="0"/>
              <w:snapToGrid w:val="0"/>
              <w:spacing w:line="360" w:lineRule="auto"/>
              <w:ind w:firstLine="480" w:firstLineChars="200"/>
              <w:rPr>
                <w:color w:val="auto"/>
                <w:sz w:val="24"/>
              </w:rPr>
            </w:pPr>
            <w:r>
              <w:rPr>
                <w:color w:val="auto"/>
                <w:sz w:val="24"/>
              </w:rPr>
              <w:t>本项目产生的固体废弃物主要为</w:t>
            </w:r>
            <w:r>
              <w:rPr>
                <w:rFonts w:hint="eastAsia"/>
                <w:color w:val="auto"/>
                <w:sz w:val="24"/>
              </w:rPr>
              <w:t>废边角料、测试不合格产品、废漆包线、质量检测不合格品、废包装材料、布袋除尘灰、废布袋、废活性炭、废过滤棉、废包装桶、废活性炭、废润滑油、废切削液、生活垃圾</w:t>
            </w:r>
            <w:r>
              <w:rPr>
                <w:color w:val="auto"/>
                <w:sz w:val="24"/>
              </w:rPr>
              <w:t>。</w:t>
            </w:r>
          </w:p>
          <w:p w14:paraId="4872DE51">
            <w:pPr>
              <w:adjustRightInd w:val="0"/>
              <w:snapToGrid w:val="0"/>
              <w:spacing w:line="360" w:lineRule="auto"/>
              <w:ind w:firstLine="480" w:firstLineChars="200"/>
              <w:rPr>
                <w:bCs/>
                <w:color w:val="auto"/>
                <w:sz w:val="24"/>
              </w:rPr>
            </w:pPr>
            <w:r>
              <w:rPr>
                <w:bCs/>
                <w:color w:val="auto"/>
                <w:sz w:val="24"/>
              </w:rPr>
              <w:t>（1）一般工业固废</w:t>
            </w:r>
          </w:p>
          <w:p w14:paraId="0360BC3A">
            <w:pPr>
              <w:adjustRightInd w:val="0"/>
              <w:snapToGrid w:val="0"/>
              <w:spacing w:line="360" w:lineRule="auto"/>
              <w:ind w:firstLine="480" w:firstLineChars="200"/>
              <w:rPr>
                <w:bCs/>
                <w:color w:val="auto"/>
                <w:sz w:val="24"/>
              </w:rPr>
            </w:pPr>
            <w:r>
              <w:rPr>
                <w:rFonts w:hint="eastAsia" w:ascii="宋体" w:hAnsi="宋体" w:cs="宋体"/>
                <w:bCs/>
                <w:color w:val="auto"/>
                <w:sz w:val="24"/>
              </w:rPr>
              <w:t>①</w:t>
            </w:r>
            <w:r>
              <w:rPr>
                <w:rFonts w:hint="eastAsia"/>
                <w:bCs/>
                <w:color w:val="auto"/>
                <w:sz w:val="24"/>
              </w:rPr>
              <w:t>废边角料</w:t>
            </w:r>
          </w:p>
          <w:p w14:paraId="4D2628D2">
            <w:pPr>
              <w:adjustRightInd w:val="0"/>
              <w:snapToGrid w:val="0"/>
              <w:spacing w:line="360" w:lineRule="auto"/>
              <w:ind w:firstLine="480" w:firstLineChars="200"/>
              <w:rPr>
                <w:color w:val="auto"/>
                <w:kern w:val="0"/>
                <w:sz w:val="24"/>
              </w:rPr>
            </w:pPr>
            <w:r>
              <w:rPr>
                <w:rFonts w:hint="eastAsia"/>
                <w:color w:val="auto"/>
                <w:kern w:val="0"/>
                <w:sz w:val="24"/>
              </w:rPr>
              <w:t>项目在机壳加工、冲片加工、转轴加工、端帽加工等工序会产生废边角料，类比《</w:t>
            </w:r>
            <w:r>
              <w:rPr>
                <w:rFonts w:ascii="宋体" w:hAnsi="宋体" w:cs="宋体"/>
                <w:color w:val="auto"/>
                <w:sz w:val="24"/>
              </w:rPr>
              <w:t>河南力富特起重运输机械有限公司年生产</w:t>
            </w:r>
            <w:r>
              <w:rPr>
                <w:color w:val="auto"/>
                <w:sz w:val="24"/>
              </w:rPr>
              <w:t>9万台起重电机及1000</w:t>
            </w:r>
            <w:r>
              <w:rPr>
                <w:rFonts w:ascii="宋体" w:hAnsi="宋体" w:cs="宋体"/>
                <w:color w:val="auto"/>
                <w:sz w:val="24"/>
              </w:rPr>
              <w:t>套起重配件扩建项目竣工环境保护验收监测报告表</w:t>
            </w:r>
            <w:r>
              <w:rPr>
                <w:rFonts w:hint="eastAsia"/>
                <w:color w:val="auto"/>
                <w:kern w:val="0"/>
                <w:sz w:val="24"/>
              </w:rPr>
              <w:t>》，该项目钢板用量为4500t/a，齿轮用量为5000t/a，无缝钢管用量为4500t/a，项目在生产过程中废边角料（废金属）产生量约8t/a，废边角料（废金属）约为钢板、齿轮、无缝钢管使用量的0.06%。本项目</w:t>
            </w:r>
            <w:r>
              <w:rPr>
                <w:color w:val="auto"/>
                <w:sz w:val="24"/>
              </w:rPr>
              <w:t>硅钢片</w:t>
            </w:r>
            <w:r>
              <w:rPr>
                <w:rFonts w:hint="eastAsia"/>
                <w:color w:val="auto"/>
                <w:sz w:val="24"/>
              </w:rPr>
              <w:t>、</w:t>
            </w:r>
            <w:r>
              <w:rPr>
                <w:color w:val="auto"/>
                <w:sz w:val="24"/>
              </w:rPr>
              <w:t>磁钢</w:t>
            </w:r>
            <w:r>
              <w:rPr>
                <w:rFonts w:hint="eastAsia"/>
                <w:color w:val="auto"/>
                <w:sz w:val="24"/>
              </w:rPr>
              <w:t>、轴承等用量约2000t/a，则废边角料产生量为1.2t/a，经收集后暂存于一般固废仓库，并定期外售综合利用。</w:t>
            </w:r>
          </w:p>
          <w:p w14:paraId="5C84E325">
            <w:pPr>
              <w:adjustRightInd w:val="0"/>
              <w:snapToGrid w:val="0"/>
              <w:spacing w:line="360" w:lineRule="auto"/>
              <w:ind w:firstLine="480" w:firstLineChars="200"/>
              <w:rPr>
                <w:color w:val="auto"/>
                <w:kern w:val="0"/>
                <w:sz w:val="24"/>
              </w:rPr>
            </w:pPr>
            <w:r>
              <w:rPr>
                <w:rFonts w:hint="eastAsia"/>
                <w:color w:val="auto"/>
                <w:kern w:val="0"/>
                <w:sz w:val="24"/>
              </w:rPr>
              <w:t>《</w:t>
            </w:r>
            <w:r>
              <w:rPr>
                <w:rFonts w:ascii="宋体" w:hAnsi="宋体" w:cs="宋体"/>
                <w:color w:val="auto"/>
                <w:sz w:val="24"/>
              </w:rPr>
              <w:t>河南力富特起重运输机械有限公司年生产</w:t>
            </w:r>
            <w:r>
              <w:rPr>
                <w:color w:val="auto"/>
                <w:sz w:val="24"/>
              </w:rPr>
              <w:t>9万台起重电机及1000</w:t>
            </w:r>
            <w:r>
              <w:rPr>
                <w:rFonts w:ascii="宋体" w:hAnsi="宋体" w:cs="宋体"/>
                <w:color w:val="auto"/>
                <w:sz w:val="24"/>
              </w:rPr>
              <w:t>套起重配件扩建项目</w:t>
            </w:r>
            <w:r>
              <w:rPr>
                <w:rFonts w:hint="eastAsia"/>
                <w:color w:val="auto"/>
                <w:kern w:val="0"/>
                <w:sz w:val="24"/>
              </w:rPr>
              <w:t>》主要从事</w:t>
            </w:r>
            <w:r>
              <w:rPr>
                <w:rFonts w:ascii="宋体" w:hAnsi="宋体" w:cs="宋体"/>
                <w:color w:val="auto"/>
                <w:sz w:val="24"/>
              </w:rPr>
              <w:t>起重电机及起重配件</w:t>
            </w:r>
            <w:r>
              <w:rPr>
                <w:rFonts w:hint="eastAsia" w:ascii="宋体" w:hAnsi="宋体" w:cs="宋体"/>
                <w:color w:val="auto"/>
                <w:sz w:val="24"/>
              </w:rPr>
              <w:t>制造项目，其原辅料、生产工艺、产品类型与本项目一致，因此，本项目边角料产生量具有可类比性。</w:t>
            </w:r>
          </w:p>
          <w:p w14:paraId="6187B38F">
            <w:pPr>
              <w:adjustRightInd w:val="0"/>
              <w:snapToGrid w:val="0"/>
              <w:spacing w:line="360" w:lineRule="auto"/>
              <w:ind w:firstLine="480" w:firstLineChars="200"/>
              <w:rPr>
                <w:color w:val="auto"/>
                <w:sz w:val="24"/>
              </w:rPr>
            </w:pPr>
            <w:r>
              <w:rPr>
                <w:rFonts w:hint="eastAsia" w:ascii="宋体" w:hAnsi="宋体" w:cs="宋体"/>
                <w:color w:val="auto"/>
                <w:sz w:val="24"/>
              </w:rPr>
              <w:t>②</w:t>
            </w:r>
            <w:r>
              <w:rPr>
                <w:rFonts w:hint="eastAsia"/>
                <w:color w:val="auto"/>
                <w:sz w:val="24"/>
              </w:rPr>
              <w:t>测试不合格产品</w:t>
            </w:r>
          </w:p>
          <w:p w14:paraId="0A678CD8">
            <w:pPr>
              <w:adjustRightInd w:val="0"/>
              <w:snapToGrid w:val="0"/>
              <w:spacing w:line="360" w:lineRule="auto"/>
              <w:ind w:firstLine="480" w:firstLineChars="200"/>
              <w:rPr>
                <w:color w:val="auto"/>
                <w:sz w:val="24"/>
              </w:rPr>
            </w:pPr>
            <w:r>
              <w:rPr>
                <w:rFonts w:hint="eastAsia"/>
                <w:bCs/>
                <w:color w:val="auto"/>
                <w:kern w:val="0"/>
                <w:sz w:val="24"/>
              </w:rPr>
              <w:t>项目在生产各检测工序中会产生部分不合格产品，企业要求产品合格率达99%及以上，不合格率约1%，则不合格产品产生量约0.6t/a，收集后外售处理。</w:t>
            </w:r>
          </w:p>
          <w:p w14:paraId="36F097F0">
            <w:pPr>
              <w:widowControl/>
              <w:snapToGrid w:val="0"/>
              <w:spacing w:line="360" w:lineRule="auto"/>
              <w:ind w:firstLine="480" w:firstLineChars="200"/>
              <w:rPr>
                <w:color w:val="auto"/>
                <w:sz w:val="24"/>
              </w:rPr>
            </w:pPr>
            <w:r>
              <w:rPr>
                <w:rFonts w:hint="eastAsia" w:ascii="宋体" w:hAnsi="宋体" w:cs="宋体"/>
                <w:color w:val="auto"/>
                <w:sz w:val="24"/>
              </w:rPr>
              <w:t>③</w:t>
            </w:r>
            <w:r>
              <w:rPr>
                <w:rFonts w:hint="eastAsia"/>
                <w:color w:val="auto"/>
                <w:sz w:val="24"/>
              </w:rPr>
              <w:t>废漆包线</w:t>
            </w:r>
          </w:p>
          <w:p w14:paraId="22997501">
            <w:pPr>
              <w:adjustRightInd w:val="0"/>
              <w:snapToGrid w:val="0"/>
              <w:spacing w:line="360" w:lineRule="auto"/>
              <w:ind w:firstLine="480" w:firstLineChars="200"/>
              <w:rPr>
                <w:color w:val="auto"/>
                <w:kern w:val="0"/>
                <w:sz w:val="24"/>
              </w:rPr>
            </w:pPr>
            <w:r>
              <w:rPr>
                <w:rFonts w:hint="eastAsia"/>
                <w:bCs/>
                <w:color w:val="auto"/>
                <w:kern w:val="0"/>
                <w:sz w:val="24"/>
              </w:rPr>
              <w:t>本项目在绕线整形工序会产生废漆包线，类比《</w:t>
            </w:r>
            <w:r>
              <w:rPr>
                <w:rFonts w:ascii="宋体" w:hAnsi="宋体" w:cs="宋体"/>
                <w:color w:val="auto"/>
                <w:sz w:val="24"/>
              </w:rPr>
              <w:t>龙南市品鑫电机有限公司微型电机项目竣工环境保护验收监测报告表</w:t>
            </w:r>
            <w:r>
              <w:rPr>
                <w:rFonts w:hint="eastAsia"/>
                <w:bCs/>
                <w:color w:val="auto"/>
                <w:kern w:val="0"/>
                <w:sz w:val="24"/>
              </w:rPr>
              <w:t>》，该项目漆包铜线用量80t/a，项目在生产过程中边角料（废漆包线、废零部件）产生量约0.5t/a，废边角料（废漆包线、废零部件）约为漆包铜线使用量的0.6%。本项目漆包线用量为80t/a，则本项目废漆包线产生量约为0.5t/a，经</w:t>
            </w:r>
            <w:r>
              <w:rPr>
                <w:rFonts w:hint="eastAsia"/>
                <w:color w:val="auto"/>
                <w:sz w:val="24"/>
              </w:rPr>
              <w:t>收集后暂存于一般固废仓库，并定期外售综合利用。</w:t>
            </w:r>
          </w:p>
          <w:p w14:paraId="3C77C1B5">
            <w:pPr>
              <w:adjustRightInd w:val="0"/>
              <w:snapToGrid w:val="0"/>
              <w:spacing w:line="360" w:lineRule="auto"/>
              <w:ind w:firstLine="480" w:firstLineChars="200"/>
              <w:rPr>
                <w:bCs/>
                <w:color w:val="auto"/>
                <w:kern w:val="0"/>
                <w:sz w:val="24"/>
              </w:rPr>
            </w:pPr>
            <w:r>
              <w:rPr>
                <w:rFonts w:hint="eastAsia"/>
                <w:bCs/>
                <w:color w:val="auto"/>
                <w:kern w:val="0"/>
                <w:sz w:val="24"/>
              </w:rPr>
              <w:t>《</w:t>
            </w:r>
            <w:r>
              <w:rPr>
                <w:rFonts w:ascii="宋体" w:hAnsi="宋体" w:cs="宋体"/>
                <w:color w:val="auto"/>
                <w:sz w:val="24"/>
              </w:rPr>
              <w:t>龙南市品鑫电机有限公司微型电机项目</w:t>
            </w:r>
            <w:r>
              <w:rPr>
                <w:rFonts w:hint="eastAsia"/>
                <w:bCs/>
                <w:color w:val="auto"/>
                <w:kern w:val="0"/>
                <w:sz w:val="24"/>
              </w:rPr>
              <w:t>》主要生产微型电机，其原辅料、生产工艺、产品类型与本项目一致，因此，本项目废漆包线产生量具有可类比性。</w:t>
            </w:r>
          </w:p>
          <w:p w14:paraId="7775D923">
            <w:pPr>
              <w:adjustRightInd w:val="0"/>
              <w:snapToGrid w:val="0"/>
              <w:spacing w:line="360" w:lineRule="auto"/>
              <w:ind w:firstLine="480" w:firstLineChars="200"/>
              <w:rPr>
                <w:color w:val="auto"/>
                <w:sz w:val="24"/>
              </w:rPr>
            </w:pPr>
            <w:r>
              <w:rPr>
                <w:rFonts w:hint="eastAsia"/>
                <w:color w:val="auto"/>
                <w:sz w:val="24"/>
              </w:rPr>
              <w:t>④质量检测不合格品</w:t>
            </w:r>
          </w:p>
          <w:p w14:paraId="38D2501F">
            <w:pPr>
              <w:adjustRightInd w:val="0"/>
              <w:snapToGrid w:val="0"/>
              <w:spacing w:line="360" w:lineRule="auto"/>
              <w:ind w:firstLine="480" w:firstLineChars="200"/>
              <w:rPr>
                <w:color w:val="auto"/>
                <w:sz w:val="24"/>
              </w:rPr>
            </w:pPr>
            <w:r>
              <w:rPr>
                <w:rFonts w:hint="eastAsia"/>
                <w:color w:val="auto"/>
                <w:sz w:val="24"/>
              </w:rPr>
              <w:t>本项目变频器生产过程中外购部件需先进行来料质量检测，检测合格后方能进入生产工序，</w:t>
            </w:r>
            <w:r>
              <w:rPr>
                <w:rFonts w:hint="eastAsia"/>
                <w:bCs/>
                <w:color w:val="auto"/>
                <w:kern w:val="0"/>
                <w:sz w:val="24"/>
              </w:rPr>
              <w:t>企业要求外购</w:t>
            </w:r>
            <w:r>
              <w:rPr>
                <w:rFonts w:hint="eastAsia"/>
                <w:color w:val="auto"/>
                <w:sz w:val="24"/>
              </w:rPr>
              <w:t>部件</w:t>
            </w:r>
            <w:r>
              <w:rPr>
                <w:rFonts w:hint="eastAsia"/>
                <w:bCs/>
                <w:color w:val="auto"/>
                <w:kern w:val="0"/>
                <w:sz w:val="24"/>
              </w:rPr>
              <w:t>合格率达99%及以上，不合格率约1%，则不合格的补</w:t>
            </w:r>
            <w:r>
              <w:rPr>
                <w:rFonts w:hint="eastAsia"/>
                <w:bCs/>
                <w:color w:val="auto"/>
                <w:kern w:val="0"/>
                <w:sz w:val="24"/>
                <w:lang w:eastAsia="zh-CN"/>
              </w:rPr>
              <w:t>件</w:t>
            </w:r>
            <w:r>
              <w:rPr>
                <w:rFonts w:hint="eastAsia"/>
                <w:bCs/>
                <w:color w:val="auto"/>
                <w:kern w:val="0"/>
                <w:sz w:val="24"/>
              </w:rPr>
              <w:t>产生量约0.6t/a，</w:t>
            </w:r>
            <w:r>
              <w:rPr>
                <w:rFonts w:hint="eastAsia"/>
                <w:color w:val="auto"/>
                <w:sz w:val="24"/>
              </w:rPr>
              <w:t>经收集后退回原采购厂家</w:t>
            </w:r>
            <w:r>
              <w:rPr>
                <w:rFonts w:hint="eastAsia"/>
                <w:bCs/>
                <w:color w:val="auto"/>
                <w:kern w:val="0"/>
                <w:sz w:val="24"/>
              </w:rPr>
              <w:t>。</w:t>
            </w:r>
          </w:p>
          <w:p w14:paraId="73ED0207">
            <w:pPr>
              <w:adjustRightInd w:val="0"/>
              <w:snapToGrid w:val="0"/>
              <w:spacing w:line="360" w:lineRule="auto"/>
              <w:ind w:firstLine="480" w:firstLineChars="200"/>
              <w:rPr>
                <w:bCs/>
                <w:color w:val="auto"/>
                <w:sz w:val="24"/>
              </w:rPr>
            </w:pPr>
            <w:r>
              <w:rPr>
                <w:rFonts w:hint="eastAsia"/>
                <w:bCs/>
                <w:color w:val="auto"/>
                <w:sz w:val="24"/>
              </w:rPr>
              <w:t>⑤废包装材料</w:t>
            </w:r>
          </w:p>
          <w:p w14:paraId="1A8DFEF9">
            <w:pPr>
              <w:adjustRightInd w:val="0"/>
              <w:snapToGrid w:val="0"/>
              <w:spacing w:line="360" w:lineRule="auto"/>
              <w:ind w:firstLine="480" w:firstLineChars="200"/>
              <w:rPr>
                <w:bCs/>
                <w:color w:val="auto"/>
                <w:kern w:val="0"/>
                <w:sz w:val="24"/>
              </w:rPr>
            </w:pPr>
            <w:r>
              <w:rPr>
                <w:rFonts w:hint="eastAsia"/>
                <w:color w:val="auto"/>
                <w:sz w:val="24"/>
              </w:rPr>
              <w:t>本项目在原材料及成品包装时会产生废包装物，类比同类型项目，产生量约为0.3t/a</w:t>
            </w:r>
            <w:r>
              <w:rPr>
                <w:rFonts w:hint="eastAsia"/>
                <w:bCs/>
                <w:color w:val="auto"/>
                <w:kern w:val="0"/>
                <w:sz w:val="24"/>
              </w:rPr>
              <w:t>，收集后外售处理。</w:t>
            </w:r>
          </w:p>
          <w:p w14:paraId="0C26835A">
            <w:pPr>
              <w:adjustRightInd w:val="0"/>
              <w:snapToGrid w:val="0"/>
              <w:spacing w:line="360" w:lineRule="auto"/>
              <w:ind w:firstLine="480" w:firstLineChars="200"/>
              <w:rPr>
                <w:bCs/>
                <w:color w:val="auto"/>
                <w:kern w:val="0"/>
                <w:sz w:val="24"/>
              </w:rPr>
            </w:pPr>
            <w:r>
              <w:rPr>
                <w:rFonts w:hint="eastAsia"/>
                <w:bCs/>
                <w:color w:val="auto"/>
                <w:kern w:val="0"/>
                <w:sz w:val="24"/>
              </w:rPr>
              <w:t>⑥布袋除尘灰</w:t>
            </w:r>
          </w:p>
          <w:p w14:paraId="2B95C596">
            <w:pPr>
              <w:adjustRightInd w:val="0"/>
              <w:snapToGrid w:val="0"/>
              <w:spacing w:line="360" w:lineRule="auto"/>
              <w:ind w:firstLine="480" w:firstLineChars="200"/>
              <w:rPr>
                <w:color w:val="auto"/>
                <w:kern w:val="0"/>
                <w:sz w:val="24"/>
              </w:rPr>
            </w:pPr>
            <w:r>
              <w:rPr>
                <w:rFonts w:hint="eastAsia" w:cs="宋体"/>
                <w:color w:val="auto"/>
                <w:kern w:val="0"/>
                <w:sz w:val="24"/>
                <w:lang w:bidi="ar"/>
              </w:rPr>
              <w:t>本项目配件下料工序产生的颗粒物经布袋除尘器处理后通过1根</w:t>
            </w:r>
            <w:r>
              <w:rPr>
                <w:color w:val="auto"/>
                <w:kern w:val="0"/>
                <w:sz w:val="24"/>
                <w:lang w:bidi="ar"/>
              </w:rPr>
              <w:t>15m</w:t>
            </w:r>
            <w:r>
              <w:rPr>
                <w:rFonts w:hint="eastAsia" w:cs="宋体"/>
                <w:color w:val="auto"/>
                <w:kern w:val="0"/>
                <w:sz w:val="24"/>
                <w:lang w:bidi="ar"/>
              </w:rPr>
              <w:t>高</w:t>
            </w:r>
            <w:r>
              <w:rPr>
                <w:color w:val="auto"/>
                <w:kern w:val="0"/>
                <w:sz w:val="24"/>
                <w:lang w:bidi="ar"/>
              </w:rPr>
              <w:t>1#</w:t>
            </w:r>
            <w:r>
              <w:rPr>
                <w:rFonts w:hint="eastAsia" w:cs="宋体"/>
                <w:color w:val="auto"/>
                <w:kern w:val="0"/>
                <w:sz w:val="24"/>
                <w:lang w:bidi="ar"/>
              </w:rPr>
              <w:t>排气筒排放，根据源强计算章节，布袋除尘器收集的粉尘量为</w:t>
            </w:r>
            <w:r>
              <w:rPr>
                <w:rFonts w:hint="eastAsia"/>
                <w:color w:val="auto"/>
                <w:kern w:val="0"/>
                <w:sz w:val="24"/>
                <w:lang w:val="en-US" w:eastAsia="zh-CN" w:bidi="ar"/>
              </w:rPr>
              <w:t>1.294</w:t>
            </w:r>
            <w:r>
              <w:rPr>
                <w:color w:val="auto"/>
                <w:kern w:val="0"/>
                <w:sz w:val="24"/>
                <w:lang w:bidi="ar"/>
              </w:rPr>
              <w:t>t/a</w:t>
            </w:r>
            <w:r>
              <w:rPr>
                <w:rFonts w:hint="eastAsia" w:cs="宋体"/>
                <w:color w:val="auto"/>
                <w:kern w:val="0"/>
                <w:sz w:val="24"/>
                <w:lang w:bidi="ar"/>
              </w:rPr>
              <w:t>，经收集后暂存于一般固废仓库，定期外售综合利用。</w:t>
            </w:r>
          </w:p>
          <w:p w14:paraId="6872FB4C">
            <w:pPr>
              <w:adjustRightInd w:val="0"/>
              <w:snapToGrid w:val="0"/>
              <w:spacing w:line="360" w:lineRule="auto"/>
              <w:ind w:firstLine="480" w:firstLineChars="200"/>
              <w:rPr>
                <w:bCs/>
                <w:color w:val="auto"/>
                <w:kern w:val="0"/>
                <w:sz w:val="24"/>
              </w:rPr>
            </w:pPr>
            <w:r>
              <w:rPr>
                <w:rFonts w:hint="eastAsia"/>
                <w:bCs/>
                <w:color w:val="auto"/>
                <w:kern w:val="0"/>
                <w:sz w:val="24"/>
              </w:rPr>
              <w:t>⑦废布袋</w:t>
            </w:r>
          </w:p>
          <w:p w14:paraId="128ED7A2">
            <w:pPr>
              <w:adjustRightInd w:val="0"/>
              <w:snapToGrid w:val="0"/>
              <w:spacing w:line="360" w:lineRule="auto"/>
              <w:ind w:firstLine="480" w:firstLineChars="200"/>
              <w:rPr>
                <w:bCs/>
                <w:color w:val="auto"/>
                <w:kern w:val="0"/>
                <w:sz w:val="24"/>
              </w:rPr>
            </w:pPr>
            <w:r>
              <w:rPr>
                <w:rFonts w:hint="eastAsia"/>
                <w:color w:val="auto"/>
                <w:sz w:val="24"/>
                <w:lang w:bidi="ar"/>
              </w:rPr>
              <w:t>根据企业提供的技术资料，</w:t>
            </w:r>
            <w:r>
              <w:rPr>
                <w:color w:val="auto"/>
                <w:sz w:val="24"/>
                <w:lang w:bidi="ar"/>
              </w:rPr>
              <w:t>1#</w:t>
            </w:r>
            <w:r>
              <w:rPr>
                <w:rFonts w:hint="eastAsia"/>
                <w:color w:val="auto"/>
                <w:sz w:val="24"/>
                <w:lang w:bidi="ar"/>
              </w:rPr>
              <w:t>排气筒布袋除尘器配套布袋</w:t>
            </w:r>
            <w:r>
              <w:rPr>
                <w:color w:val="auto"/>
                <w:sz w:val="24"/>
                <w:lang w:bidi="ar"/>
              </w:rPr>
              <w:t>42</w:t>
            </w:r>
            <w:r>
              <w:rPr>
                <w:rFonts w:hint="eastAsia"/>
                <w:color w:val="auto"/>
                <w:sz w:val="24"/>
                <w:lang w:bidi="ar"/>
              </w:rPr>
              <w:t>个，单个布袋重量约</w:t>
            </w:r>
            <w:r>
              <w:rPr>
                <w:color w:val="auto"/>
                <w:sz w:val="24"/>
                <w:lang w:bidi="ar"/>
              </w:rPr>
              <w:t>550g</w:t>
            </w:r>
            <w:r>
              <w:rPr>
                <w:rFonts w:hint="eastAsia"/>
                <w:color w:val="auto"/>
                <w:sz w:val="24"/>
                <w:lang w:bidi="ar"/>
              </w:rPr>
              <w:t>，每半年更换一次布袋，则废布袋产生量为</w:t>
            </w:r>
            <w:r>
              <w:rPr>
                <w:color w:val="auto"/>
                <w:sz w:val="24"/>
                <w:lang w:bidi="ar"/>
              </w:rPr>
              <w:t>0.0462t/a</w:t>
            </w:r>
            <w:r>
              <w:rPr>
                <w:rFonts w:hint="eastAsia"/>
                <w:color w:val="auto"/>
                <w:sz w:val="24"/>
                <w:lang w:bidi="ar"/>
              </w:rPr>
              <w:t>，经收集后暂存于一般固废仓库，定期外售综合利用。</w:t>
            </w:r>
          </w:p>
          <w:p w14:paraId="268AAA30">
            <w:pPr>
              <w:adjustRightInd w:val="0"/>
              <w:snapToGrid w:val="0"/>
              <w:spacing w:line="360" w:lineRule="auto"/>
              <w:ind w:firstLine="480" w:firstLineChars="200"/>
              <w:rPr>
                <w:bCs/>
                <w:color w:val="auto"/>
                <w:sz w:val="24"/>
              </w:rPr>
            </w:pPr>
            <w:r>
              <w:rPr>
                <w:rFonts w:hint="eastAsia"/>
                <w:bCs/>
                <w:color w:val="auto"/>
                <w:sz w:val="24"/>
              </w:rPr>
              <w:t>（2）</w:t>
            </w:r>
            <w:r>
              <w:rPr>
                <w:bCs/>
                <w:color w:val="auto"/>
                <w:sz w:val="24"/>
              </w:rPr>
              <w:t>危险废物</w:t>
            </w:r>
          </w:p>
          <w:p w14:paraId="435516E4">
            <w:pPr>
              <w:adjustRightInd w:val="0"/>
              <w:snapToGrid w:val="0"/>
              <w:spacing w:line="360" w:lineRule="auto"/>
              <w:ind w:firstLine="480" w:firstLineChars="200"/>
              <w:rPr>
                <w:color w:val="auto"/>
                <w:sz w:val="24"/>
              </w:rPr>
            </w:pPr>
            <w:r>
              <w:rPr>
                <w:rFonts w:hint="eastAsia" w:ascii="宋体" w:hAnsi="宋体" w:cs="宋体"/>
                <w:bCs/>
                <w:color w:val="auto"/>
                <w:sz w:val="24"/>
              </w:rPr>
              <w:t>①</w:t>
            </w:r>
            <w:r>
              <w:rPr>
                <w:rFonts w:hint="eastAsia"/>
                <w:bCs/>
                <w:color w:val="auto"/>
                <w:sz w:val="24"/>
              </w:rPr>
              <w:t>废包装桶</w:t>
            </w:r>
          </w:p>
          <w:p w14:paraId="04023EAD">
            <w:pPr>
              <w:widowControl/>
              <w:snapToGrid w:val="0"/>
              <w:spacing w:line="360" w:lineRule="auto"/>
              <w:ind w:firstLine="480" w:firstLineChars="200"/>
              <w:rPr>
                <w:color w:val="auto"/>
                <w:sz w:val="24"/>
              </w:rPr>
            </w:pPr>
            <w:r>
              <w:rPr>
                <w:rFonts w:hint="eastAsia"/>
                <w:color w:val="auto"/>
                <w:sz w:val="24"/>
              </w:rPr>
              <w:t>项目原料水性环氧绝缘树脂漆、水性丙烯酸聚氨酯面漆</w:t>
            </w:r>
            <w:r>
              <w:rPr>
                <w:rFonts w:hint="eastAsia"/>
                <w:color w:val="auto"/>
                <w:sz w:val="24"/>
                <w:lang w:eastAsia="zh-CN"/>
              </w:rPr>
              <w:t>、</w:t>
            </w:r>
            <w:r>
              <w:rPr>
                <w:rFonts w:hint="eastAsia"/>
                <w:color w:val="auto"/>
                <w:sz w:val="24"/>
                <w:lang w:val="en-US" w:eastAsia="zh-CN"/>
              </w:rPr>
              <w:t>70%</w:t>
            </w:r>
            <w:r>
              <w:rPr>
                <w:rFonts w:hint="eastAsia"/>
                <w:color w:val="auto"/>
                <w:sz w:val="24"/>
                <w:lang w:eastAsia="zh-CN"/>
              </w:rPr>
              <w:t>乙醇</w:t>
            </w:r>
            <w:r>
              <w:rPr>
                <w:rFonts w:hint="eastAsia"/>
                <w:color w:val="auto"/>
                <w:sz w:val="24"/>
              </w:rPr>
              <w:t>规格为25kg/桶，润滑油规格为200kg/桶</w:t>
            </w:r>
            <w:r>
              <w:rPr>
                <w:rFonts w:hint="eastAsia"/>
                <w:color w:val="auto"/>
                <w:sz w:val="24"/>
                <w:lang w:eastAsia="zh-CN"/>
              </w:rPr>
              <w:t>，切削液规格为</w:t>
            </w:r>
            <w:r>
              <w:rPr>
                <w:rFonts w:hint="eastAsia"/>
                <w:color w:val="auto"/>
                <w:sz w:val="24"/>
                <w:lang w:val="en-US" w:eastAsia="zh-CN"/>
              </w:rPr>
              <w:t>15kg/桶</w:t>
            </w:r>
            <w:r>
              <w:rPr>
                <w:rFonts w:hint="eastAsia"/>
                <w:color w:val="auto"/>
                <w:sz w:val="24"/>
              </w:rPr>
              <w:t>，包装拆封及使用过程中会产生废包装桶，水性环氧绝缘树脂漆用量2t/a、水性丙烯酸聚氨酯面漆用量2t/a</w:t>
            </w:r>
            <w:r>
              <w:rPr>
                <w:rFonts w:hint="eastAsia"/>
                <w:color w:val="auto"/>
                <w:sz w:val="24"/>
                <w:lang w:eastAsia="zh-CN"/>
              </w:rPr>
              <w:t>、</w:t>
            </w:r>
            <w:r>
              <w:rPr>
                <w:rFonts w:hint="eastAsia"/>
                <w:color w:val="auto"/>
                <w:sz w:val="24"/>
                <w:lang w:val="en-US" w:eastAsia="zh-CN"/>
              </w:rPr>
              <w:t>70%乙醇用量为0.1t/a</w:t>
            </w:r>
            <w:r>
              <w:rPr>
                <w:rFonts w:hint="eastAsia"/>
                <w:color w:val="auto"/>
                <w:sz w:val="24"/>
              </w:rPr>
              <w:t>、润滑油用量0.2t/a</w:t>
            </w:r>
            <w:r>
              <w:rPr>
                <w:rFonts w:hint="eastAsia"/>
                <w:color w:val="auto"/>
                <w:sz w:val="24"/>
                <w:lang w:eastAsia="zh-CN"/>
              </w:rPr>
              <w:t>，切削液用量为</w:t>
            </w:r>
            <w:r>
              <w:rPr>
                <w:rFonts w:hint="eastAsia"/>
                <w:color w:val="auto"/>
                <w:sz w:val="24"/>
                <w:lang w:val="en-US" w:eastAsia="zh-CN"/>
              </w:rPr>
              <w:t>0.03t/a</w:t>
            </w:r>
            <w:r>
              <w:rPr>
                <w:rFonts w:hint="eastAsia"/>
                <w:color w:val="auto"/>
                <w:sz w:val="24"/>
              </w:rPr>
              <w:t>，其中25kg空桶净重1kg，200kg空桶净重8.5kg</w:t>
            </w:r>
            <w:r>
              <w:rPr>
                <w:rFonts w:hint="eastAsia"/>
                <w:color w:val="auto"/>
                <w:sz w:val="24"/>
                <w:lang w:eastAsia="zh-CN"/>
              </w:rPr>
              <w:t>，</w:t>
            </w:r>
            <w:r>
              <w:rPr>
                <w:rFonts w:hint="eastAsia"/>
                <w:color w:val="auto"/>
                <w:sz w:val="24"/>
                <w:lang w:val="en-US" w:eastAsia="zh-CN"/>
              </w:rPr>
              <w:t>1</w:t>
            </w:r>
            <w:r>
              <w:rPr>
                <w:rFonts w:hint="eastAsia"/>
                <w:color w:val="auto"/>
                <w:sz w:val="24"/>
              </w:rPr>
              <w:t>5kg空桶净重</w:t>
            </w:r>
            <w:r>
              <w:rPr>
                <w:rFonts w:hint="eastAsia"/>
                <w:color w:val="auto"/>
                <w:sz w:val="24"/>
                <w:lang w:val="en-US" w:eastAsia="zh-CN"/>
              </w:rPr>
              <w:t>0.8</w:t>
            </w:r>
            <w:r>
              <w:rPr>
                <w:rFonts w:hint="eastAsia"/>
                <w:color w:val="auto"/>
                <w:sz w:val="24"/>
              </w:rPr>
              <w:t>kg，则废包装桶产生量约</w:t>
            </w:r>
            <w:r>
              <w:rPr>
                <w:rFonts w:hint="eastAsia"/>
                <w:color w:val="auto"/>
                <w:sz w:val="24"/>
                <w:lang w:val="en-US" w:eastAsia="zh-CN"/>
              </w:rPr>
              <w:t>0.1741</w:t>
            </w:r>
            <w:r>
              <w:rPr>
                <w:rFonts w:hint="eastAsia"/>
                <w:color w:val="auto"/>
                <w:sz w:val="24"/>
              </w:rPr>
              <w:t>t/a，</w:t>
            </w:r>
            <w:r>
              <w:rPr>
                <w:color w:val="auto"/>
                <w:sz w:val="24"/>
              </w:rPr>
              <w:t>经</w:t>
            </w:r>
            <w:r>
              <w:rPr>
                <w:rFonts w:hint="eastAsia"/>
                <w:color w:val="auto"/>
                <w:sz w:val="24"/>
              </w:rPr>
              <w:t>查询</w:t>
            </w:r>
            <w:r>
              <w:rPr>
                <w:bCs/>
                <w:color w:val="auto"/>
                <w:sz w:val="24"/>
              </w:rPr>
              <w:t>属于危险废物HW</w:t>
            </w:r>
            <w:r>
              <w:rPr>
                <w:rFonts w:hint="eastAsia"/>
                <w:bCs/>
                <w:color w:val="auto"/>
                <w:sz w:val="24"/>
              </w:rPr>
              <w:t>49</w:t>
            </w:r>
            <w:r>
              <w:rPr>
                <w:bCs/>
                <w:color w:val="auto"/>
                <w:sz w:val="24"/>
              </w:rPr>
              <w:t>（900-</w:t>
            </w:r>
            <w:r>
              <w:rPr>
                <w:rFonts w:hint="eastAsia"/>
                <w:bCs/>
                <w:color w:val="auto"/>
                <w:sz w:val="24"/>
              </w:rPr>
              <w:t>041</w:t>
            </w:r>
            <w:r>
              <w:rPr>
                <w:bCs/>
                <w:color w:val="auto"/>
                <w:sz w:val="24"/>
              </w:rPr>
              <w:t>-</w:t>
            </w:r>
            <w:r>
              <w:rPr>
                <w:rFonts w:hint="eastAsia"/>
                <w:bCs/>
                <w:color w:val="auto"/>
                <w:sz w:val="24"/>
              </w:rPr>
              <w:t>49</w:t>
            </w:r>
            <w:r>
              <w:rPr>
                <w:bCs/>
                <w:color w:val="auto"/>
                <w:sz w:val="24"/>
              </w:rPr>
              <w:t>）</w:t>
            </w:r>
            <w:r>
              <w:rPr>
                <w:rFonts w:hint="eastAsia"/>
                <w:bCs/>
                <w:color w:val="auto"/>
                <w:sz w:val="24"/>
              </w:rPr>
              <w:t>，暂存于危废仓库，并定期委托有资质单位安全处置。</w:t>
            </w:r>
          </w:p>
          <w:p w14:paraId="40CC3364">
            <w:pPr>
              <w:widowControl/>
              <w:snapToGrid w:val="0"/>
              <w:spacing w:line="360" w:lineRule="auto"/>
              <w:ind w:firstLine="480" w:firstLineChars="200"/>
              <w:rPr>
                <w:color w:val="auto"/>
                <w:sz w:val="24"/>
              </w:rPr>
            </w:pPr>
            <w:r>
              <w:rPr>
                <w:rFonts w:hint="eastAsia"/>
                <w:color w:val="auto"/>
                <w:sz w:val="24"/>
              </w:rPr>
              <w:t>②</w:t>
            </w:r>
            <w:r>
              <w:rPr>
                <w:color w:val="auto"/>
                <w:sz w:val="24"/>
              </w:rPr>
              <w:t>废</w:t>
            </w:r>
            <w:r>
              <w:rPr>
                <w:rFonts w:hint="eastAsia"/>
                <w:color w:val="auto"/>
                <w:sz w:val="24"/>
              </w:rPr>
              <w:t>活性炭</w:t>
            </w:r>
          </w:p>
          <w:p w14:paraId="12204E55">
            <w:pPr>
              <w:adjustRightInd w:val="0"/>
              <w:snapToGrid w:val="0"/>
              <w:spacing w:line="360" w:lineRule="auto"/>
              <w:ind w:firstLine="480" w:firstLineChars="200"/>
              <w:rPr>
                <w:color w:val="auto"/>
                <w:sz w:val="24"/>
              </w:rPr>
            </w:pPr>
            <w:r>
              <w:rPr>
                <w:rFonts w:hint="eastAsia"/>
                <w:color w:val="auto"/>
                <w:sz w:val="24"/>
              </w:rPr>
              <w:t>本项目</w:t>
            </w:r>
            <w:r>
              <w:rPr>
                <w:rFonts w:hint="eastAsia"/>
                <w:color w:val="auto"/>
                <w:sz w:val="24"/>
                <w:lang w:eastAsia="zh-CN"/>
              </w:rPr>
              <w:t>浸漆、烘干、擦拭工序产生的</w:t>
            </w:r>
            <w:r>
              <w:rPr>
                <w:rFonts w:hint="eastAsia"/>
                <w:color w:val="auto"/>
                <w:sz w:val="24"/>
                <w:lang w:val="en-US" w:eastAsia="zh-CN"/>
              </w:rPr>
              <w:t>NMHC以及喷漆工序产生的NMHC均</w:t>
            </w:r>
            <w:r>
              <w:rPr>
                <w:rFonts w:hint="eastAsia"/>
                <w:color w:val="auto"/>
                <w:sz w:val="24"/>
              </w:rPr>
              <w:t>采用二级活性炭吸附装置进行处理，处理效率均以90%计，在废气处理过程中会产生废活性炭</w:t>
            </w:r>
            <w:r>
              <w:rPr>
                <w:rFonts w:hint="eastAsia"/>
                <w:color w:val="auto"/>
                <w:sz w:val="24"/>
                <w:lang w:eastAsia="zh-CN"/>
              </w:rPr>
              <w:t>，</w:t>
            </w:r>
            <w:r>
              <w:rPr>
                <w:rFonts w:hint="eastAsia"/>
                <w:color w:val="auto"/>
                <w:sz w:val="24"/>
              </w:rPr>
              <w:t>活性炭吸附装置吸附的有机废气量约0.</w:t>
            </w:r>
            <w:r>
              <w:rPr>
                <w:rFonts w:hint="eastAsia"/>
                <w:color w:val="auto"/>
                <w:sz w:val="24"/>
                <w:lang w:val="en-US" w:eastAsia="zh-CN"/>
              </w:rPr>
              <w:t>1924</w:t>
            </w:r>
            <w:r>
              <w:rPr>
                <w:rFonts w:hint="eastAsia"/>
                <w:color w:val="auto"/>
                <w:sz w:val="24"/>
              </w:rPr>
              <w:t>t/a。</w:t>
            </w:r>
          </w:p>
          <w:p w14:paraId="3A1BA7B9">
            <w:pPr>
              <w:adjustRightInd w:val="0"/>
              <w:snapToGrid w:val="0"/>
              <w:spacing w:line="360" w:lineRule="auto"/>
              <w:ind w:firstLine="480" w:firstLineChars="200"/>
              <w:rPr>
                <w:bCs/>
                <w:color w:val="auto"/>
                <w:sz w:val="24"/>
              </w:rPr>
            </w:pPr>
            <w:r>
              <w:rPr>
                <w:rFonts w:hint="eastAsia" w:hAnsi="宋体"/>
                <w:color w:val="auto"/>
                <w:sz w:val="24"/>
                <w:lang w:val="zh-CN" w:bidi="ar"/>
              </w:rPr>
              <w:t>根据</w:t>
            </w:r>
            <w:r>
              <w:rPr>
                <w:rFonts w:hint="eastAsia"/>
                <w:color w:val="auto"/>
                <w:sz w:val="24"/>
                <w:lang w:bidi="ar"/>
              </w:rPr>
              <w:t>《省生态环境厅关于深入开展涉</w:t>
            </w:r>
            <w:r>
              <w:rPr>
                <w:color w:val="auto"/>
                <w:sz w:val="24"/>
                <w:lang w:bidi="ar"/>
              </w:rPr>
              <w:t>VOCs</w:t>
            </w:r>
            <w:r>
              <w:rPr>
                <w:rFonts w:hint="eastAsia"/>
                <w:color w:val="auto"/>
                <w:sz w:val="24"/>
                <w:lang w:bidi="ar"/>
              </w:rPr>
              <w:t>治理重点工作核查的通知》（苏环办〔</w:t>
            </w:r>
            <w:r>
              <w:rPr>
                <w:color w:val="auto"/>
                <w:sz w:val="24"/>
                <w:lang w:bidi="ar"/>
              </w:rPr>
              <w:t>2022</w:t>
            </w:r>
            <w:r>
              <w:rPr>
                <w:rFonts w:hint="eastAsia"/>
                <w:color w:val="auto"/>
                <w:sz w:val="24"/>
                <w:lang w:bidi="ar"/>
              </w:rPr>
              <w:t>〕</w:t>
            </w:r>
            <w:r>
              <w:rPr>
                <w:color w:val="auto"/>
                <w:sz w:val="24"/>
                <w:lang w:bidi="ar"/>
              </w:rPr>
              <w:t>218</w:t>
            </w:r>
            <w:r>
              <w:rPr>
                <w:rFonts w:hint="eastAsia"/>
                <w:color w:val="auto"/>
                <w:sz w:val="24"/>
                <w:lang w:bidi="ar"/>
              </w:rPr>
              <w:t>号）的要求，年活性炭使用量不应低于</w:t>
            </w:r>
            <w:r>
              <w:rPr>
                <w:color w:val="auto"/>
                <w:sz w:val="24"/>
                <w:lang w:bidi="ar"/>
              </w:rPr>
              <w:t>VOCs</w:t>
            </w:r>
            <w:r>
              <w:rPr>
                <w:rFonts w:hint="eastAsia"/>
                <w:color w:val="auto"/>
                <w:sz w:val="24"/>
                <w:lang w:bidi="ar"/>
              </w:rPr>
              <w:t>产生量的</w:t>
            </w:r>
            <w:r>
              <w:rPr>
                <w:color w:val="auto"/>
                <w:sz w:val="24"/>
                <w:lang w:bidi="ar"/>
              </w:rPr>
              <w:t>5</w:t>
            </w:r>
            <w:r>
              <w:rPr>
                <w:rFonts w:hint="eastAsia"/>
                <w:color w:val="auto"/>
                <w:sz w:val="24"/>
                <w:lang w:bidi="ar"/>
              </w:rPr>
              <w:t>倍</w:t>
            </w:r>
            <w:r>
              <w:rPr>
                <w:rFonts w:hint="eastAsia"/>
                <w:color w:val="auto"/>
                <w:sz w:val="24"/>
                <w:lang w:eastAsia="zh-CN" w:bidi="ar"/>
              </w:rPr>
              <w:t>，本项目活性炭使用量按照</w:t>
            </w:r>
            <w:r>
              <w:rPr>
                <w:rFonts w:hint="eastAsia"/>
                <w:color w:val="auto"/>
                <w:sz w:val="24"/>
                <w:lang w:val="en-US" w:eastAsia="zh-CN" w:bidi="ar"/>
              </w:rPr>
              <w:t>NMHC有组织产生量的5倍计</w:t>
            </w:r>
            <w:r>
              <w:rPr>
                <w:rFonts w:hint="eastAsia"/>
                <w:color w:val="auto"/>
                <w:sz w:val="24"/>
                <w:lang w:bidi="ar"/>
              </w:rPr>
              <w:t>，则本项目活性炭吸附装置活性炭用量约0</w:t>
            </w:r>
            <w:r>
              <w:rPr>
                <w:rFonts w:hint="eastAsia"/>
                <w:color w:val="auto"/>
                <w:sz w:val="24"/>
                <w:lang w:val="en-US" w:eastAsia="zh-CN" w:bidi="ar"/>
              </w:rPr>
              <w:t>.962</w:t>
            </w:r>
            <w:r>
              <w:rPr>
                <w:rFonts w:hint="eastAsia"/>
                <w:color w:val="auto"/>
                <w:sz w:val="24"/>
                <w:lang w:bidi="ar"/>
              </w:rPr>
              <w:t>t/a，每次填充量为0.</w:t>
            </w:r>
            <w:r>
              <w:rPr>
                <w:rFonts w:hint="eastAsia"/>
                <w:color w:val="auto"/>
                <w:sz w:val="24"/>
                <w:lang w:val="en-US" w:eastAsia="zh-CN" w:bidi="ar"/>
              </w:rPr>
              <w:t>25</w:t>
            </w:r>
            <w:r>
              <w:rPr>
                <w:rFonts w:hint="eastAsia"/>
                <w:color w:val="auto"/>
                <w:sz w:val="24"/>
                <w:lang w:bidi="ar"/>
              </w:rPr>
              <w:t>t，每3个月更换</w:t>
            </w:r>
            <w:r>
              <w:rPr>
                <w:rFonts w:hint="eastAsia"/>
                <w:color w:val="auto"/>
                <w:sz w:val="24"/>
                <w:lang w:eastAsia="zh-CN" w:bidi="ar"/>
              </w:rPr>
              <w:t>一</w:t>
            </w:r>
            <w:r>
              <w:rPr>
                <w:rFonts w:hint="eastAsia"/>
                <w:color w:val="auto"/>
                <w:sz w:val="24"/>
                <w:lang w:bidi="ar"/>
              </w:rPr>
              <w:t>次，则本项目废活性炭产生量约为</w:t>
            </w:r>
            <w:r>
              <w:rPr>
                <w:rFonts w:hint="eastAsia"/>
                <w:color w:val="auto"/>
                <w:sz w:val="24"/>
                <w:lang w:val="en-US" w:eastAsia="zh-CN" w:bidi="ar"/>
              </w:rPr>
              <w:t>1.1924</w:t>
            </w:r>
            <w:r>
              <w:rPr>
                <w:rFonts w:hint="eastAsia"/>
                <w:color w:val="auto"/>
                <w:sz w:val="24"/>
                <w:lang w:bidi="ar"/>
              </w:rPr>
              <w:t>t/a（</w:t>
            </w:r>
            <w:r>
              <w:rPr>
                <w:rFonts w:hint="eastAsia" w:hAnsi="宋体"/>
                <w:color w:val="auto"/>
                <w:sz w:val="24"/>
                <w:lang w:val="zh-CN" w:bidi="ar"/>
              </w:rPr>
              <w:t>含有机废气</w:t>
            </w:r>
            <w:r>
              <w:rPr>
                <w:rFonts w:hAnsi="宋体"/>
                <w:color w:val="auto"/>
                <w:sz w:val="24"/>
                <w:lang w:val="zh-CN" w:bidi="ar"/>
              </w:rPr>
              <w:t>0.</w:t>
            </w:r>
            <w:r>
              <w:rPr>
                <w:rFonts w:hint="eastAsia" w:hAnsi="宋体"/>
                <w:color w:val="auto"/>
                <w:sz w:val="24"/>
                <w:lang w:bidi="ar"/>
              </w:rPr>
              <w:t>1</w:t>
            </w:r>
            <w:r>
              <w:rPr>
                <w:rFonts w:hint="eastAsia" w:hAnsi="宋体"/>
                <w:color w:val="auto"/>
                <w:sz w:val="24"/>
                <w:lang w:val="en-US" w:eastAsia="zh-CN" w:bidi="ar"/>
              </w:rPr>
              <w:t>924</w:t>
            </w:r>
            <w:r>
              <w:rPr>
                <w:rFonts w:hAnsi="宋体"/>
                <w:color w:val="auto"/>
                <w:sz w:val="24"/>
                <w:lang w:val="zh-CN" w:bidi="ar"/>
              </w:rPr>
              <w:t>t/a</w:t>
            </w:r>
            <w:r>
              <w:rPr>
                <w:rFonts w:hint="eastAsia"/>
                <w:color w:val="auto"/>
                <w:sz w:val="24"/>
                <w:lang w:bidi="ar"/>
              </w:rPr>
              <w:t>）</w:t>
            </w:r>
            <w:r>
              <w:rPr>
                <w:rFonts w:hint="eastAsia" w:hAnsi="宋体"/>
                <w:color w:val="auto"/>
                <w:sz w:val="24"/>
                <w:lang w:val="zh-CN" w:bidi="ar"/>
              </w:rPr>
              <w:t>，经查询属于危废</w:t>
            </w:r>
            <w:r>
              <w:rPr>
                <w:rFonts w:hAnsi="宋体"/>
                <w:color w:val="auto"/>
                <w:sz w:val="24"/>
                <w:lang w:val="zh-CN" w:bidi="ar"/>
              </w:rPr>
              <w:t>HW49</w:t>
            </w:r>
            <w:r>
              <w:rPr>
                <w:rFonts w:hint="eastAsia" w:hAnsi="宋体"/>
                <w:color w:val="auto"/>
                <w:sz w:val="24"/>
                <w:lang w:val="zh-CN" w:bidi="ar"/>
              </w:rPr>
              <w:t>（</w:t>
            </w:r>
            <w:r>
              <w:rPr>
                <w:rFonts w:hAnsi="宋体"/>
                <w:color w:val="auto"/>
                <w:sz w:val="24"/>
                <w:lang w:val="zh-CN" w:bidi="ar"/>
              </w:rPr>
              <w:t>900-039-49</w:t>
            </w:r>
            <w:r>
              <w:rPr>
                <w:rFonts w:hint="eastAsia" w:hAnsi="宋体"/>
                <w:color w:val="auto"/>
                <w:sz w:val="24"/>
                <w:lang w:val="zh-CN" w:bidi="ar"/>
              </w:rPr>
              <w:t>），</w:t>
            </w:r>
            <w:r>
              <w:rPr>
                <w:rFonts w:hint="eastAsia"/>
                <w:bCs/>
                <w:color w:val="auto"/>
                <w:sz w:val="24"/>
              </w:rPr>
              <w:t>暂存于危废仓库，定期委托有资质单位安全处置</w:t>
            </w:r>
            <w:r>
              <w:rPr>
                <w:bCs/>
                <w:color w:val="auto"/>
                <w:sz w:val="24"/>
              </w:rPr>
              <w:t>。</w:t>
            </w:r>
          </w:p>
          <w:p w14:paraId="3EB18550">
            <w:pPr>
              <w:adjustRightInd w:val="0"/>
              <w:snapToGrid w:val="0"/>
              <w:spacing w:line="360" w:lineRule="auto"/>
              <w:ind w:firstLine="480" w:firstLineChars="200"/>
              <w:rPr>
                <w:color w:val="auto"/>
                <w:sz w:val="24"/>
              </w:rPr>
            </w:pPr>
            <w:r>
              <w:rPr>
                <w:rFonts w:hint="eastAsia"/>
                <w:color w:val="auto"/>
                <w:sz w:val="24"/>
              </w:rPr>
              <w:t>③废润滑油</w:t>
            </w:r>
          </w:p>
          <w:p w14:paraId="5C9B7D79">
            <w:pPr>
              <w:adjustRightInd w:val="0"/>
              <w:snapToGrid w:val="0"/>
              <w:spacing w:line="360" w:lineRule="auto"/>
              <w:ind w:firstLine="480" w:firstLineChars="200"/>
              <w:rPr>
                <w:color w:val="auto"/>
                <w:sz w:val="24"/>
              </w:rPr>
            </w:pPr>
            <w:r>
              <w:rPr>
                <w:rFonts w:hint="eastAsia"/>
                <w:color w:val="auto"/>
                <w:sz w:val="24"/>
              </w:rPr>
              <w:t>本项目在日常生产过程中需要对设备进行维护保养，维护保养会产生废润滑油，润滑油每年更换一次，润滑油年用量0.2t/a，使用过程中损耗率以50%计，则废润滑油产生量约0.1t/a，</w:t>
            </w:r>
            <w:r>
              <w:rPr>
                <w:color w:val="auto"/>
                <w:sz w:val="24"/>
              </w:rPr>
              <w:t>经</w:t>
            </w:r>
            <w:r>
              <w:rPr>
                <w:rFonts w:hint="eastAsia"/>
                <w:color w:val="auto"/>
                <w:sz w:val="24"/>
              </w:rPr>
              <w:t>查询</w:t>
            </w:r>
            <w:r>
              <w:rPr>
                <w:bCs/>
                <w:color w:val="auto"/>
                <w:sz w:val="24"/>
              </w:rPr>
              <w:t>属于危险废物HW</w:t>
            </w:r>
            <w:r>
              <w:rPr>
                <w:rFonts w:hint="eastAsia"/>
                <w:bCs/>
                <w:color w:val="auto"/>
                <w:sz w:val="24"/>
              </w:rPr>
              <w:t>08</w:t>
            </w:r>
            <w:r>
              <w:rPr>
                <w:bCs/>
                <w:color w:val="auto"/>
                <w:sz w:val="24"/>
              </w:rPr>
              <w:t>（900-</w:t>
            </w:r>
            <w:r>
              <w:rPr>
                <w:rFonts w:hint="eastAsia"/>
                <w:bCs/>
                <w:color w:val="auto"/>
                <w:sz w:val="24"/>
              </w:rPr>
              <w:t>217</w:t>
            </w:r>
            <w:r>
              <w:rPr>
                <w:bCs/>
                <w:color w:val="auto"/>
                <w:sz w:val="24"/>
              </w:rPr>
              <w:t>-</w:t>
            </w:r>
            <w:r>
              <w:rPr>
                <w:rFonts w:hint="eastAsia"/>
                <w:bCs/>
                <w:color w:val="auto"/>
                <w:sz w:val="24"/>
              </w:rPr>
              <w:t>08</w:t>
            </w:r>
            <w:r>
              <w:rPr>
                <w:bCs/>
                <w:color w:val="auto"/>
                <w:sz w:val="24"/>
              </w:rPr>
              <w:t>）</w:t>
            </w:r>
            <w:r>
              <w:rPr>
                <w:rFonts w:hint="eastAsia"/>
                <w:bCs/>
                <w:color w:val="auto"/>
                <w:sz w:val="24"/>
              </w:rPr>
              <w:t>，暂存于危废仓库，定期委托有资质单位安全处置</w:t>
            </w:r>
            <w:r>
              <w:rPr>
                <w:bCs/>
                <w:color w:val="auto"/>
                <w:sz w:val="24"/>
              </w:rPr>
              <w:t>。</w:t>
            </w:r>
          </w:p>
          <w:p w14:paraId="0BDC274D">
            <w:pPr>
              <w:adjustRightInd w:val="0"/>
              <w:snapToGrid w:val="0"/>
              <w:spacing w:line="360" w:lineRule="auto"/>
              <w:ind w:firstLine="480" w:firstLineChars="200"/>
              <w:rPr>
                <w:color w:val="auto"/>
                <w:sz w:val="24"/>
              </w:rPr>
            </w:pPr>
            <w:r>
              <w:rPr>
                <w:rFonts w:hint="eastAsia"/>
                <w:color w:val="auto"/>
                <w:sz w:val="24"/>
              </w:rPr>
              <w:t>④废切削液</w:t>
            </w:r>
          </w:p>
          <w:p w14:paraId="795559E9">
            <w:pPr>
              <w:adjustRightInd w:val="0"/>
              <w:snapToGrid w:val="0"/>
              <w:spacing w:line="360" w:lineRule="auto"/>
              <w:ind w:firstLine="480" w:firstLineChars="200"/>
              <w:rPr>
                <w:color w:val="auto"/>
                <w:sz w:val="24"/>
              </w:rPr>
            </w:pPr>
            <w:r>
              <w:rPr>
                <w:rFonts w:hint="eastAsia"/>
                <w:color w:val="auto"/>
                <w:sz w:val="24"/>
              </w:rPr>
              <w:t>项目在打磨加工过程中使用切削液进行冷却润滑，切削液按照比例（切削液：水=1:30）调配使用，切削液过滤定期更换，使用过程中水大部分损耗，少量存留在切削液中，最后调配后约有90%损耗，项目切削液使用量为0.03t/a，兑水后为0.93t/a，则废切削液产生量为0.093t/a，</w:t>
            </w:r>
            <w:r>
              <w:rPr>
                <w:color w:val="auto"/>
                <w:sz w:val="24"/>
              </w:rPr>
              <w:t>经</w:t>
            </w:r>
            <w:r>
              <w:rPr>
                <w:rFonts w:hint="eastAsia"/>
                <w:color w:val="auto"/>
                <w:sz w:val="24"/>
              </w:rPr>
              <w:t>查询属于危险废物HW09（900-006-09），</w:t>
            </w:r>
            <w:r>
              <w:rPr>
                <w:rFonts w:hint="eastAsia"/>
                <w:bCs/>
                <w:color w:val="auto"/>
                <w:sz w:val="24"/>
              </w:rPr>
              <w:t>暂存于危废仓库，</w:t>
            </w:r>
            <w:r>
              <w:rPr>
                <w:rFonts w:hint="eastAsia"/>
                <w:color w:val="auto"/>
                <w:sz w:val="24"/>
              </w:rPr>
              <w:t>定期委托有资质单位安全处置。</w:t>
            </w:r>
          </w:p>
          <w:p w14:paraId="568E221D">
            <w:pPr>
              <w:adjustRightInd w:val="0"/>
              <w:snapToGrid w:val="0"/>
              <w:spacing w:line="360" w:lineRule="auto"/>
              <w:ind w:firstLine="480" w:firstLineChars="200"/>
              <w:rPr>
                <w:color w:val="auto"/>
                <w:sz w:val="24"/>
              </w:rPr>
            </w:pPr>
            <w:r>
              <w:rPr>
                <w:rFonts w:hint="eastAsia"/>
                <w:color w:val="auto"/>
                <w:sz w:val="24"/>
              </w:rPr>
              <w:t>⑤废过滤棉</w:t>
            </w:r>
          </w:p>
          <w:p w14:paraId="34BA4305">
            <w:pPr>
              <w:adjustRightInd w:val="0"/>
              <w:snapToGrid w:val="0"/>
              <w:spacing w:line="360" w:lineRule="auto"/>
              <w:ind w:firstLine="480" w:firstLineChars="200"/>
              <w:rPr>
                <w:color w:val="auto"/>
                <w:sz w:val="24"/>
              </w:rPr>
            </w:pPr>
            <w:r>
              <w:rPr>
                <w:rFonts w:hint="eastAsia"/>
                <w:color w:val="auto"/>
                <w:sz w:val="24"/>
              </w:rPr>
              <w:t>本项目</w:t>
            </w:r>
            <w:r>
              <w:rPr>
                <w:rFonts w:hint="eastAsia"/>
                <w:color w:val="auto"/>
                <w:sz w:val="24"/>
                <w:lang w:val="en-US" w:eastAsia="zh-CN"/>
              </w:rPr>
              <w:t>喷漆工序产生的颗粒物、NMHC采用</w:t>
            </w:r>
            <w:r>
              <w:rPr>
                <w:rFonts w:hint="eastAsia"/>
                <w:color w:val="auto"/>
                <w:sz w:val="24"/>
              </w:rPr>
              <w:t>干式过滤棉+二级活性炭装置进行</w:t>
            </w:r>
            <w:r>
              <w:rPr>
                <w:rFonts w:hint="eastAsia"/>
                <w:color w:val="auto"/>
                <w:sz w:val="24"/>
                <w:lang w:eastAsia="zh-CN"/>
              </w:rPr>
              <w:t>处理</w:t>
            </w:r>
            <w:r>
              <w:rPr>
                <w:rFonts w:hint="eastAsia"/>
                <w:color w:val="auto"/>
                <w:sz w:val="24"/>
              </w:rPr>
              <w:t>，有组织漆雾颗粒物产生量为0</w:t>
            </w:r>
            <w:r>
              <w:rPr>
                <w:rFonts w:hint="eastAsia"/>
                <w:color w:val="auto"/>
                <w:sz w:val="24"/>
                <w:lang w:val="en-US" w:eastAsia="zh-CN"/>
              </w:rPr>
              <w:t>.399</w:t>
            </w:r>
            <w:r>
              <w:rPr>
                <w:rFonts w:hint="eastAsia"/>
                <w:color w:val="auto"/>
                <w:sz w:val="24"/>
              </w:rPr>
              <w:t>t/a，干式过滤棉去除效率以90%计，则</w:t>
            </w:r>
            <w:r>
              <w:rPr>
                <w:rFonts w:hint="eastAsia"/>
                <w:color w:val="auto"/>
                <w:sz w:val="24"/>
                <w:lang w:eastAsia="zh-CN"/>
              </w:rPr>
              <w:t>干式</w:t>
            </w:r>
            <w:r>
              <w:rPr>
                <w:rFonts w:hint="eastAsia"/>
                <w:color w:val="auto"/>
                <w:sz w:val="24"/>
              </w:rPr>
              <w:t>过滤棉吸附颗粒物产生量为0.</w:t>
            </w:r>
            <w:r>
              <w:rPr>
                <w:rFonts w:hint="eastAsia"/>
                <w:color w:val="auto"/>
                <w:sz w:val="24"/>
                <w:lang w:val="en-US" w:eastAsia="zh-CN"/>
              </w:rPr>
              <w:t>3591</w:t>
            </w:r>
            <w:r>
              <w:rPr>
                <w:rFonts w:hint="eastAsia"/>
                <w:color w:val="auto"/>
                <w:sz w:val="24"/>
              </w:rPr>
              <w:t>t/a，过滤棉吸附箱装机容量为0.1t，每三个月更换1次，则废过滤棉产生量为</w:t>
            </w:r>
            <w:r>
              <w:rPr>
                <w:rFonts w:hint="eastAsia"/>
                <w:color w:val="auto"/>
                <w:sz w:val="24"/>
                <w:lang w:eastAsia="zh-CN"/>
              </w:rPr>
              <w:t>0.7591</w:t>
            </w:r>
            <w:r>
              <w:rPr>
                <w:rFonts w:hint="eastAsia"/>
                <w:color w:val="auto"/>
                <w:sz w:val="24"/>
              </w:rPr>
              <w:t>t/a（含颗粒物</w:t>
            </w:r>
            <w:r>
              <w:rPr>
                <w:rFonts w:hint="eastAsia"/>
                <w:color w:val="auto"/>
                <w:sz w:val="24"/>
                <w:lang w:eastAsia="zh-CN"/>
              </w:rPr>
              <w:t>0.3591</w:t>
            </w:r>
            <w:r>
              <w:rPr>
                <w:rFonts w:hint="eastAsia"/>
                <w:color w:val="auto"/>
                <w:sz w:val="24"/>
              </w:rPr>
              <w:t>t/a）</w:t>
            </w:r>
            <w:r>
              <w:rPr>
                <w:rFonts w:hint="eastAsia"/>
                <w:color w:val="auto"/>
                <w:sz w:val="24"/>
                <w:lang w:eastAsia="zh-CN"/>
              </w:rPr>
              <w:t>，</w:t>
            </w:r>
            <w:r>
              <w:rPr>
                <w:color w:val="auto"/>
                <w:sz w:val="24"/>
              </w:rPr>
              <w:t>经</w:t>
            </w:r>
            <w:r>
              <w:rPr>
                <w:rFonts w:hint="eastAsia"/>
                <w:color w:val="auto"/>
                <w:sz w:val="24"/>
              </w:rPr>
              <w:t>查询</w:t>
            </w:r>
            <w:r>
              <w:rPr>
                <w:bCs/>
                <w:color w:val="auto"/>
                <w:sz w:val="24"/>
              </w:rPr>
              <w:t>属于危险废物</w:t>
            </w:r>
            <w:r>
              <w:rPr>
                <w:rFonts w:hint="eastAsia"/>
                <w:bCs/>
                <w:color w:val="auto"/>
                <w:sz w:val="24"/>
              </w:rPr>
              <w:t>HW49（900-039-49）</w:t>
            </w:r>
            <w:r>
              <w:rPr>
                <w:color w:val="auto"/>
                <w:sz w:val="24"/>
              </w:rPr>
              <w:t>，</w:t>
            </w:r>
            <w:r>
              <w:rPr>
                <w:rFonts w:hint="eastAsia"/>
                <w:bCs/>
                <w:color w:val="auto"/>
                <w:sz w:val="24"/>
              </w:rPr>
              <w:t>暂存于危废仓库，</w:t>
            </w:r>
            <w:r>
              <w:rPr>
                <w:rFonts w:hint="eastAsia"/>
                <w:color w:val="auto"/>
                <w:sz w:val="24"/>
              </w:rPr>
              <w:t>定期委托有资质单位安全处置。</w:t>
            </w:r>
          </w:p>
          <w:p w14:paraId="6A9C7DC7">
            <w:pPr>
              <w:adjustRightInd w:val="0"/>
              <w:snapToGrid w:val="0"/>
              <w:spacing w:line="360" w:lineRule="auto"/>
              <w:ind w:firstLine="480" w:firstLineChars="200"/>
              <w:rPr>
                <w:color w:val="auto"/>
                <w:sz w:val="24"/>
              </w:rPr>
            </w:pPr>
            <w:r>
              <w:rPr>
                <w:color w:val="auto"/>
                <w:sz w:val="24"/>
              </w:rPr>
              <w:t>（3）生活垃圾</w:t>
            </w:r>
          </w:p>
          <w:p w14:paraId="5CD308C4">
            <w:pPr>
              <w:adjustRightInd w:val="0"/>
              <w:snapToGrid w:val="0"/>
              <w:spacing w:line="360" w:lineRule="auto"/>
              <w:ind w:firstLine="518" w:firstLineChars="216"/>
              <w:rPr>
                <w:bCs/>
                <w:color w:val="auto"/>
                <w:sz w:val="24"/>
              </w:rPr>
            </w:pPr>
            <w:r>
              <w:rPr>
                <w:rFonts w:hint="eastAsia"/>
                <w:bCs/>
                <w:color w:val="auto"/>
                <w:sz w:val="24"/>
              </w:rPr>
              <w:t>A.生活垃圾</w:t>
            </w:r>
          </w:p>
          <w:p w14:paraId="406D200D">
            <w:pPr>
              <w:adjustRightInd w:val="0"/>
              <w:snapToGrid w:val="0"/>
              <w:spacing w:line="360" w:lineRule="auto"/>
              <w:ind w:firstLine="518" w:firstLineChars="216"/>
              <w:rPr>
                <w:bCs/>
                <w:color w:val="auto"/>
                <w:sz w:val="24"/>
              </w:rPr>
            </w:pPr>
            <w:r>
              <w:rPr>
                <w:bCs/>
                <w:color w:val="auto"/>
                <w:sz w:val="24"/>
              </w:rPr>
              <w:t>本项目共有员工</w:t>
            </w:r>
            <w:r>
              <w:rPr>
                <w:rFonts w:hint="eastAsia"/>
                <w:bCs/>
                <w:color w:val="auto"/>
                <w:sz w:val="24"/>
              </w:rPr>
              <w:t>100</w:t>
            </w:r>
            <w:r>
              <w:rPr>
                <w:bCs/>
                <w:color w:val="auto"/>
                <w:sz w:val="24"/>
              </w:rPr>
              <w:t>人，年工作</w:t>
            </w:r>
            <w:r>
              <w:rPr>
                <w:rFonts w:hint="eastAsia"/>
                <w:bCs/>
                <w:color w:val="auto"/>
                <w:sz w:val="24"/>
              </w:rPr>
              <w:t>30</w:t>
            </w:r>
            <w:r>
              <w:rPr>
                <w:bCs/>
                <w:color w:val="auto"/>
                <w:sz w:val="24"/>
              </w:rPr>
              <w:t>0天，生活垃圾应按每人每天0.5kg计算，则生活垃圾产生量约</w:t>
            </w:r>
            <w:r>
              <w:rPr>
                <w:rFonts w:hint="eastAsia"/>
                <w:bCs/>
                <w:color w:val="auto"/>
                <w:sz w:val="24"/>
              </w:rPr>
              <w:t>15</w:t>
            </w:r>
            <w:r>
              <w:rPr>
                <w:bCs/>
                <w:color w:val="auto"/>
                <w:sz w:val="24"/>
              </w:rPr>
              <w:t>t/a，由环卫部门统一清运。</w:t>
            </w:r>
          </w:p>
          <w:p w14:paraId="51C3CE1D">
            <w:pPr>
              <w:numPr>
                <w:ilvl w:val="0"/>
                <w:numId w:val="0"/>
              </w:numPr>
              <w:adjustRightInd w:val="0"/>
              <w:snapToGrid w:val="0"/>
              <w:spacing w:line="360" w:lineRule="auto"/>
              <w:ind w:firstLine="518" w:firstLineChars="216"/>
              <w:rPr>
                <w:bCs/>
                <w:color w:val="auto"/>
                <w:sz w:val="24"/>
              </w:rPr>
            </w:pPr>
            <w:r>
              <w:rPr>
                <w:rFonts w:ascii="Times New Roman" w:hAnsi="Times New Roman" w:eastAsia="宋体" w:cs="Times New Roman"/>
                <w:bCs/>
                <w:color w:val="auto"/>
                <w:kern w:val="2"/>
                <w:sz w:val="24"/>
                <w:szCs w:val="24"/>
                <w:lang w:val="en-US" w:eastAsia="zh-CN" w:bidi="ar-SA"/>
              </w:rPr>
              <w:t>B.</w:t>
            </w:r>
            <w:r>
              <w:rPr>
                <w:rFonts w:hint="eastAsia"/>
                <w:bCs/>
                <w:color w:val="auto"/>
                <w:sz w:val="24"/>
              </w:rPr>
              <w:t>化粪池污泥</w:t>
            </w:r>
          </w:p>
          <w:p w14:paraId="7263B48D">
            <w:pPr>
              <w:adjustRightInd w:val="0"/>
              <w:snapToGrid w:val="0"/>
              <w:spacing w:line="360" w:lineRule="auto"/>
              <w:ind w:firstLine="480" w:firstLineChars="200"/>
              <w:rPr>
                <w:rFonts w:hint="eastAsia"/>
                <w:color w:val="auto"/>
                <w:sz w:val="24"/>
                <w:lang w:bidi="ar"/>
              </w:rPr>
            </w:pPr>
            <w:r>
              <w:rPr>
                <w:rFonts w:hint="eastAsia" w:ascii="Times New Roman" w:hAnsi="Times New Roman" w:cs="Times New Roman"/>
                <w:color w:val="auto"/>
                <w:kern w:val="0"/>
                <w:sz w:val="24"/>
                <w:lang w:val="en-US" w:eastAsia="zh-CN"/>
              </w:rPr>
              <w:t>根据前文废水源强核算，</w:t>
            </w:r>
            <w:r>
              <w:rPr>
                <w:rFonts w:hint="default" w:ascii="Times New Roman" w:hAnsi="Times New Roman" w:cs="Times New Roman"/>
                <w:color w:val="auto"/>
                <w:sz w:val="24"/>
                <w:szCs w:val="24"/>
              </w:rPr>
              <w:t>化粪池中沉降的悬浮性有机物约</w:t>
            </w:r>
            <w:r>
              <w:rPr>
                <w:rFonts w:hint="eastAsia" w:ascii="Times New Roman" w:hAnsi="Times New Roman" w:cs="Times New Roman"/>
                <w:color w:val="auto"/>
                <w:sz w:val="24"/>
                <w:szCs w:val="24"/>
                <w:lang w:val="en-US" w:eastAsia="zh-CN"/>
              </w:rPr>
              <w:t>0.228</w:t>
            </w:r>
            <w:r>
              <w:rPr>
                <w:rFonts w:hint="default" w:ascii="Times New Roman" w:hAnsi="Times New Roman" w:cs="Times New Roman"/>
                <w:color w:val="auto"/>
                <w:sz w:val="24"/>
                <w:szCs w:val="24"/>
              </w:rPr>
              <w:t>t/a，污泥含水率按95%计，故</w:t>
            </w:r>
            <w:r>
              <w:rPr>
                <w:rFonts w:hint="default" w:ascii="Times New Roman" w:hAnsi="Times New Roman" w:cs="Times New Roman"/>
                <w:color w:val="auto"/>
                <w:sz w:val="24"/>
              </w:rPr>
              <w:t>化粪池污泥产生量约为</w:t>
            </w:r>
            <w:r>
              <w:rPr>
                <w:rFonts w:hint="eastAsia" w:ascii="Times New Roman" w:hAnsi="Times New Roman" w:cs="Times New Roman"/>
                <w:color w:val="auto"/>
                <w:sz w:val="24"/>
                <w:lang w:val="en-US" w:eastAsia="zh-CN"/>
              </w:rPr>
              <w:t>11.4</w:t>
            </w:r>
            <w:r>
              <w:rPr>
                <w:rFonts w:hint="default" w:ascii="Times New Roman" w:hAnsi="Times New Roman" w:cs="Times New Roman"/>
                <w:color w:val="auto"/>
                <w:sz w:val="24"/>
              </w:rPr>
              <w:t>t/a</w:t>
            </w:r>
            <w:r>
              <w:rPr>
                <w:rFonts w:hint="eastAsia"/>
                <w:color w:val="auto"/>
                <w:sz w:val="24"/>
                <w:lang w:bidi="ar"/>
              </w:rPr>
              <w:t>，委托环卫部门定期清运。</w:t>
            </w:r>
          </w:p>
          <w:p w14:paraId="1D1C7736">
            <w:pPr>
              <w:numPr>
                <w:ilvl w:val="0"/>
                <w:numId w:val="0"/>
              </w:numPr>
              <w:adjustRightInd w:val="0"/>
              <w:snapToGrid w:val="0"/>
              <w:spacing w:line="360" w:lineRule="auto"/>
              <w:ind w:left="0" w:leftChars="0" w:firstLine="518" w:firstLineChars="216"/>
              <w:rPr>
                <w:rFonts w:hint="eastAsia"/>
                <w:color w:val="auto"/>
                <w:sz w:val="24"/>
                <w:lang w:val="en-US" w:eastAsia="zh-CN" w:bidi="ar"/>
              </w:rPr>
            </w:pPr>
            <w:r>
              <w:rPr>
                <w:rFonts w:hint="eastAsia" w:ascii="Times New Roman" w:hAnsi="Times New Roman" w:eastAsia="宋体" w:cs="Times New Roman"/>
                <w:color w:val="auto"/>
                <w:kern w:val="2"/>
                <w:sz w:val="24"/>
                <w:szCs w:val="24"/>
                <w:lang w:val="en-US" w:eastAsia="zh-CN" w:bidi="ar"/>
              </w:rPr>
              <w:t>C.</w:t>
            </w:r>
            <w:r>
              <w:rPr>
                <w:rFonts w:hint="eastAsia"/>
                <w:color w:val="auto"/>
                <w:sz w:val="24"/>
                <w:lang w:val="en-US" w:eastAsia="zh-CN" w:bidi="ar"/>
              </w:rPr>
              <w:t>厨余垃圾</w:t>
            </w:r>
          </w:p>
          <w:p w14:paraId="2A10DDE7">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厨余垃圾来自食堂的残羹剩饭和废料等。拟建项目食堂提供</w:t>
            </w:r>
            <w:r>
              <w:rPr>
                <w:rFonts w:hint="eastAsia" w:cs="Times New Roman"/>
                <w:bCs/>
                <w:color w:val="auto"/>
                <w:sz w:val="24"/>
                <w:lang w:val="en-US" w:eastAsia="zh-CN"/>
              </w:rPr>
              <w:t>100</w:t>
            </w:r>
            <w:r>
              <w:rPr>
                <w:rFonts w:hint="default" w:ascii="Times New Roman" w:hAnsi="Times New Roman" w:eastAsia="宋体" w:cs="Times New Roman"/>
                <w:bCs/>
                <w:color w:val="auto"/>
                <w:sz w:val="24"/>
              </w:rPr>
              <w:t>人次/天的餐饮，餐厨垃圾产生量按人均日产生量进行估算，估算公式如下：</w:t>
            </w:r>
          </w:p>
          <w:p w14:paraId="19281A75">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Mc=R·m·k</w:t>
            </w:r>
          </w:p>
          <w:p w14:paraId="23E719C2">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式中：Mc—城市或区域餐厨垃圾日产生量，kg/d；</w:t>
            </w:r>
          </w:p>
          <w:p w14:paraId="627806B2">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R—城市或区域常住人口；</w:t>
            </w:r>
          </w:p>
          <w:p w14:paraId="6D152F0A">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m—人均餐厨垃圾产生量基数，kg/人·d；</w:t>
            </w:r>
          </w:p>
          <w:p w14:paraId="44185332">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k—餐厨垃圾产生量修正系数。</w:t>
            </w:r>
          </w:p>
          <w:p w14:paraId="5711254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其中m宜取0.1kg/人·d，k的取值可按经济发达城市、旅游业发达城市、沿海城市1.05～1.10进行，本项目取值1.10。由此可以计算得本项目餐厨垃圾产生量约为</w:t>
            </w:r>
            <w:r>
              <w:rPr>
                <w:rFonts w:hint="eastAsia" w:cs="Times New Roman"/>
                <w:bCs/>
                <w:color w:val="auto"/>
                <w:sz w:val="24"/>
                <w:lang w:val="en-US" w:eastAsia="zh-CN"/>
              </w:rPr>
              <w:t>11</w:t>
            </w:r>
            <w:r>
              <w:rPr>
                <w:rFonts w:hint="default" w:ascii="Times New Roman" w:hAnsi="Times New Roman" w:eastAsia="宋体" w:cs="Times New Roman"/>
                <w:bCs/>
                <w:color w:val="auto"/>
                <w:sz w:val="24"/>
              </w:rPr>
              <w:t>kg/d，即</w:t>
            </w:r>
            <w:r>
              <w:rPr>
                <w:rFonts w:hint="eastAsia" w:cs="Times New Roman"/>
                <w:bCs/>
                <w:color w:val="auto"/>
                <w:sz w:val="24"/>
                <w:lang w:val="en-US" w:eastAsia="zh-CN"/>
              </w:rPr>
              <w:t>3.3</w:t>
            </w:r>
            <w:r>
              <w:rPr>
                <w:rFonts w:hint="default" w:ascii="Times New Roman" w:hAnsi="Times New Roman" w:eastAsia="宋体" w:cs="Times New Roman"/>
                <w:bCs/>
                <w:color w:val="auto"/>
                <w:sz w:val="24"/>
              </w:rPr>
              <w:t>t/a。</w:t>
            </w:r>
          </w:p>
          <w:p w14:paraId="53B264A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18" w:firstLineChars="216"/>
              <w:textAlignment w:val="auto"/>
              <w:rPr>
                <w:rFonts w:hint="eastAsia" w:cs="Times New Roman"/>
                <w:bCs/>
                <w:color w:val="auto"/>
                <w:sz w:val="24"/>
                <w:lang w:val="en-US" w:eastAsia="zh-CN"/>
              </w:rPr>
            </w:pPr>
            <w:r>
              <w:rPr>
                <w:rFonts w:hint="eastAsia" w:ascii="Times New Roman" w:hAnsi="Times New Roman" w:eastAsia="宋体" w:cs="Times New Roman"/>
                <w:bCs/>
                <w:color w:val="auto"/>
                <w:kern w:val="2"/>
                <w:sz w:val="24"/>
                <w:szCs w:val="24"/>
                <w:lang w:val="en-US" w:eastAsia="zh-CN" w:bidi="ar-SA"/>
              </w:rPr>
              <w:t>D.</w:t>
            </w:r>
            <w:r>
              <w:rPr>
                <w:rFonts w:hint="eastAsia" w:cs="Times New Roman"/>
                <w:bCs/>
                <w:color w:val="auto"/>
                <w:sz w:val="24"/>
                <w:lang w:val="en-US" w:eastAsia="zh-CN"/>
              </w:rPr>
              <w:t>隔油池废油</w:t>
            </w:r>
          </w:p>
          <w:p w14:paraId="257E517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cs="Times New Roman"/>
                <w:bCs/>
                <w:color w:val="auto"/>
                <w:sz w:val="24"/>
                <w:lang w:val="en-US" w:eastAsia="zh-CN"/>
              </w:rPr>
            </w:pPr>
            <w:r>
              <w:rPr>
                <w:rFonts w:hint="default" w:cs="Times New Roman"/>
                <w:bCs/>
                <w:color w:val="auto"/>
                <w:sz w:val="24"/>
                <w:lang w:val="en-US" w:eastAsia="zh-CN"/>
              </w:rPr>
              <w:t>项目食堂废水经隔油池+化粪池处理，隔油池处理过程中会产生隔油池废油，根据物料衡算，隔油池废油产生量约为0.</w:t>
            </w:r>
            <w:r>
              <w:rPr>
                <w:rFonts w:hint="eastAsia" w:cs="Times New Roman"/>
                <w:bCs/>
                <w:color w:val="auto"/>
                <w:sz w:val="24"/>
                <w:lang w:val="en-US" w:eastAsia="zh-CN"/>
              </w:rPr>
              <w:t>144</w:t>
            </w:r>
            <w:r>
              <w:rPr>
                <w:rFonts w:hint="default" w:cs="Times New Roman"/>
                <w:bCs/>
                <w:color w:val="auto"/>
                <w:sz w:val="24"/>
                <w:lang w:val="en-US" w:eastAsia="zh-CN"/>
              </w:rPr>
              <w:t>t/a（含水率80%）</w:t>
            </w:r>
          </w:p>
          <w:p w14:paraId="54B925E5">
            <w:pPr>
              <w:adjustRightInd w:val="0"/>
              <w:snapToGrid w:val="0"/>
              <w:spacing w:line="360" w:lineRule="auto"/>
              <w:ind w:firstLine="480" w:firstLineChars="200"/>
              <w:rPr>
                <w:color w:val="auto"/>
                <w:sz w:val="24"/>
                <w:lang w:bidi="ar"/>
              </w:rPr>
            </w:pPr>
            <w:r>
              <w:rPr>
                <w:rFonts w:hint="eastAsia" w:hAnsi="宋体"/>
                <w:color w:val="auto"/>
                <w:sz w:val="24"/>
                <w:lang w:bidi="ar"/>
              </w:rPr>
              <w:t>根据《中华人民共和国固体废物污染环境防治法</w:t>
            </w:r>
            <w:r>
              <w:rPr>
                <w:rFonts w:hint="eastAsia" w:hAnsi="宋体"/>
                <w:color w:val="auto"/>
                <w:sz w:val="24"/>
                <w:lang w:eastAsia="zh-CN" w:bidi="ar"/>
              </w:rPr>
              <w:t>》《</w:t>
            </w:r>
            <w:r>
              <w:rPr>
                <w:rFonts w:hint="eastAsia" w:hAnsi="宋体"/>
                <w:color w:val="auto"/>
                <w:sz w:val="24"/>
                <w:lang w:bidi="ar"/>
              </w:rPr>
              <w:t>固体废物鉴别标准通则》（</w:t>
            </w:r>
            <w:r>
              <w:rPr>
                <w:color w:val="auto"/>
                <w:sz w:val="24"/>
                <w:lang w:bidi="ar"/>
              </w:rPr>
              <w:t>GB34330-2017</w:t>
            </w:r>
            <w:r>
              <w:rPr>
                <w:rFonts w:hint="eastAsia" w:hAnsi="宋体"/>
                <w:color w:val="auto"/>
                <w:sz w:val="24"/>
                <w:lang w:bidi="ar"/>
              </w:rPr>
              <w:t>）的规定，判断本项目生产过程中产生的副产物是否属于固体废物。本项目固体废物的副产物属性判定见表</w:t>
            </w:r>
            <w:r>
              <w:rPr>
                <w:color w:val="auto"/>
                <w:sz w:val="24"/>
                <w:lang w:bidi="ar"/>
              </w:rPr>
              <w:t>4-</w:t>
            </w:r>
            <w:r>
              <w:rPr>
                <w:rFonts w:hint="eastAsia"/>
                <w:color w:val="auto"/>
                <w:sz w:val="24"/>
                <w:lang w:val="en-US" w:eastAsia="zh-CN" w:bidi="ar"/>
              </w:rPr>
              <w:t>20</w:t>
            </w:r>
            <w:r>
              <w:rPr>
                <w:rFonts w:hint="eastAsia" w:hAnsi="宋体"/>
                <w:color w:val="auto"/>
                <w:sz w:val="24"/>
                <w:lang w:bidi="ar"/>
              </w:rPr>
              <w:t>。本项目固体废物污染源源强核算结果及相关参数一览表详见表</w:t>
            </w:r>
            <w:r>
              <w:rPr>
                <w:color w:val="auto"/>
                <w:sz w:val="24"/>
                <w:lang w:bidi="ar"/>
              </w:rPr>
              <w:t>4-</w:t>
            </w:r>
            <w:r>
              <w:rPr>
                <w:rFonts w:hint="eastAsia"/>
                <w:color w:val="auto"/>
                <w:sz w:val="24"/>
                <w:lang w:bidi="ar"/>
              </w:rPr>
              <w:t>2</w:t>
            </w:r>
            <w:r>
              <w:rPr>
                <w:rFonts w:hint="eastAsia"/>
                <w:color w:val="auto"/>
                <w:sz w:val="24"/>
                <w:lang w:val="en-US" w:eastAsia="zh-CN" w:bidi="ar"/>
              </w:rPr>
              <w:t>1</w:t>
            </w:r>
            <w:r>
              <w:rPr>
                <w:rFonts w:hint="eastAsia" w:hAnsi="宋体"/>
                <w:color w:val="auto"/>
                <w:sz w:val="24"/>
                <w:lang w:bidi="ar"/>
              </w:rPr>
              <w:t>。</w:t>
            </w:r>
          </w:p>
          <w:p w14:paraId="0DAB6571">
            <w:pPr>
              <w:ind w:firstLine="482"/>
              <w:jc w:val="center"/>
              <w:rPr>
                <w:b/>
                <w:bCs/>
                <w:color w:val="auto"/>
                <w:sz w:val="24"/>
              </w:rPr>
            </w:pPr>
            <w:r>
              <w:rPr>
                <w:rFonts w:hint="eastAsia" w:hAnsi="宋体" w:cs="宋体"/>
                <w:b/>
                <w:bCs/>
                <w:color w:val="auto"/>
                <w:sz w:val="24"/>
                <w:lang w:bidi="ar"/>
              </w:rPr>
              <w:t>表</w:t>
            </w:r>
            <w:r>
              <w:rPr>
                <w:b/>
                <w:bCs/>
                <w:color w:val="auto"/>
                <w:sz w:val="24"/>
                <w:lang w:bidi="ar"/>
              </w:rPr>
              <w:t>4-</w:t>
            </w:r>
            <w:r>
              <w:rPr>
                <w:rFonts w:hint="eastAsia"/>
                <w:b/>
                <w:bCs/>
                <w:color w:val="auto"/>
                <w:sz w:val="24"/>
                <w:lang w:val="en-US" w:eastAsia="zh-CN" w:bidi="ar"/>
              </w:rPr>
              <w:t>20</w:t>
            </w:r>
            <w:r>
              <w:rPr>
                <w:rFonts w:hint="eastAsia" w:hAnsi="宋体" w:cs="宋体"/>
                <w:b/>
                <w:bCs/>
                <w:color w:val="auto"/>
                <w:sz w:val="24"/>
                <w:lang w:bidi="ar"/>
              </w:rPr>
              <w:t>本项目固体废物处置及排放情况一览表</w:t>
            </w:r>
            <w:r>
              <w:rPr>
                <w:b/>
                <w:bCs/>
                <w:color w:val="auto"/>
                <w:sz w:val="24"/>
                <w:lang w:bidi="ar"/>
              </w:rPr>
              <w:t xml:space="preserve">  </w:t>
            </w:r>
            <w:r>
              <w:rPr>
                <w:rFonts w:hint="eastAsia" w:hAnsi="宋体" w:cs="宋体"/>
                <w:bCs/>
                <w:color w:val="auto"/>
                <w:sz w:val="24"/>
                <w:lang w:bidi="ar"/>
              </w:rPr>
              <w:t>单位</w:t>
            </w:r>
            <w:r>
              <w:rPr>
                <w:bCs/>
                <w:color w:val="auto"/>
                <w:sz w:val="24"/>
                <w:lang w:bidi="ar"/>
              </w:rPr>
              <w:t>mg/L</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7"/>
              <w:gridCol w:w="1281"/>
              <w:gridCol w:w="2017"/>
              <w:gridCol w:w="736"/>
              <w:gridCol w:w="858"/>
              <w:gridCol w:w="831"/>
              <w:gridCol w:w="682"/>
              <w:gridCol w:w="655"/>
              <w:gridCol w:w="912"/>
            </w:tblGrid>
            <w:tr w14:paraId="6150B4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 w:type="pct"/>
                  <w:vMerge w:val="restart"/>
                  <w:tcBorders>
                    <w:tl2br w:val="nil"/>
                    <w:tr2bl w:val="nil"/>
                  </w:tcBorders>
                  <w:shd w:val="clear" w:color="auto" w:fill="auto"/>
                  <w:vAlign w:val="center"/>
                </w:tcPr>
                <w:p w14:paraId="3ED22CCF">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b/>
                      <w:color w:val="auto"/>
                      <w:szCs w:val="21"/>
                    </w:rPr>
                  </w:pPr>
                  <w:r>
                    <w:rPr>
                      <w:rFonts w:hint="eastAsia" w:hAnsi="宋体" w:cs="宋体"/>
                      <w:b/>
                      <w:color w:val="auto"/>
                      <w:szCs w:val="21"/>
                      <w:lang w:bidi="ar"/>
                    </w:rPr>
                    <w:t>序号</w:t>
                  </w:r>
                </w:p>
              </w:tc>
              <w:tc>
                <w:tcPr>
                  <w:tcW w:w="757" w:type="pct"/>
                  <w:vMerge w:val="restart"/>
                  <w:tcBorders>
                    <w:tl2br w:val="nil"/>
                    <w:tr2bl w:val="nil"/>
                  </w:tcBorders>
                  <w:shd w:val="clear" w:color="auto" w:fill="auto"/>
                  <w:vAlign w:val="center"/>
                </w:tcPr>
                <w:p w14:paraId="030A4123">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b/>
                      <w:color w:val="auto"/>
                      <w:szCs w:val="21"/>
                    </w:rPr>
                  </w:pPr>
                  <w:r>
                    <w:rPr>
                      <w:rFonts w:hint="eastAsia" w:hAnsi="宋体" w:cs="宋体"/>
                      <w:b/>
                      <w:color w:val="auto"/>
                      <w:szCs w:val="21"/>
                      <w:lang w:bidi="ar"/>
                    </w:rPr>
                    <w:t>名称</w:t>
                  </w:r>
                </w:p>
              </w:tc>
              <w:tc>
                <w:tcPr>
                  <w:tcW w:w="1192" w:type="pct"/>
                  <w:vMerge w:val="restart"/>
                  <w:tcBorders>
                    <w:tl2br w:val="nil"/>
                    <w:tr2bl w:val="nil"/>
                  </w:tcBorders>
                  <w:shd w:val="clear" w:color="auto" w:fill="auto"/>
                  <w:vAlign w:val="center"/>
                </w:tcPr>
                <w:p w14:paraId="0A58932F">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b/>
                      <w:color w:val="auto"/>
                      <w:szCs w:val="21"/>
                    </w:rPr>
                  </w:pPr>
                  <w:r>
                    <w:rPr>
                      <w:rFonts w:hint="eastAsia" w:hAnsi="宋体" w:cs="宋体"/>
                      <w:b/>
                      <w:color w:val="auto"/>
                      <w:szCs w:val="21"/>
                      <w:lang w:bidi="ar"/>
                    </w:rPr>
                    <w:t>产生工序</w:t>
                  </w:r>
                </w:p>
              </w:tc>
              <w:tc>
                <w:tcPr>
                  <w:tcW w:w="435" w:type="pct"/>
                  <w:vMerge w:val="restart"/>
                  <w:tcBorders>
                    <w:tl2br w:val="nil"/>
                    <w:tr2bl w:val="nil"/>
                  </w:tcBorders>
                  <w:shd w:val="clear" w:color="auto" w:fill="auto"/>
                  <w:vAlign w:val="center"/>
                </w:tcPr>
                <w:p w14:paraId="47661FAB">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b/>
                      <w:color w:val="auto"/>
                      <w:szCs w:val="21"/>
                    </w:rPr>
                  </w:pPr>
                  <w:r>
                    <w:rPr>
                      <w:rFonts w:hint="eastAsia" w:hAnsi="宋体" w:cs="宋体"/>
                      <w:b/>
                      <w:color w:val="auto"/>
                      <w:szCs w:val="21"/>
                      <w:lang w:bidi="ar"/>
                    </w:rPr>
                    <w:t>形态</w:t>
                  </w:r>
                </w:p>
              </w:tc>
              <w:tc>
                <w:tcPr>
                  <w:tcW w:w="507" w:type="pct"/>
                  <w:vMerge w:val="restart"/>
                  <w:tcBorders>
                    <w:tl2br w:val="nil"/>
                    <w:tr2bl w:val="nil"/>
                  </w:tcBorders>
                  <w:shd w:val="clear" w:color="auto" w:fill="auto"/>
                  <w:vAlign w:val="center"/>
                </w:tcPr>
                <w:p w14:paraId="0EDB63F2">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b/>
                      <w:color w:val="auto"/>
                      <w:szCs w:val="21"/>
                    </w:rPr>
                  </w:pPr>
                  <w:r>
                    <w:rPr>
                      <w:rFonts w:hint="eastAsia" w:hAnsi="宋体" w:cs="宋体"/>
                      <w:b/>
                      <w:color w:val="auto"/>
                      <w:szCs w:val="21"/>
                      <w:lang w:bidi="ar"/>
                    </w:rPr>
                    <w:t>主要成分</w:t>
                  </w:r>
                </w:p>
              </w:tc>
              <w:tc>
                <w:tcPr>
                  <w:tcW w:w="491" w:type="pct"/>
                  <w:vMerge w:val="restart"/>
                  <w:tcBorders>
                    <w:tl2br w:val="nil"/>
                    <w:tr2bl w:val="nil"/>
                  </w:tcBorders>
                  <w:shd w:val="clear" w:color="auto" w:fill="auto"/>
                  <w:vAlign w:val="center"/>
                </w:tcPr>
                <w:p w14:paraId="6CF860B4">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b/>
                      <w:color w:val="auto"/>
                      <w:szCs w:val="21"/>
                    </w:rPr>
                  </w:pPr>
                  <w:r>
                    <w:rPr>
                      <w:rFonts w:hint="eastAsia" w:hAnsi="宋体" w:cs="宋体"/>
                      <w:b/>
                      <w:color w:val="auto"/>
                      <w:szCs w:val="21"/>
                      <w:lang w:bidi="ar"/>
                    </w:rPr>
                    <w:t>年产量</w:t>
                  </w:r>
                </w:p>
              </w:tc>
              <w:tc>
                <w:tcPr>
                  <w:tcW w:w="1329" w:type="pct"/>
                  <w:gridSpan w:val="3"/>
                  <w:tcBorders>
                    <w:tl2br w:val="nil"/>
                    <w:tr2bl w:val="nil"/>
                  </w:tcBorders>
                  <w:shd w:val="clear" w:color="auto" w:fill="auto"/>
                  <w:vAlign w:val="center"/>
                </w:tcPr>
                <w:p w14:paraId="06DD77E2">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b/>
                      <w:color w:val="auto"/>
                      <w:szCs w:val="21"/>
                    </w:rPr>
                  </w:pPr>
                  <w:r>
                    <w:rPr>
                      <w:rFonts w:hint="eastAsia" w:hAnsi="宋体" w:cs="宋体"/>
                      <w:b/>
                      <w:color w:val="auto"/>
                      <w:szCs w:val="21"/>
                      <w:lang w:bidi="ar"/>
                    </w:rPr>
                    <w:t>种类判断</w:t>
                  </w:r>
                </w:p>
              </w:tc>
            </w:tr>
            <w:tr w14:paraId="2A4E5B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 w:type="pct"/>
                  <w:vMerge w:val="continue"/>
                  <w:tcBorders>
                    <w:tl2br w:val="nil"/>
                    <w:tr2bl w:val="nil"/>
                  </w:tcBorders>
                  <w:shd w:val="clear" w:color="auto" w:fill="auto"/>
                  <w:vAlign w:val="center"/>
                </w:tcPr>
                <w:p w14:paraId="5FA4D359">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rPr>
                      <w:color w:val="auto"/>
                      <w:sz w:val="20"/>
                      <w:szCs w:val="20"/>
                    </w:rPr>
                  </w:pPr>
                </w:p>
              </w:tc>
              <w:tc>
                <w:tcPr>
                  <w:tcW w:w="757" w:type="pct"/>
                  <w:vMerge w:val="continue"/>
                  <w:tcBorders>
                    <w:tl2br w:val="nil"/>
                    <w:tr2bl w:val="nil"/>
                  </w:tcBorders>
                  <w:shd w:val="clear" w:color="auto" w:fill="auto"/>
                  <w:vAlign w:val="center"/>
                </w:tcPr>
                <w:p w14:paraId="4498A8D5">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rPr>
                      <w:color w:val="auto"/>
                      <w:sz w:val="20"/>
                      <w:szCs w:val="20"/>
                    </w:rPr>
                  </w:pPr>
                </w:p>
              </w:tc>
              <w:tc>
                <w:tcPr>
                  <w:tcW w:w="1192" w:type="pct"/>
                  <w:vMerge w:val="continue"/>
                  <w:tcBorders>
                    <w:tl2br w:val="nil"/>
                    <w:tr2bl w:val="nil"/>
                  </w:tcBorders>
                  <w:shd w:val="clear" w:color="auto" w:fill="auto"/>
                  <w:vAlign w:val="center"/>
                </w:tcPr>
                <w:p w14:paraId="128EA2F8">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rPr>
                      <w:color w:val="auto"/>
                      <w:sz w:val="20"/>
                      <w:szCs w:val="20"/>
                    </w:rPr>
                  </w:pPr>
                </w:p>
              </w:tc>
              <w:tc>
                <w:tcPr>
                  <w:tcW w:w="435" w:type="pct"/>
                  <w:vMerge w:val="continue"/>
                  <w:tcBorders>
                    <w:tl2br w:val="nil"/>
                    <w:tr2bl w:val="nil"/>
                  </w:tcBorders>
                  <w:shd w:val="clear" w:color="auto" w:fill="auto"/>
                  <w:vAlign w:val="center"/>
                </w:tcPr>
                <w:p w14:paraId="471D6695">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rPr>
                      <w:color w:val="auto"/>
                      <w:sz w:val="20"/>
                      <w:szCs w:val="20"/>
                    </w:rPr>
                  </w:pPr>
                </w:p>
              </w:tc>
              <w:tc>
                <w:tcPr>
                  <w:tcW w:w="507" w:type="pct"/>
                  <w:vMerge w:val="continue"/>
                  <w:tcBorders>
                    <w:tl2br w:val="nil"/>
                    <w:tr2bl w:val="nil"/>
                  </w:tcBorders>
                  <w:shd w:val="clear" w:color="auto" w:fill="auto"/>
                  <w:vAlign w:val="center"/>
                </w:tcPr>
                <w:p w14:paraId="67F61359">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rPr>
                      <w:color w:val="auto"/>
                      <w:sz w:val="20"/>
                      <w:szCs w:val="20"/>
                    </w:rPr>
                  </w:pPr>
                </w:p>
              </w:tc>
              <w:tc>
                <w:tcPr>
                  <w:tcW w:w="491" w:type="pct"/>
                  <w:vMerge w:val="continue"/>
                  <w:tcBorders>
                    <w:tl2br w:val="nil"/>
                    <w:tr2bl w:val="nil"/>
                  </w:tcBorders>
                  <w:shd w:val="clear" w:color="auto" w:fill="auto"/>
                  <w:vAlign w:val="center"/>
                </w:tcPr>
                <w:p w14:paraId="0F39F348">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rPr>
                      <w:color w:val="auto"/>
                      <w:sz w:val="20"/>
                      <w:szCs w:val="20"/>
                    </w:rPr>
                  </w:pPr>
                </w:p>
              </w:tc>
              <w:tc>
                <w:tcPr>
                  <w:tcW w:w="403" w:type="pct"/>
                  <w:tcBorders>
                    <w:tl2br w:val="nil"/>
                    <w:tr2bl w:val="nil"/>
                  </w:tcBorders>
                  <w:shd w:val="clear" w:color="auto" w:fill="auto"/>
                  <w:vAlign w:val="center"/>
                </w:tcPr>
                <w:p w14:paraId="79B1B157">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b/>
                      <w:color w:val="auto"/>
                      <w:szCs w:val="21"/>
                    </w:rPr>
                  </w:pPr>
                  <w:r>
                    <w:rPr>
                      <w:rFonts w:hint="eastAsia" w:hAnsi="宋体" w:cs="宋体"/>
                      <w:b/>
                      <w:color w:val="auto"/>
                      <w:szCs w:val="21"/>
                      <w:lang w:bidi="ar"/>
                    </w:rPr>
                    <w:t>固体废物</w:t>
                  </w:r>
                </w:p>
              </w:tc>
              <w:tc>
                <w:tcPr>
                  <w:tcW w:w="387" w:type="pct"/>
                  <w:tcBorders>
                    <w:tl2br w:val="nil"/>
                    <w:tr2bl w:val="nil"/>
                  </w:tcBorders>
                  <w:shd w:val="clear" w:color="auto" w:fill="auto"/>
                  <w:vAlign w:val="center"/>
                </w:tcPr>
                <w:p w14:paraId="7F60D1D9">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b/>
                      <w:color w:val="auto"/>
                      <w:szCs w:val="21"/>
                    </w:rPr>
                  </w:pPr>
                  <w:r>
                    <w:rPr>
                      <w:rFonts w:hint="eastAsia" w:hAnsi="宋体" w:cs="宋体"/>
                      <w:b/>
                      <w:color w:val="auto"/>
                      <w:szCs w:val="21"/>
                      <w:lang w:bidi="ar"/>
                    </w:rPr>
                    <w:t>副产品</w:t>
                  </w:r>
                </w:p>
              </w:tc>
              <w:tc>
                <w:tcPr>
                  <w:tcW w:w="539" w:type="pct"/>
                  <w:tcBorders>
                    <w:tl2br w:val="nil"/>
                    <w:tr2bl w:val="nil"/>
                  </w:tcBorders>
                  <w:shd w:val="clear" w:color="auto" w:fill="auto"/>
                  <w:vAlign w:val="center"/>
                </w:tcPr>
                <w:p w14:paraId="5BBFA36E">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b/>
                      <w:color w:val="auto"/>
                      <w:szCs w:val="21"/>
                    </w:rPr>
                  </w:pPr>
                  <w:r>
                    <w:rPr>
                      <w:rFonts w:hint="eastAsia" w:hAnsi="宋体" w:cs="宋体"/>
                      <w:b/>
                      <w:color w:val="auto"/>
                      <w:szCs w:val="21"/>
                      <w:lang w:bidi="ar"/>
                    </w:rPr>
                    <w:t>判定依据</w:t>
                  </w:r>
                </w:p>
              </w:tc>
            </w:tr>
            <w:tr w14:paraId="0A91E3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 w:type="pct"/>
                  <w:tcBorders>
                    <w:tl2br w:val="nil"/>
                    <w:tr2bl w:val="nil"/>
                  </w:tcBorders>
                  <w:shd w:val="clear" w:color="auto" w:fill="auto"/>
                  <w:vAlign w:val="center"/>
                </w:tcPr>
                <w:p w14:paraId="7FA5F859">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rPr>
                  </w:pPr>
                  <w:r>
                    <w:rPr>
                      <w:color w:val="auto"/>
                      <w:szCs w:val="21"/>
                      <w:lang w:bidi="ar"/>
                    </w:rPr>
                    <w:t>1</w:t>
                  </w:r>
                </w:p>
              </w:tc>
              <w:tc>
                <w:tcPr>
                  <w:tcW w:w="757" w:type="pct"/>
                  <w:tcBorders>
                    <w:tl2br w:val="nil"/>
                    <w:tr2bl w:val="nil"/>
                  </w:tcBorders>
                  <w:shd w:val="clear" w:color="auto" w:fill="auto"/>
                  <w:vAlign w:val="center"/>
                </w:tcPr>
                <w:p w14:paraId="18ADD9D5">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bCs/>
                      <w:color w:val="auto"/>
                      <w:szCs w:val="21"/>
                    </w:rPr>
                  </w:pPr>
                  <w:r>
                    <w:rPr>
                      <w:rFonts w:hint="eastAsia" w:hAnsi="宋体" w:cs="宋体"/>
                      <w:bCs/>
                      <w:color w:val="auto"/>
                      <w:szCs w:val="21"/>
                      <w:lang w:bidi="ar"/>
                    </w:rPr>
                    <w:t>废边角料</w:t>
                  </w:r>
                </w:p>
              </w:tc>
              <w:tc>
                <w:tcPr>
                  <w:tcW w:w="1192" w:type="pct"/>
                  <w:tcBorders>
                    <w:tl2br w:val="nil"/>
                    <w:tr2bl w:val="nil"/>
                  </w:tcBorders>
                  <w:shd w:val="clear" w:color="auto" w:fill="auto"/>
                  <w:vAlign w:val="center"/>
                </w:tcPr>
                <w:p w14:paraId="3970D32F">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冲片加工、转轴加工、机壳加工、端盖加工</w:t>
                  </w:r>
                </w:p>
              </w:tc>
              <w:tc>
                <w:tcPr>
                  <w:tcW w:w="435" w:type="pct"/>
                  <w:tcBorders>
                    <w:tl2br w:val="nil"/>
                    <w:tr2bl w:val="nil"/>
                  </w:tcBorders>
                  <w:shd w:val="clear" w:color="auto" w:fill="auto"/>
                  <w:vAlign w:val="center"/>
                </w:tcPr>
                <w:p w14:paraId="3BAD98FC">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hAnsi="宋体" w:cs="宋体"/>
                      <w:color w:val="auto"/>
                      <w:szCs w:val="21"/>
                      <w:lang w:bidi="ar"/>
                    </w:rPr>
                    <w:t>固态</w:t>
                  </w:r>
                </w:p>
              </w:tc>
              <w:tc>
                <w:tcPr>
                  <w:tcW w:w="507" w:type="pct"/>
                  <w:tcBorders>
                    <w:tl2br w:val="nil"/>
                    <w:tr2bl w:val="nil"/>
                  </w:tcBorders>
                  <w:shd w:val="clear" w:color="auto" w:fill="auto"/>
                  <w:vAlign w:val="center"/>
                </w:tcPr>
                <w:p w14:paraId="2BC0CB33">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金属</w:t>
                  </w:r>
                </w:p>
              </w:tc>
              <w:tc>
                <w:tcPr>
                  <w:tcW w:w="491" w:type="pct"/>
                  <w:tcBorders>
                    <w:tl2br w:val="nil"/>
                    <w:tr2bl w:val="nil"/>
                  </w:tcBorders>
                  <w:shd w:val="clear" w:color="auto" w:fill="auto"/>
                  <w:vAlign w:val="center"/>
                </w:tcPr>
                <w:p w14:paraId="0A002657">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1.2</w:t>
                  </w:r>
                </w:p>
              </w:tc>
              <w:tc>
                <w:tcPr>
                  <w:tcW w:w="403" w:type="pct"/>
                  <w:tcBorders>
                    <w:tl2br w:val="nil"/>
                    <w:tr2bl w:val="nil"/>
                  </w:tcBorders>
                  <w:shd w:val="clear" w:color="auto" w:fill="auto"/>
                  <w:vAlign w:val="center"/>
                </w:tcPr>
                <w:p w14:paraId="60D11BEF">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rPr>
                  </w:pPr>
                  <w:r>
                    <w:rPr>
                      <w:color w:val="auto"/>
                      <w:szCs w:val="21"/>
                      <w:lang w:bidi="ar"/>
                    </w:rPr>
                    <w:t>√</w:t>
                  </w:r>
                </w:p>
              </w:tc>
              <w:tc>
                <w:tcPr>
                  <w:tcW w:w="387" w:type="pct"/>
                  <w:tcBorders>
                    <w:tl2br w:val="nil"/>
                    <w:tr2bl w:val="nil"/>
                  </w:tcBorders>
                  <w:shd w:val="clear" w:color="auto" w:fill="auto"/>
                  <w:vAlign w:val="center"/>
                </w:tcPr>
                <w:p w14:paraId="77E0DA48">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rPr>
                  </w:pPr>
                  <w:r>
                    <w:rPr>
                      <w:color w:val="auto"/>
                      <w:szCs w:val="21"/>
                      <w:lang w:bidi="ar"/>
                    </w:rPr>
                    <w:t>/</w:t>
                  </w:r>
                </w:p>
              </w:tc>
              <w:tc>
                <w:tcPr>
                  <w:tcW w:w="539" w:type="pct"/>
                  <w:vMerge w:val="restart"/>
                  <w:tcBorders>
                    <w:tl2br w:val="nil"/>
                    <w:tr2bl w:val="nil"/>
                  </w:tcBorders>
                  <w:shd w:val="clear" w:color="auto" w:fill="auto"/>
                  <w:vAlign w:val="center"/>
                </w:tcPr>
                <w:p w14:paraId="666FAAF8">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hAnsi="宋体" w:cs="宋体"/>
                      <w:color w:val="auto"/>
                      <w:szCs w:val="21"/>
                      <w:lang w:bidi="ar"/>
                    </w:rPr>
                    <w:t>《固体废物鉴别标准通则》</w:t>
                  </w:r>
                  <w:r>
                    <w:rPr>
                      <w:color w:val="auto"/>
                      <w:szCs w:val="21"/>
                      <w:lang w:bidi="ar"/>
                    </w:rPr>
                    <w:t>(GB34330-2017)</w:t>
                  </w:r>
                </w:p>
              </w:tc>
            </w:tr>
            <w:tr w14:paraId="2D3680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 w:type="pct"/>
                  <w:tcBorders>
                    <w:tl2br w:val="nil"/>
                    <w:tr2bl w:val="nil"/>
                  </w:tcBorders>
                  <w:shd w:val="clear" w:color="auto" w:fill="auto"/>
                  <w:vAlign w:val="center"/>
                </w:tcPr>
                <w:p w14:paraId="59CC904C">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rPr>
                  </w:pPr>
                  <w:r>
                    <w:rPr>
                      <w:color w:val="auto"/>
                      <w:szCs w:val="21"/>
                      <w:lang w:bidi="ar"/>
                    </w:rPr>
                    <w:t>2</w:t>
                  </w:r>
                </w:p>
              </w:tc>
              <w:tc>
                <w:tcPr>
                  <w:tcW w:w="757" w:type="pct"/>
                  <w:tcBorders>
                    <w:tl2br w:val="nil"/>
                    <w:tr2bl w:val="nil"/>
                  </w:tcBorders>
                  <w:shd w:val="clear" w:color="auto" w:fill="auto"/>
                  <w:vAlign w:val="center"/>
                </w:tcPr>
                <w:p w14:paraId="5E087961">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hAnsi="宋体"/>
                      <w:bCs/>
                      <w:color w:val="auto"/>
                      <w:szCs w:val="21"/>
                    </w:rPr>
                  </w:pPr>
                  <w:r>
                    <w:rPr>
                      <w:rFonts w:hint="eastAsia" w:hAnsi="宋体" w:cs="宋体"/>
                      <w:bCs/>
                      <w:color w:val="auto"/>
                      <w:szCs w:val="21"/>
                      <w:lang w:bidi="ar"/>
                    </w:rPr>
                    <w:t>测试不合格品</w:t>
                  </w:r>
                </w:p>
              </w:tc>
              <w:tc>
                <w:tcPr>
                  <w:tcW w:w="1192" w:type="pct"/>
                  <w:tcBorders>
                    <w:tl2br w:val="nil"/>
                    <w:tr2bl w:val="nil"/>
                  </w:tcBorders>
                  <w:shd w:val="clear" w:color="auto" w:fill="auto"/>
                  <w:vAlign w:val="center"/>
                </w:tcPr>
                <w:p w14:paraId="6502367C">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hAnsi="宋体"/>
                      <w:color w:val="auto"/>
                      <w:szCs w:val="21"/>
                    </w:rPr>
                  </w:pPr>
                  <w:r>
                    <w:rPr>
                      <w:rFonts w:hint="eastAsia"/>
                      <w:color w:val="auto"/>
                      <w:szCs w:val="21"/>
                    </w:rPr>
                    <w:t>转子动平衡测试、定子综合测试、整机测试、</w:t>
                  </w:r>
                  <w:r>
                    <w:rPr>
                      <w:rFonts w:hint="eastAsia"/>
                      <w:color w:val="auto"/>
                      <w:kern w:val="0"/>
                      <w:szCs w:val="21"/>
                    </w:rPr>
                    <w:t>PCBA半成品板测试、安全性测试、电性能测试、高温老化测试、负载测试、FQC检验</w:t>
                  </w:r>
                </w:p>
              </w:tc>
              <w:tc>
                <w:tcPr>
                  <w:tcW w:w="435" w:type="pct"/>
                  <w:tcBorders>
                    <w:tl2br w:val="nil"/>
                    <w:tr2bl w:val="nil"/>
                  </w:tcBorders>
                  <w:shd w:val="clear" w:color="auto" w:fill="auto"/>
                  <w:vAlign w:val="center"/>
                </w:tcPr>
                <w:p w14:paraId="0250020D">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hAnsi="宋体"/>
                      <w:color w:val="auto"/>
                      <w:szCs w:val="21"/>
                    </w:rPr>
                  </w:pPr>
                  <w:r>
                    <w:rPr>
                      <w:rFonts w:hint="eastAsia" w:hAnsi="宋体" w:cs="宋体"/>
                      <w:color w:val="auto"/>
                      <w:szCs w:val="21"/>
                      <w:lang w:bidi="ar"/>
                    </w:rPr>
                    <w:t>固态</w:t>
                  </w:r>
                </w:p>
              </w:tc>
              <w:tc>
                <w:tcPr>
                  <w:tcW w:w="507" w:type="pct"/>
                  <w:tcBorders>
                    <w:tl2br w:val="nil"/>
                    <w:tr2bl w:val="nil"/>
                  </w:tcBorders>
                  <w:shd w:val="clear" w:color="auto" w:fill="auto"/>
                  <w:vAlign w:val="center"/>
                </w:tcPr>
                <w:p w14:paraId="0D00917E">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金属</w:t>
                  </w:r>
                </w:p>
              </w:tc>
              <w:tc>
                <w:tcPr>
                  <w:tcW w:w="491" w:type="pct"/>
                  <w:tcBorders>
                    <w:tl2br w:val="nil"/>
                    <w:tr2bl w:val="nil"/>
                  </w:tcBorders>
                  <w:shd w:val="clear" w:color="auto" w:fill="auto"/>
                  <w:vAlign w:val="center"/>
                </w:tcPr>
                <w:p w14:paraId="4AE0F6C9">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0.6</w:t>
                  </w:r>
                </w:p>
              </w:tc>
              <w:tc>
                <w:tcPr>
                  <w:tcW w:w="403" w:type="pct"/>
                  <w:tcBorders>
                    <w:tl2br w:val="nil"/>
                    <w:tr2bl w:val="nil"/>
                  </w:tcBorders>
                  <w:shd w:val="clear" w:color="auto" w:fill="auto"/>
                  <w:vAlign w:val="center"/>
                </w:tcPr>
                <w:p w14:paraId="46D05005">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rPr>
                  </w:pPr>
                  <w:r>
                    <w:rPr>
                      <w:color w:val="auto"/>
                      <w:szCs w:val="21"/>
                      <w:lang w:bidi="ar"/>
                    </w:rPr>
                    <w:t>√</w:t>
                  </w:r>
                </w:p>
              </w:tc>
              <w:tc>
                <w:tcPr>
                  <w:tcW w:w="387" w:type="pct"/>
                  <w:tcBorders>
                    <w:tl2br w:val="nil"/>
                    <w:tr2bl w:val="nil"/>
                  </w:tcBorders>
                  <w:shd w:val="clear" w:color="auto" w:fill="auto"/>
                  <w:vAlign w:val="center"/>
                </w:tcPr>
                <w:p w14:paraId="1EA34F81">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rPr>
                  </w:pPr>
                  <w:r>
                    <w:rPr>
                      <w:color w:val="auto"/>
                      <w:szCs w:val="21"/>
                      <w:lang w:bidi="ar"/>
                    </w:rPr>
                    <w:t>/</w:t>
                  </w:r>
                </w:p>
              </w:tc>
              <w:tc>
                <w:tcPr>
                  <w:tcW w:w="539" w:type="pct"/>
                  <w:vMerge w:val="continue"/>
                  <w:tcBorders>
                    <w:tl2br w:val="nil"/>
                    <w:tr2bl w:val="nil"/>
                  </w:tcBorders>
                  <w:shd w:val="clear" w:color="auto" w:fill="auto"/>
                  <w:vAlign w:val="center"/>
                </w:tcPr>
                <w:p w14:paraId="7DCB9E97">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rPr>
                      <w:color w:val="auto"/>
                      <w:sz w:val="20"/>
                      <w:szCs w:val="20"/>
                    </w:rPr>
                  </w:pPr>
                </w:p>
              </w:tc>
            </w:tr>
            <w:tr w14:paraId="4466DC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73" w:hRule="atLeast"/>
                <w:jc w:val="center"/>
              </w:trPr>
              <w:tc>
                <w:tcPr>
                  <w:tcW w:w="287" w:type="pct"/>
                  <w:tcBorders>
                    <w:tl2br w:val="nil"/>
                    <w:tr2bl w:val="nil"/>
                  </w:tcBorders>
                  <w:shd w:val="clear" w:color="auto" w:fill="auto"/>
                  <w:vAlign w:val="center"/>
                </w:tcPr>
                <w:p w14:paraId="45822855">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rPr>
                  </w:pPr>
                  <w:r>
                    <w:rPr>
                      <w:color w:val="auto"/>
                      <w:szCs w:val="21"/>
                      <w:lang w:bidi="ar"/>
                    </w:rPr>
                    <w:t>3</w:t>
                  </w:r>
                </w:p>
              </w:tc>
              <w:tc>
                <w:tcPr>
                  <w:tcW w:w="757" w:type="pct"/>
                  <w:tcBorders>
                    <w:tl2br w:val="nil"/>
                    <w:tr2bl w:val="nil"/>
                  </w:tcBorders>
                  <w:shd w:val="clear" w:color="auto" w:fill="auto"/>
                  <w:vAlign w:val="center"/>
                </w:tcPr>
                <w:p w14:paraId="46CE81B9">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cs="宋体"/>
                      <w:bCs/>
                      <w:color w:val="auto"/>
                      <w:szCs w:val="21"/>
                      <w:lang w:bidi="ar"/>
                    </w:rPr>
                  </w:pPr>
                  <w:r>
                    <w:rPr>
                      <w:rFonts w:hint="eastAsia"/>
                      <w:color w:val="auto"/>
                      <w:szCs w:val="21"/>
                    </w:rPr>
                    <w:t>废漆包线</w:t>
                  </w:r>
                </w:p>
              </w:tc>
              <w:tc>
                <w:tcPr>
                  <w:tcW w:w="1192" w:type="pct"/>
                  <w:tcBorders>
                    <w:tl2br w:val="nil"/>
                    <w:tr2bl w:val="nil"/>
                  </w:tcBorders>
                  <w:shd w:val="clear" w:color="auto" w:fill="auto"/>
                  <w:vAlign w:val="center"/>
                </w:tcPr>
                <w:p w14:paraId="7EAC1DC7">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cs="宋体"/>
                      <w:color w:val="auto"/>
                      <w:szCs w:val="21"/>
                      <w:lang w:bidi="ar"/>
                    </w:rPr>
                  </w:pPr>
                  <w:r>
                    <w:rPr>
                      <w:rFonts w:hint="eastAsia"/>
                      <w:color w:val="auto"/>
                      <w:szCs w:val="21"/>
                    </w:rPr>
                    <w:t>下线整形</w:t>
                  </w:r>
                </w:p>
              </w:tc>
              <w:tc>
                <w:tcPr>
                  <w:tcW w:w="435" w:type="pct"/>
                  <w:tcBorders>
                    <w:tl2br w:val="nil"/>
                    <w:tr2bl w:val="nil"/>
                  </w:tcBorders>
                  <w:shd w:val="clear" w:color="auto" w:fill="auto"/>
                  <w:vAlign w:val="center"/>
                </w:tcPr>
                <w:p w14:paraId="25099B8F">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hAnsi="宋体" w:cs="宋体"/>
                      <w:color w:val="auto"/>
                      <w:szCs w:val="21"/>
                      <w:lang w:bidi="ar"/>
                    </w:rPr>
                  </w:pPr>
                  <w:r>
                    <w:rPr>
                      <w:rFonts w:hint="eastAsia" w:hAnsi="宋体" w:cs="宋体"/>
                      <w:color w:val="auto"/>
                      <w:szCs w:val="21"/>
                      <w:lang w:bidi="ar"/>
                    </w:rPr>
                    <w:t>固态</w:t>
                  </w:r>
                </w:p>
              </w:tc>
              <w:tc>
                <w:tcPr>
                  <w:tcW w:w="507" w:type="pct"/>
                  <w:tcBorders>
                    <w:tl2br w:val="nil"/>
                    <w:tr2bl w:val="nil"/>
                  </w:tcBorders>
                  <w:shd w:val="clear" w:color="auto" w:fill="auto"/>
                  <w:vAlign w:val="center"/>
                </w:tcPr>
                <w:p w14:paraId="27BC1371">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cs="宋体"/>
                      <w:color w:val="auto"/>
                      <w:szCs w:val="21"/>
                      <w:lang w:bidi="ar"/>
                    </w:rPr>
                  </w:pPr>
                  <w:r>
                    <w:rPr>
                      <w:rFonts w:hint="eastAsia"/>
                      <w:color w:val="auto"/>
                      <w:szCs w:val="21"/>
                    </w:rPr>
                    <w:t>树脂</w:t>
                  </w:r>
                </w:p>
              </w:tc>
              <w:tc>
                <w:tcPr>
                  <w:tcW w:w="491" w:type="pct"/>
                  <w:tcBorders>
                    <w:tl2br w:val="nil"/>
                    <w:tr2bl w:val="nil"/>
                  </w:tcBorders>
                  <w:shd w:val="clear" w:color="auto" w:fill="auto"/>
                  <w:vAlign w:val="center"/>
                </w:tcPr>
                <w:p w14:paraId="07B5153B">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0.5</w:t>
                  </w:r>
                </w:p>
              </w:tc>
              <w:tc>
                <w:tcPr>
                  <w:tcW w:w="403" w:type="pct"/>
                  <w:tcBorders>
                    <w:tl2br w:val="nil"/>
                    <w:tr2bl w:val="nil"/>
                  </w:tcBorders>
                  <w:shd w:val="clear" w:color="auto" w:fill="auto"/>
                  <w:vAlign w:val="center"/>
                </w:tcPr>
                <w:p w14:paraId="0EDD5FB6">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color w:val="auto"/>
                      <w:szCs w:val="21"/>
                      <w:lang w:bidi="ar"/>
                    </w:rPr>
                    <w:t>√</w:t>
                  </w:r>
                </w:p>
              </w:tc>
              <w:tc>
                <w:tcPr>
                  <w:tcW w:w="387" w:type="pct"/>
                  <w:tcBorders>
                    <w:tl2br w:val="nil"/>
                    <w:tr2bl w:val="nil"/>
                  </w:tcBorders>
                  <w:shd w:val="clear" w:color="auto" w:fill="auto"/>
                  <w:vAlign w:val="center"/>
                </w:tcPr>
                <w:p w14:paraId="2DFF8807">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color w:val="auto"/>
                      <w:szCs w:val="21"/>
                      <w:lang w:bidi="ar"/>
                    </w:rPr>
                    <w:t>/</w:t>
                  </w:r>
                </w:p>
              </w:tc>
              <w:tc>
                <w:tcPr>
                  <w:tcW w:w="539" w:type="pct"/>
                  <w:vMerge w:val="continue"/>
                  <w:tcBorders>
                    <w:tl2br w:val="nil"/>
                    <w:tr2bl w:val="nil"/>
                  </w:tcBorders>
                  <w:shd w:val="clear" w:color="auto" w:fill="auto"/>
                  <w:vAlign w:val="center"/>
                </w:tcPr>
                <w:p w14:paraId="0C429D0F">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rPr>
                      <w:color w:val="auto"/>
                      <w:sz w:val="20"/>
                      <w:szCs w:val="20"/>
                    </w:rPr>
                  </w:pPr>
                </w:p>
              </w:tc>
            </w:tr>
            <w:tr w14:paraId="46D748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73" w:hRule="atLeast"/>
                <w:jc w:val="center"/>
              </w:trPr>
              <w:tc>
                <w:tcPr>
                  <w:tcW w:w="287" w:type="pct"/>
                  <w:tcBorders>
                    <w:tl2br w:val="nil"/>
                    <w:tr2bl w:val="nil"/>
                  </w:tcBorders>
                  <w:shd w:val="clear" w:color="auto" w:fill="auto"/>
                  <w:vAlign w:val="center"/>
                </w:tcPr>
                <w:p w14:paraId="2A322CF0">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rPr>
                  </w:pPr>
                  <w:r>
                    <w:rPr>
                      <w:color w:val="auto"/>
                      <w:szCs w:val="21"/>
                      <w:lang w:bidi="ar"/>
                    </w:rPr>
                    <w:t>4</w:t>
                  </w:r>
                </w:p>
              </w:tc>
              <w:tc>
                <w:tcPr>
                  <w:tcW w:w="757" w:type="pct"/>
                  <w:tcBorders>
                    <w:tl2br w:val="nil"/>
                    <w:tr2bl w:val="nil"/>
                  </w:tcBorders>
                  <w:shd w:val="clear" w:color="auto" w:fill="auto"/>
                  <w:vAlign w:val="center"/>
                </w:tcPr>
                <w:p w14:paraId="6745493E">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cs="宋体"/>
                      <w:bCs/>
                      <w:color w:val="auto"/>
                      <w:szCs w:val="21"/>
                      <w:lang w:bidi="ar"/>
                    </w:rPr>
                  </w:pPr>
                  <w:r>
                    <w:rPr>
                      <w:rFonts w:hint="eastAsia"/>
                      <w:color w:val="auto"/>
                      <w:szCs w:val="21"/>
                    </w:rPr>
                    <w:t>质量检测不合格品</w:t>
                  </w:r>
                </w:p>
              </w:tc>
              <w:tc>
                <w:tcPr>
                  <w:tcW w:w="1192" w:type="pct"/>
                  <w:tcBorders>
                    <w:tl2br w:val="nil"/>
                    <w:tr2bl w:val="nil"/>
                  </w:tcBorders>
                  <w:shd w:val="clear" w:color="auto" w:fill="auto"/>
                  <w:vAlign w:val="center"/>
                </w:tcPr>
                <w:p w14:paraId="2A0E01C3">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cs="宋体"/>
                      <w:color w:val="auto"/>
                      <w:szCs w:val="21"/>
                      <w:lang w:bidi="ar"/>
                    </w:rPr>
                  </w:pPr>
                  <w:r>
                    <w:rPr>
                      <w:rFonts w:hint="eastAsia"/>
                      <w:color w:val="auto"/>
                      <w:kern w:val="0"/>
                      <w:szCs w:val="21"/>
                    </w:rPr>
                    <w:t>来料质量检测</w:t>
                  </w:r>
                </w:p>
              </w:tc>
              <w:tc>
                <w:tcPr>
                  <w:tcW w:w="435" w:type="pct"/>
                  <w:tcBorders>
                    <w:tl2br w:val="nil"/>
                    <w:tr2bl w:val="nil"/>
                  </w:tcBorders>
                  <w:shd w:val="clear" w:color="auto" w:fill="auto"/>
                  <w:vAlign w:val="center"/>
                </w:tcPr>
                <w:p w14:paraId="1A229C2C">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hAnsi="宋体" w:cs="宋体"/>
                      <w:color w:val="auto"/>
                      <w:szCs w:val="21"/>
                      <w:lang w:bidi="ar"/>
                    </w:rPr>
                  </w:pPr>
                  <w:r>
                    <w:rPr>
                      <w:rFonts w:hint="eastAsia" w:hAnsi="宋体" w:cs="宋体"/>
                      <w:color w:val="auto"/>
                      <w:szCs w:val="21"/>
                      <w:lang w:bidi="ar"/>
                    </w:rPr>
                    <w:t>固态</w:t>
                  </w:r>
                </w:p>
              </w:tc>
              <w:tc>
                <w:tcPr>
                  <w:tcW w:w="507" w:type="pct"/>
                  <w:tcBorders>
                    <w:tl2br w:val="nil"/>
                    <w:tr2bl w:val="nil"/>
                  </w:tcBorders>
                  <w:shd w:val="clear" w:color="auto" w:fill="auto"/>
                  <w:vAlign w:val="center"/>
                </w:tcPr>
                <w:p w14:paraId="7044768A">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beforeAutospacing="0" w:afterAutospacing="0"/>
                    <w:ind w:firstLine="0"/>
                    <w:jc w:val="center"/>
                    <w:textAlignment w:val="baseline"/>
                    <w:rPr>
                      <w:rFonts w:cs="宋体"/>
                      <w:color w:val="auto"/>
                      <w:szCs w:val="21"/>
                      <w:lang w:bidi="ar"/>
                    </w:rPr>
                  </w:pPr>
                  <w:r>
                    <w:rPr>
                      <w:rFonts w:hint="eastAsia"/>
                      <w:color w:val="auto"/>
                      <w:kern w:val="0"/>
                      <w:szCs w:val="21"/>
                    </w:rPr>
                    <w:t>金属</w:t>
                  </w:r>
                </w:p>
              </w:tc>
              <w:tc>
                <w:tcPr>
                  <w:tcW w:w="491" w:type="pct"/>
                  <w:tcBorders>
                    <w:tl2br w:val="nil"/>
                    <w:tr2bl w:val="nil"/>
                  </w:tcBorders>
                  <w:shd w:val="clear" w:color="auto" w:fill="auto"/>
                  <w:vAlign w:val="center"/>
                </w:tcPr>
                <w:p w14:paraId="40C90D47">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0.6</w:t>
                  </w:r>
                </w:p>
              </w:tc>
              <w:tc>
                <w:tcPr>
                  <w:tcW w:w="403" w:type="pct"/>
                  <w:tcBorders>
                    <w:tl2br w:val="nil"/>
                    <w:tr2bl w:val="nil"/>
                  </w:tcBorders>
                  <w:shd w:val="clear" w:color="auto" w:fill="auto"/>
                  <w:vAlign w:val="center"/>
                </w:tcPr>
                <w:p w14:paraId="0067E3D2">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color w:val="auto"/>
                      <w:szCs w:val="21"/>
                      <w:lang w:bidi="ar"/>
                    </w:rPr>
                    <w:t>√</w:t>
                  </w:r>
                </w:p>
              </w:tc>
              <w:tc>
                <w:tcPr>
                  <w:tcW w:w="387" w:type="pct"/>
                  <w:tcBorders>
                    <w:tl2br w:val="nil"/>
                    <w:tr2bl w:val="nil"/>
                  </w:tcBorders>
                  <w:shd w:val="clear" w:color="auto" w:fill="auto"/>
                  <w:vAlign w:val="center"/>
                </w:tcPr>
                <w:p w14:paraId="77BF7846">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color w:val="auto"/>
                      <w:szCs w:val="21"/>
                      <w:lang w:bidi="ar"/>
                    </w:rPr>
                    <w:t>/</w:t>
                  </w:r>
                </w:p>
              </w:tc>
              <w:tc>
                <w:tcPr>
                  <w:tcW w:w="539" w:type="pct"/>
                  <w:vMerge w:val="continue"/>
                  <w:tcBorders>
                    <w:tl2br w:val="nil"/>
                    <w:tr2bl w:val="nil"/>
                  </w:tcBorders>
                  <w:shd w:val="clear" w:color="auto" w:fill="auto"/>
                  <w:vAlign w:val="center"/>
                </w:tcPr>
                <w:p w14:paraId="62262CE0">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rPr>
                      <w:color w:val="auto"/>
                      <w:sz w:val="20"/>
                      <w:szCs w:val="20"/>
                    </w:rPr>
                  </w:pPr>
                </w:p>
              </w:tc>
            </w:tr>
            <w:tr w14:paraId="5D1138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87" w:type="pct"/>
                  <w:tcBorders>
                    <w:tl2br w:val="nil"/>
                    <w:tr2bl w:val="nil"/>
                  </w:tcBorders>
                  <w:shd w:val="clear" w:color="auto" w:fill="auto"/>
                  <w:vAlign w:val="center"/>
                </w:tcPr>
                <w:p w14:paraId="70488680">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rPr>
                  </w:pPr>
                  <w:r>
                    <w:rPr>
                      <w:color w:val="auto"/>
                      <w:szCs w:val="21"/>
                      <w:lang w:bidi="ar"/>
                    </w:rPr>
                    <w:t>5</w:t>
                  </w:r>
                </w:p>
              </w:tc>
              <w:tc>
                <w:tcPr>
                  <w:tcW w:w="757" w:type="pct"/>
                  <w:tcBorders>
                    <w:tl2br w:val="nil"/>
                    <w:tr2bl w:val="nil"/>
                  </w:tcBorders>
                  <w:shd w:val="clear" w:color="auto" w:fill="auto"/>
                  <w:vAlign w:val="center"/>
                </w:tcPr>
                <w:p w14:paraId="3BFE3CF0">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cs="宋体"/>
                      <w:bCs/>
                      <w:color w:val="auto"/>
                      <w:szCs w:val="21"/>
                      <w:lang w:bidi="ar"/>
                    </w:rPr>
                  </w:pPr>
                  <w:r>
                    <w:rPr>
                      <w:rFonts w:hint="eastAsia"/>
                      <w:bCs/>
                      <w:color w:val="auto"/>
                      <w:szCs w:val="21"/>
                    </w:rPr>
                    <w:t>废包装材料</w:t>
                  </w:r>
                </w:p>
              </w:tc>
              <w:tc>
                <w:tcPr>
                  <w:tcW w:w="1192" w:type="pct"/>
                  <w:tcBorders>
                    <w:tl2br w:val="nil"/>
                    <w:tr2bl w:val="nil"/>
                  </w:tcBorders>
                  <w:shd w:val="clear" w:color="auto" w:fill="auto"/>
                  <w:vAlign w:val="center"/>
                </w:tcPr>
                <w:p w14:paraId="395CD0A6">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cs="宋体"/>
                      <w:color w:val="auto"/>
                      <w:szCs w:val="21"/>
                      <w:lang w:bidi="ar"/>
                    </w:rPr>
                  </w:pPr>
                  <w:r>
                    <w:rPr>
                      <w:rFonts w:hint="eastAsia"/>
                      <w:color w:val="auto"/>
                      <w:szCs w:val="21"/>
                    </w:rPr>
                    <w:t>物料储存</w:t>
                  </w:r>
                </w:p>
              </w:tc>
              <w:tc>
                <w:tcPr>
                  <w:tcW w:w="435" w:type="pct"/>
                  <w:tcBorders>
                    <w:tl2br w:val="nil"/>
                    <w:tr2bl w:val="nil"/>
                  </w:tcBorders>
                  <w:shd w:val="clear" w:color="auto" w:fill="auto"/>
                  <w:vAlign w:val="center"/>
                </w:tcPr>
                <w:p w14:paraId="31A17AB7">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hAnsi="宋体" w:cs="宋体"/>
                      <w:color w:val="auto"/>
                      <w:szCs w:val="21"/>
                      <w:lang w:bidi="ar"/>
                    </w:rPr>
                  </w:pPr>
                  <w:r>
                    <w:rPr>
                      <w:rFonts w:hint="eastAsia" w:hAnsi="宋体" w:cs="宋体"/>
                      <w:color w:val="auto"/>
                      <w:szCs w:val="21"/>
                      <w:lang w:bidi="ar"/>
                    </w:rPr>
                    <w:t>固态</w:t>
                  </w:r>
                </w:p>
              </w:tc>
              <w:tc>
                <w:tcPr>
                  <w:tcW w:w="507" w:type="pct"/>
                  <w:tcBorders>
                    <w:tl2br w:val="nil"/>
                    <w:tr2bl w:val="nil"/>
                  </w:tcBorders>
                  <w:shd w:val="clear" w:color="auto" w:fill="auto"/>
                  <w:vAlign w:val="center"/>
                </w:tcPr>
                <w:p w14:paraId="2EC4C827">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cs="宋体"/>
                      <w:color w:val="auto"/>
                      <w:szCs w:val="21"/>
                      <w:lang w:bidi="ar"/>
                    </w:rPr>
                  </w:pPr>
                  <w:r>
                    <w:rPr>
                      <w:rFonts w:hint="eastAsia"/>
                      <w:color w:val="auto"/>
                      <w:szCs w:val="21"/>
                    </w:rPr>
                    <w:t>塑料</w:t>
                  </w:r>
                </w:p>
              </w:tc>
              <w:tc>
                <w:tcPr>
                  <w:tcW w:w="491" w:type="pct"/>
                  <w:tcBorders>
                    <w:tl2br w:val="nil"/>
                    <w:tr2bl w:val="nil"/>
                  </w:tcBorders>
                  <w:shd w:val="clear" w:color="auto" w:fill="auto"/>
                  <w:vAlign w:val="center"/>
                </w:tcPr>
                <w:p w14:paraId="62685B1F">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0.3</w:t>
                  </w:r>
                </w:p>
              </w:tc>
              <w:tc>
                <w:tcPr>
                  <w:tcW w:w="403" w:type="pct"/>
                  <w:tcBorders>
                    <w:tl2br w:val="nil"/>
                    <w:tr2bl w:val="nil"/>
                  </w:tcBorders>
                  <w:shd w:val="clear" w:color="auto" w:fill="auto"/>
                  <w:vAlign w:val="center"/>
                </w:tcPr>
                <w:p w14:paraId="2E5CB7A0">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color w:val="auto"/>
                      <w:szCs w:val="21"/>
                      <w:lang w:bidi="ar"/>
                    </w:rPr>
                    <w:t>√</w:t>
                  </w:r>
                </w:p>
              </w:tc>
              <w:tc>
                <w:tcPr>
                  <w:tcW w:w="387" w:type="pct"/>
                  <w:tcBorders>
                    <w:tl2br w:val="nil"/>
                    <w:tr2bl w:val="nil"/>
                  </w:tcBorders>
                  <w:shd w:val="clear" w:color="auto" w:fill="auto"/>
                  <w:vAlign w:val="center"/>
                </w:tcPr>
                <w:p w14:paraId="47C9BF01">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color w:val="auto"/>
                      <w:szCs w:val="21"/>
                      <w:lang w:bidi="ar"/>
                    </w:rPr>
                    <w:t>/</w:t>
                  </w:r>
                </w:p>
              </w:tc>
              <w:tc>
                <w:tcPr>
                  <w:tcW w:w="539" w:type="pct"/>
                  <w:vMerge w:val="continue"/>
                  <w:tcBorders>
                    <w:tl2br w:val="nil"/>
                    <w:tr2bl w:val="nil"/>
                  </w:tcBorders>
                  <w:shd w:val="clear" w:color="auto" w:fill="auto"/>
                  <w:vAlign w:val="center"/>
                </w:tcPr>
                <w:p w14:paraId="2464A392">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rPr>
                      <w:color w:val="auto"/>
                      <w:sz w:val="20"/>
                      <w:szCs w:val="20"/>
                    </w:rPr>
                  </w:pPr>
                </w:p>
              </w:tc>
            </w:tr>
            <w:tr w14:paraId="33123C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87" w:type="pct"/>
                  <w:tcBorders>
                    <w:tl2br w:val="nil"/>
                    <w:tr2bl w:val="nil"/>
                  </w:tcBorders>
                  <w:shd w:val="clear" w:color="auto" w:fill="auto"/>
                  <w:vAlign w:val="center"/>
                </w:tcPr>
                <w:p w14:paraId="6BD8DC6C">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rPr>
                  </w:pPr>
                  <w:r>
                    <w:rPr>
                      <w:color w:val="auto"/>
                      <w:szCs w:val="21"/>
                      <w:lang w:bidi="ar"/>
                    </w:rPr>
                    <w:t>6</w:t>
                  </w:r>
                </w:p>
              </w:tc>
              <w:tc>
                <w:tcPr>
                  <w:tcW w:w="757" w:type="pct"/>
                  <w:tcBorders>
                    <w:tl2br w:val="nil"/>
                    <w:tr2bl w:val="nil"/>
                  </w:tcBorders>
                  <w:shd w:val="clear" w:color="auto" w:fill="auto"/>
                  <w:vAlign w:val="center"/>
                </w:tcPr>
                <w:p w14:paraId="57BD4CBE">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bCs/>
                      <w:color w:val="auto"/>
                      <w:szCs w:val="21"/>
                    </w:rPr>
                  </w:pPr>
                  <w:r>
                    <w:rPr>
                      <w:rFonts w:hint="eastAsia"/>
                      <w:bCs/>
                      <w:color w:val="auto"/>
                      <w:szCs w:val="21"/>
                    </w:rPr>
                    <w:t>布袋除尘灰</w:t>
                  </w:r>
                </w:p>
              </w:tc>
              <w:tc>
                <w:tcPr>
                  <w:tcW w:w="1192" w:type="pct"/>
                  <w:tcBorders>
                    <w:tl2br w:val="nil"/>
                    <w:tr2bl w:val="nil"/>
                  </w:tcBorders>
                  <w:shd w:val="clear" w:color="auto" w:fill="auto"/>
                  <w:vAlign w:val="center"/>
                </w:tcPr>
                <w:p w14:paraId="7AA24363">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废气处理</w:t>
                  </w:r>
                </w:p>
              </w:tc>
              <w:tc>
                <w:tcPr>
                  <w:tcW w:w="435" w:type="pct"/>
                  <w:tcBorders>
                    <w:tl2br w:val="nil"/>
                    <w:tr2bl w:val="nil"/>
                  </w:tcBorders>
                  <w:shd w:val="clear" w:color="auto" w:fill="auto"/>
                  <w:vAlign w:val="center"/>
                </w:tcPr>
                <w:p w14:paraId="7B4756D8">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hAnsi="宋体" w:cs="宋体"/>
                      <w:color w:val="auto"/>
                      <w:szCs w:val="21"/>
                      <w:lang w:bidi="ar"/>
                    </w:rPr>
                  </w:pPr>
                  <w:r>
                    <w:rPr>
                      <w:rFonts w:hint="eastAsia" w:hAnsi="宋体" w:cs="宋体"/>
                      <w:color w:val="auto"/>
                      <w:szCs w:val="21"/>
                      <w:lang w:bidi="ar"/>
                    </w:rPr>
                    <w:t>固态</w:t>
                  </w:r>
                </w:p>
              </w:tc>
              <w:tc>
                <w:tcPr>
                  <w:tcW w:w="507" w:type="pct"/>
                  <w:tcBorders>
                    <w:tl2br w:val="nil"/>
                    <w:tr2bl w:val="nil"/>
                  </w:tcBorders>
                  <w:shd w:val="clear" w:color="auto" w:fill="auto"/>
                  <w:vAlign w:val="center"/>
                </w:tcPr>
                <w:p w14:paraId="68562040">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金属</w:t>
                  </w:r>
                </w:p>
              </w:tc>
              <w:tc>
                <w:tcPr>
                  <w:tcW w:w="491" w:type="pct"/>
                  <w:tcBorders>
                    <w:tl2br w:val="nil"/>
                    <w:tr2bl w:val="nil"/>
                  </w:tcBorders>
                  <w:shd w:val="clear" w:color="auto" w:fill="auto"/>
                  <w:vAlign w:val="center"/>
                </w:tcPr>
                <w:p w14:paraId="2C1891B1">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hint="default" w:eastAsia="宋体"/>
                      <w:color w:val="auto"/>
                      <w:szCs w:val="21"/>
                      <w:lang w:val="en-US" w:eastAsia="zh-CN" w:bidi="ar"/>
                    </w:rPr>
                  </w:pPr>
                  <w:r>
                    <w:rPr>
                      <w:rFonts w:hint="eastAsia"/>
                      <w:color w:val="auto"/>
                      <w:szCs w:val="21"/>
                      <w:lang w:val="en-US" w:eastAsia="zh-CN" w:bidi="ar"/>
                    </w:rPr>
                    <w:t>1.294</w:t>
                  </w:r>
                </w:p>
              </w:tc>
              <w:tc>
                <w:tcPr>
                  <w:tcW w:w="403" w:type="pct"/>
                  <w:tcBorders>
                    <w:tl2br w:val="nil"/>
                    <w:tr2bl w:val="nil"/>
                  </w:tcBorders>
                  <w:shd w:val="clear" w:color="auto" w:fill="auto"/>
                  <w:vAlign w:val="center"/>
                </w:tcPr>
                <w:p w14:paraId="55A6AFAF">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color w:val="auto"/>
                      <w:szCs w:val="21"/>
                      <w:lang w:bidi="ar"/>
                    </w:rPr>
                    <w:t>√</w:t>
                  </w:r>
                </w:p>
              </w:tc>
              <w:tc>
                <w:tcPr>
                  <w:tcW w:w="387" w:type="pct"/>
                  <w:tcBorders>
                    <w:tl2br w:val="nil"/>
                    <w:tr2bl w:val="nil"/>
                  </w:tcBorders>
                  <w:shd w:val="clear" w:color="auto" w:fill="auto"/>
                  <w:vAlign w:val="center"/>
                </w:tcPr>
                <w:p w14:paraId="284E8882">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color w:val="auto"/>
                      <w:szCs w:val="21"/>
                      <w:lang w:bidi="ar"/>
                    </w:rPr>
                    <w:t>/</w:t>
                  </w:r>
                </w:p>
              </w:tc>
              <w:tc>
                <w:tcPr>
                  <w:tcW w:w="539" w:type="pct"/>
                  <w:vMerge w:val="continue"/>
                  <w:tcBorders>
                    <w:tl2br w:val="nil"/>
                    <w:tr2bl w:val="nil"/>
                  </w:tcBorders>
                  <w:shd w:val="clear" w:color="auto" w:fill="auto"/>
                  <w:vAlign w:val="center"/>
                </w:tcPr>
                <w:p w14:paraId="31B705F2">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rPr>
                      <w:color w:val="auto"/>
                      <w:sz w:val="20"/>
                      <w:szCs w:val="20"/>
                    </w:rPr>
                  </w:pPr>
                </w:p>
              </w:tc>
            </w:tr>
            <w:tr w14:paraId="02711B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87" w:type="pct"/>
                  <w:tcBorders>
                    <w:tl2br w:val="nil"/>
                    <w:tr2bl w:val="nil"/>
                  </w:tcBorders>
                  <w:shd w:val="clear" w:color="auto" w:fill="auto"/>
                  <w:vAlign w:val="center"/>
                </w:tcPr>
                <w:p w14:paraId="1BDD770E">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rPr>
                  </w:pPr>
                  <w:r>
                    <w:rPr>
                      <w:color w:val="auto"/>
                      <w:szCs w:val="21"/>
                      <w:lang w:bidi="ar"/>
                    </w:rPr>
                    <w:t>7</w:t>
                  </w:r>
                </w:p>
              </w:tc>
              <w:tc>
                <w:tcPr>
                  <w:tcW w:w="757" w:type="pct"/>
                  <w:tcBorders>
                    <w:tl2br w:val="nil"/>
                    <w:tr2bl w:val="nil"/>
                  </w:tcBorders>
                  <w:shd w:val="clear" w:color="auto" w:fill="auto"/>
                  <w:vAlign w:val="center"/>
                </w:tcPr>
                <w:p w14:paraId="45B36FD1">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bCs/>
                      <w:color w:val="auto"/>
                      <w:szCs w:val="21"/>
                    </w:rPr>
                  </w:pPr>
                  <w:r>
                    <w:rPr>
                      <w:rFonts w:hint="eastAsia"/>
                      <w:bCs/>
                      <w:color w:val="auto"/>
                      <w:szCs w:val="21"/>
                    </w:rPr>
                    <w:t>废布袋</w:t>
                  </w:r>
                </w:p>
              </w:tc>
              <w:tc>
                <w:tcPr>
                  <w:tcW w:w="1192" w:type="pct"/>
                  <w:tcBorders>
                    <w:tl2br w:val="nil"/>
                    <w:tr2bl w:val="nil"/>
                  </w:tcBorders>
                  <w:shd w:val="clear" w:color="auto" w:fill="auto"/>
                  <w:vAlign w:val="center"/>
                </w:tcPr>
                <w:p w14:paraId="6033FA20">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废气处理</w:t>
                  </w:r>
                </w:p>
              </w:tc>
              <w:tc>
                <w:tcPr>
                  <w:tcW w:w="435" w:type="pct"/>
                  <w:tcBorders>
                    <w:tl2br w:val="nil"/>
                    <w:tr2bl w:val="nil"/>
                  </w:tcBorders>
                  <w:shd w:val="clear" w:color="auto" w:fill="auto"/>
                  <w:vAlign w:val="center"/>
                </w:tcPr>
                <w:p w14:paraId="6AE0B1AD">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hAnsi="宋体" w:cs="宋体"/>
                      <w:color w:val="auto"/>
                      <w:szCs w:val="21"/>
                      <w:lang w:bidi="ar"/>
                    </w:rPr>
                  </w:pPr>
                  <w:r>
                    <w:rPr>
                      <w:rFonts w:hint="eastAsia" w:hAnsi="宋体" w:cs="宋体"/>
                      <w:color w:val="auto"/>
                      <w:szCs w:val="21"/>
                      <w:lang w:bidi="ar"/>
                    </w:rPr>
                    <w:t>固态</w:t>
                  </w:r>
                </w:p>
              </w:tc>
              <w:tc>
                <w:tcPr>
                  <w:tcW w:w="507" w:type="pct"/>
                  <w:tcBorders>
                    <w:tl2br w:val="nil"/>
                    <w:tr2bl w:val="nil"/>
                  </w:tcBorders>
                  <w:shd w:val="clear" w:color="auto" w:fill="auto"/>
                  <w:vAlign w:val="center"/>
                </w:tcPr>
                <w:p w14:paraId="36F90D31">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编织物</w:t>
                  </w:r>
                </w:p>
              </w:tc>
              <w:tc>
                <w:tcPr>
                  <w:tcW w:w="491" w:type="pct"/>
                  <w:tcBorders>
                    <w:tl2br w:val="nil"/>
                    <w:tr2bl w:val="nil"/>
                  </w:tcBorders>
                  <w:shd w:val="clear" w:color="auto" w:fill="auto"/>
                  <w:vAlign w:val="center"/>
                </w:tcPr>
                <w:p w14:paraId="7F47F6C3">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0.0462</w:t>
                  </w:r>
                </w:p>
              </w:tc>
              <w:tc>
                <w:tcPr>
                  <w:tcW w:w="403" w:type="pct"/>
                  <w:tcBorders>
                    <w:tl2br w:val="nil"/>
                    <w:tr2bl w:val="nil"/>
                  </w:tcBorders>
                  <w:shd w:val="clear" w:color="auto" w:fill="auto"/>
                  <w:vAlign w:val="center"/>
                </w:tcPr>
                <w:p w14:paraId="1247FA4A">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color w:val="auto"/>
                      <w:szCs w:val="21"/>
                      <w:lang w:bidi="ar"/>
                    </w:rPr>
                    <w:t>√</w:t>
                  </w:r>
                </w:p>
              </w:tc>
              <w:tc>
                <w:tcPr>
                  <w:tcW w:w="387" w:type="pct"/>
                  <w:tcBorders>
                    <w:tl2br w:val="nil"/>
                    <w:tr2bl w:val="nil"/>
                  </w:tcBorders>
                  <w:shd w:val="clear" w:color="auto" w:fill="auto"/>
                  <w:vAlign w:val="center"/>
                </w:tcPr>
                <w:p w14:paraId="6BF5B755">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color w:val="auto"/>
                      <w:szCs w:val="21"/>
                      <w:lang w:bidi="ar"/>
                    </w:rPr>
                    <w:t>/</w:t>
                  </w:r>
                </w:p>
              </w:tc>
              <w:tc>
                <w:tcPr>
                  <w:tcW w:w="539" w:type="pct"/>
                  <w:vMerge w:val="continue"/>
                  <w:tcBorders>
                    <w:tl2br w:val="nil"/>
                    <w:tr2bl w:val="nil"/>
                  </w:tcBorders>
                  <w:shd w:val="clear" w:color="auto" w:fill="auto"/>
                  <w:vAlign w:val="center"/>
                </w:tcPr>
                <w:p w14:paraId="6186C08E">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rPr>
                      <w:color w:val="auto"/>
                      <w:sz w:val="20"/>
                      <w:szCs w:val="20"/>
                    </w:rPr>
                  </w:pPr>
                </w:p>
              </w:tc>
            </w:tr>
            <w:tr w14:paraId="535163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87" w:type="pct"/>
                  <w:tcBorders>
                    <w:tl2br w:val="nil"/>
                    <w:tr2bl w:val="nil"/>
                  </w:tcBorders>
                  <w:shd w:val="clear" w:color="auto" w:fill="auto"/>
                  <w:vAlign w:val="center"/>
                </w:tcPr>
                <w:p w14:paraId="08F6F2E6">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rPr>
                  </w:pPr>
                  <w:r>
                    <w:rPr>
                      <w:color w:val="auto"/>
                      <w:szCs w:val="21"/>
                      <w:lang w:bidi="ar"/>
                    </w:rPr>
                    <w:t>8</w:t>
                  </w:r>
                </w:p>
              </w:tc>
              <w:tc>
                <w:tcPr>
                  <w:tcW w:w="757" w:type="pct"/>
                  <w:tcBorders>
                    <w:tl2br w:val="nil"/>
                    <w:tr2bl w:val="nil"/>
                  </w:tcBorders>
                  <w:shd w:val="clear" w:color="auto" w:fill="auto"/>
                  <w:vAlign w:val="center"/>
                </w:tcPr>
                <w:p w14:paraId="53290C9B">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cs="宋体"/>
                      <w:bCs/>
                      <w:color w:val="auto"/>
                      <w:szCs w:val="21"/>
                      <w:lang w:bidi="ar"/>
                    </w:rPr>
                  </w:pPr>
                  <w:r>
                    <w:rPr>
                      <w:rFonts w:hint="eastAsia"/>
                      <w:bCs/>
                      <w:color w:val="auto"/>
                      <w:szCs w:val="21"/>
                    </w:rPr>
                    <w:t>废包装桶</w:t>
                  </w:r>
                </w:p>
              </w:tc>
              <w:tc>
                <w:tcPr>
                  <w:tcW w:w="1192" w:type="pct"/>
                  <w:tcBorders>
                    <w:tl2br w:val="nil"/>
                    <w:tr2bl w:val="nil"/>
                  </w:tcBorders>
                  <w:shd w:val="clear" w:color="auto" w:fill="auto"/>
                  <w:vAlign w:val="center"/>
                </w:tcPr>
                <w:p w14:paraId="2427EBCA">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cs="宋体"/>
                      <w:color w:val="auto"/>
                      <w:szCs w:val="21"/>
                      <w:lang w:bidi="ar"/>
                    </w:rPr>
                  </w:pPr>
                  <w:r>
                    <w:rPr>
                      <w:rFonts w:hint="eastAsia"/>
                      <w:color w:val="auto"/>
                      <w:szCs w:val="21"/>
                    </w:rPr>
                    <w:t>辅料储存</w:t>
                  </w:r>
                </w:p>
              </w:tc>
              <w:tc>
                <w:tcPr>
                  <w:tcW w:w="435" w:type="pct"/>
                  <w:tcBorders>
                    <w:tl2br w:val="nil"/>
                    <w:tr2bl w:val="nil"/>
                  </w:tcBorders>
                  <w:shd w:val="clear" w:color="auto" w:fill="auto"/>
                  <w:vAlign w:val="center"/>
                </w:tcPr>
                <w:p w14:paraId="70951B2D">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hAnsi="宋体" w:cs="宋体"/>
                      <w:color w:val="auto"/>
                      <w:szCs w:val="21"/>
                      <w:lang w:bidi="ar"/>
                    </w:rPr>
                  </w:pPr>
                  <w:r>
                    <w:rPr>
                      <w:rFonts w:hint="eastAsia" w:hAnsi="宋体" w:cs="宋体"/>
                      <w:color w:val="auto"/>
                      <w:szCs w:val="21"/>
                      <w:lang w:bidi="ar"/>
                    </w:rPr>
                    <w:t>固态</w:t>
                  </w:r>
                </w:p>
              </w:tc>
              <w:tc>
                <w:tcPr>
                  <w:tcW w:w="507" w:type="pct"/>
                  <w:tcBorders>
                    <w:tl2br w:val="nil"/>
                    <w:tr2bl w:val="nil"/>
                  </w:tcBorders>
                  <w:shd w:val="clear" w:color="auto" w:fill="auto"/>
                  <w:vAlign w:val="center"/>
                </w:tcPr>
                <w:p w14:paraId="52131A57">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cs="宋体"/>
                      <w:color w:val="auto"/>
                      <w:szCs w:val="21"/>
                      <w:lang w:bidi="ar"/>
                    </w:rPr>
                  </w:pPr>
                  <w:r>
                    <w:rPr>
                      <w:rFonts w:hint="eastAsia"/>
                      <w:color w:val="auto"/>
                      <w:szCs w:val="21"/>
                    </w:rPr>
                    <w:t>矿物油</w:t>
                  </w:r>
                </w:p>
              </w:tc>
              <w:tc>
                <w:tcPr>
                  <w:tcW w:w="491" w:type="pct"/>
                  <w:tcBorders>
                    <w:tl2br w:val="nil"/>
                    <w:tr2bl w:val="nil"/>
                  </w:tcBorders>
                  <w:shd w:val="clear" w:color="auto" w:fill="auto"/>
                  <w:vAlign w:val="center"/>
                </w:tcPr>
                <w:p w14:paraId="026E5871">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hint="eastAsia" w:eastAsia="宋体"/>
                      <w:color w:val="auto"/>
                      <w:szCs w:val="21"/>
                      <w:lang w:eastAsia="zh-CN" w:bidi="ar"/>
                    </w:rPr>
                  </w:pPr>
                  <w:r>
                    <w:rPr>
                      <w:rFonts w:hint="eastAsia"/>
                      <w:color w:val="auto"/>
                      <w:szCs w:val="21"/>
                      <w:lang w:eastAsia="zh-CN" w:bidi="ar"/>
                    </w:rPr>
                    <w:t>0.1741</w:t>
                  </w:r>
                </w:p>
              </w:tc>
              <w:tc>
                <w:tcPr>
                  <w:tcW w:w="403" w:type="pct"/>
                  <w:tcBorders>
                    <w:tl2br w:val="nil"/>
                    <w:tr2bl w:val="nil"/>
                  </w:tcBorders>
                  <w:shd w:val="clear" w:color="auto" w:fill="auto"/>
                  <w:vAlign w:val="center"/>
                </w:tcPr>
                <w:p w14:paraId="659055E8">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color w:val="auto"/>
                      <w:szCs w:val="21"/>
                      <w:lang w:bidi="ar"/>
                    </w:rPr>
                    <w:t>√</w:t>
                  </w:r>
                </w:p>
              </w:tc>
              <w:tc>
                <w:tcPr>
                  <w:tcW w:w="387" w:type="pct"/>
                  <w:tcBorders>
                    <w:tl2br w:val="nil"/>
                    <w:tr2bl w:val="nil"/>
                  </w:tcBorders>
                  <w:shd w:val="clear" w:color="auto" w:fill="auto"/>
                  <w:vAlign w:val="center"/>
                </w:tcPr>
                <w:p w14:paraId="0DF7C591">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color w:val="auto"/>
                      <w:szCs w:val="21"/>
                      <w:lang w:bidi="ar"/>
                    </w:rPr>
                    <w:t>/</w:t>
                  </w:r>
                </w:p>
              </w:tc>
              <w:tc>
                <w:tcPr>
                  <w:tcW w:w="539" w:type="pct"/>
                  <w:vMerge w:val="continue"/>
                  <w:tcBorders>
                    <w:tl2br w:val="nil"/>
                    <w:tr2bl w:val="nil"/>
                  </w:tcBorders>
                  <w:shd w:val="clear" w:color="auto" w:fill="auto"/>
                  <w:vAlign w:val="center"/>
                </w:tcPr>
                <w:p w14:paraId="60DFA5CD">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rPr>
                      <w:color w:val="auto"/>
                      <w:sz w:val="20"/>
                      <w:szCs w:val="20"/>
                    </w:rPr>
                  </w:pPr>
                </w:p>
              </w:tc>
            </w:tr>
            <w:tr w14:paraId="193C96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87" w:type="pct"/>
                  <w:tcBorders>
                    <w:tl2br w:val="nil"/>
                    <w:tr2bl w:val="nil"/>
                  </w:tcBorders>
                  <w:shd w:val="clear" w:color="auto" w:fill="auto"/>
                  <w:vAlign w:val="center"/>
                </w:tcPr>
                <w:p w14:paraId="0E76AE6C">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rPr>
                  </w:pPr>
                  <w:r>
                    <w:rPr>
                      <w:color w:val="auto"/>
                      <w:szCs w:val="21"/>
                      <w:lang w:bidi="ar"/>
                    </w:rPr>
                    <w:t>9</w:t>
                  </w:r>
                </w:p>
              </w:tc>
              <w:tc>
                <w:tcPr>
                  <w:tcW w:w="757" w:type="pct"/>
                  <w:tcBorders>
                    <w:tl2br w:val="nil"/>
                    <w:tr2bl w:val="nil"/>
                  </w:tcBorders>
                  <w:shd w:val="clear" w:color="auto" w:fill="auto"/>
                  <w:vAlign w:val="center"/>
                </w:tcPr>
                <w:p w14:paraId="74CC7B5B">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cs="宋体"/>
                      <w:bCs/>
                      <w:color w:val="auto"/>
                      <w:szCs w:val="21"/>
                      <w:lang w:bidi="ar"/>
                    </w:rPr>
                  </w:pPr>
                  <w:r>
                    <w:rPr>
                      <w:color w:val="auto"/>
                      <w:szCs w:val="21"/>
                    </w:rPr>
                    <w:t>废</w:t>
                  </w:r>
                  <w:r>
                    <w:rPr>
                      <w:rFonts w:hint="eastAsia"/>
                      <w:color w:val="auto"/>
                      <w:szCs w:val="21"/>
                    </w:rPr>
                    <w:t>活性炭</w:t>
                  </w:r>
                </w:p>
              </w:tc>
              <w:tc>
                <w:tcPr>
                  <w:tcW w:w="1192" w:type="pct"/>
                  <w:tcBorders>
                    <w:tl2br w:val="nil"/>
                    <w:tr2bl w:val="nil"/>
                  </w:tcBorders>
                  <w:shd w:val="clear" w:color="auto" w:fill="auto"/>
                  <w:vAlign w:val="center"/>
                </w:tcPr>
                <w:p w14:paraId="6933278B">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cs="宋体"/>
                      <w:color w:val="auto"/>
                      <w:szCs w:val="21"/>
                      <w:lang w:bidi="ar"/>
                    </w:rPr>
                  </w:pPr>
                  <w:r>
                    <w:rPr>
                      <w:rFonts w:hint="eastAsia"/>
                      <w:color w:val="auto"/>
                      <w:szCs w:val="21"/>
                    </w:rPr>
                    <w:t>废气处理</w:t>
                  </w:r>
                </w:p>
              </w:tc>
              <w:tc>
                <w:tcPr>
                  <w:tcW w:w="435" w:type="pct"/>
                  <w:tcBorders>
                    <w:tl2br w:val="nil"/>
                    <w:tr2bl w:val="nil"/>
                  </w:tcBorders>
                  <w:shd w:val="clear" w:color="auto" w:fill="auto"/>
                  <w:vAlign w:val="center"/>
                </w:tcPr>
                <w:p w14:paraId="61E421D2">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hAnsi="宋体" w:cs="宋体"/>
                      <w:color w:val="auto"/>
                      <w:szCs w:val="21"/>
                      <w:lang w:bidi="ar"/>
                    </w:rPr>
                  </w:pPr>
                  <w:r>
                    <w:rPr>
                      <w:rFonts w:hint="eastAsia" w:hAnsi="宋体" w:cs="宋体"/>
                      <w:color w:val="auto"/>
                      <w:szCs w:val="21"/>
                      <w:lang w:bidi="ar"/>
                    </w:rPr>
                    <w:t>固态</w:t>
                  </w:r>
                </w:p>
              </w:tc>
              <w:tc>
                <w:tcPr>
                  <w:tcW w:w="507" w:type="pct"/>
                  <w:tcBorders>
                    <w:tl2br w:val="nil"/>
                    <w:tr2bl w:val="nil"/>
                  </w:tcBorders>
                  <w:shd w:val="clear" w:color="auto" w:fill="auto"/>
                  <w:vAlign w:val="center"/>
                </w:tcPr>
                <w:p w14:paraId="302F6340">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cs="宋体"/>
                      <w:color w:val="auto"/>
                      <w:szCs w:val="21"/>
                      <w:lang w:bidi="ar"/>
                    </w:rPr>
                  </w:pPr>
                  <w:r>
                    <w:rPr>
                      <w:rFonts w:hint="eastAsia"/>
                      <w:color w:val="auto"/>
                      <w:szCs w:val="21"/>
                    </w:rPr>
                    <w:t>有机物</w:t>
                  </w:r>
                </w:p>
              </w:tc>
              <w:tc>
                <w:tcPr>
                  <w:tcW w:w="491" w:type="pct"/>
                  <w:tcBorders>
                    <w:tl2br w:val="nil"/>
                    <w:tr2bl w:val="nil"/>
                  </w:tcBorders>
                  <w:shd w:val="clear" w:color="auto" w:fill="auto"/>
                  <w:vAlign w:val="center"/>
                </w:tcPr>
                <w:p w14:paraId="3E6B546C">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hint="eastAsia" w:eastAsia="宋体"/>
                      <w:color w:val="auto"/>
                      <w:szCs w:val="21"/>
                      <w:lang w:eastAsia="zh-CN" w:bidi="ar"/>
                    </w:rPr>
                  </w:pPr>
                  <w:r>
                    <w:rPr>
                      <w:rFonts w:hint="eastAsia"/>
                      <w:color w:val="auto"/>
                      <w:szCs w:val="21"/>
                      <w:lang w:eastAsia="zh-CN" w:bidi="ar"/>
                    </w:rPr>
                    <w:t>1.1924</w:t>
                  </w:r>
                </w:p>
              </w:tc>
              <w:tc>
                <w:tcPr>
                  <w:tcW w:w="403" w:type="pct"/>
                  <w:tcBorders>
                    <w:tl2br w:val="nil"/>
                    <w:tr2bl w:val="nil"/>
                  </w:tcBorders>
                  <w:shd w:val="clear" w:color="auto" w:fill="auto"/>
                  <w:vAlign w:val="center"/>
                </w:tcPr>
                <w:p w14:paraId="0779CB32">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color w:val="auto"/>
                      <w:szCs w:val="21"/>
                      <w:lang w:bidi="ar"/>
                    </w:rPr>
                    <w:t>√</w:t>
                  </w:r>
                </w:p>
              </w:tc>
              <w:tc>
                <w:tcPr>
                  <w:tcW w:w="387" w:type="pct"/>
                  <w:tcBorders>
                    <w:tl2br w:val="nil"/>
                    <w:tr2bl w:val="nil"/>
                  </w:tcBorders>
                  <w:shd w:val="clear" w:color="auto" w:fill="auto"/>
                  <w:vAlign w:val="center"/>
                </w:tcPr>
                <w:p w14:paraId="66A75441">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color w:val="auto"/>
                      <w:szCs w:val="21"/>
                      <w:lang w:bidi="ar"/>
                    </w:rPr>
                    <w:t>/</w:t>
                  </w:r>
                </w:p>
              </w:tc>
              <w:tc>
                <w:tcPr>
                  <w:tcW w:w="539" w:type="pct"/>
                  <w:vMerge w:val="continue"/>
                  <w:tcBorders>
                    <w:tl2br w:val="nil"/>
                    <w:tr2bl w:val="nil"/>
                  </w:tcBorders>
                  <w:shd w:val="clear" w:color="auto" w:fill="auto"/>
                  <w:vAlign w:val="center"/>
                </w:tcPr>
                <w:p w14:paraId="3B846156">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rPr>
                      <w:color w:val="auto"/>
                      <w:sz w:val="20"/>
                      <w:szCs w:val="20"/>
                    </w:rPr>
                  </w:pPr>
                </w:p>
              </w:tc>
            </w:tr>
            <w:tr w14:paraId="77D81B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87" w:type="pct"/>
                  <w:tcBorders>
                    <w:tl2br w:val="nil"/>
                    <w:tr2bl w:val="nil"/>
                  </w:tcBorders>
                  <w:shd w:val="clear" w:color="auto" w:fill="auto"/>
                  <w:vAlign w:val="center"/>
                </w:tcPr>
                <w:p w14:paraId="2EF2EBF6">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10</w:t>
                  </w:r>
                </w:p>
              </w:tc>
              <w:tc>
                <w:tcPr>
                  <w:tcW w:w="757" w:type="pct"/>
                  <w:tcBorders>
                    <w:tl2br w:val="nil"/>
                    <w:tr2bl w:val="nil"/>
                  </w:tcBorders>
                  <w:shd w:val="clear" w:color="auto" w:fill="auto"/>
                  <w:vAlign w:val="center"/>
                </w:tcPr>
                <w:p w14:paraId="266CA624">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cs="宋体"/>
                      <w:bCs/>
                      <w:color w:val="auto"/>
                      <w:szCs w:val="21"/>
                      <w:lang w:bidi="ar"/>
                    </w:rPr>
                  </w:pPr>
                  <w:r>
                    <w:rPr>
                      <w:rFonts w:hint="eastAsia"/>
                      <w:color w:val="auto"/>
                      <w:szCs w:val="21"/>
                    </w:rPr>
                    <w:t>废润滑油</w:t>
                  </w:r>
                </w:p>
              </w:tc>
              <w:tc>
                <w:tcPr>
                  <w:tcW w:w="1192" w:type="pct"/>
                  <w:tcBorders>
                    <w:tl2br w:val="nil"/>
                    <w:tr2bl w:val="nil"/>
                  </w:tcBorders>
                  <w:shd w:val="clear" w:color="auto" w:fill="auto"/>
                  <w:vAlign w:val="center"/>
                </w:tcPr>
                <w:p w14:paraId="0D1A032E">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cs="宋体"/>
                      <w:color w:val="auto"/>
                      <w:szCs w:val="21"/>
                      <w:lang w:bidi="ar"/>
                    </w:rPr>
                  </w:pPr>
                  <w:r>
                    <w:rPr>
                      <w:rFonts w:hint="eastAsia" w:cs="宋体"/>
                      <w:color w:val="auto"/>
                      <w:szCs w:val="21"/>
                      <w:lang w:bidi="ar"/>
                    </w:rPr>
                    <w:t>设备维护</w:t>
                  </w:r>
                </w:p>
              </w:tc>
              <w:tc>
                <w:tcPr>
                  <w:tcW w:w="435" w:type="pct"/>
                  <w:tcBorders>
                    <w:tl2br w:val="nil"/>
                    <w:tr2bl w:val="nil"/>
                  </w:tcBorders>
                  <w:shd w:val="clear" w:color="auto" w:fill="auto"/>
                  <w:vAlign w:val="center"/>
                </w:tcPr>
                <w:p w14:paraId="07661762">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hAnsi="宋体" w:cs="宋体"/>
                      <w:color w:val="auto"/>
                      <w:szCs w:val="21"/>
                      <w:lang w:bidi="ar"/>
                    </w:rPr>
                  </w:pPr>
                  <w:r>
                    <w:rPr>
                      <w:rFonts w:hint="eastAsia" w:hAnsi="宋体" w:cs="宋体"/>
                      <w:color w:val="auto"/>
                      <w:szCs w:val="21"/>
                      <w:lang w:bidi="ar"/>
                    </w:rPr>
                    <w:t>液态</w:t>
                  </w:r>
                </w:p>
              </w:tc>
              <w:tc>
                <w:tcPr>
                  <w:tcW w:w="507" w:type="pct"/>
                  <w:tcBorders>
                    <w:tl2br w:val="nil"/>
                    <w:tr2bl w:val="nil"/>
                  </w:tcBorders>
                  <w:shd w:val="clear" w:color="auto" w:fill="auto"/>
                  <w:vAlign w:val="center"/>
                </w:tcPr>
                <w:p w14:paraId="0FE39D71">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beforeAutospacing="0" w:afterAutospacing="0"/>
                    <w:ind w:firstLine="0"/>
                    <w:jc w:val="center"/>
                    <w:textAlignment w:val="baseline"/>
                    <w:rPr>
                      <w:rFonts w:cs="宋体"/>
                      <w:color w:val="auto"/>
                      <w:szCs w:val="21"/>
                      <w:lang w:bidi="ar"/>
                    </w:rPr>
                  </w:pPr>
                  <w:r>
                    <w:rPr>
                      <w:rFonts w:hint="eastAsia" w:cs="宋体"/>
                      <w:color w:val="auto"/>
                      <w:kern w:val="0"/>
                      <w:szCs w:val="21"/>
                      <w:lang w:bidi="ar"/>
                    </w:rPr>
                    <w:t>矿物油</w:t>
                  </w:r>
                </w:p>
              </w:tc>
              <w:tc>
                <w:tcPr>
                  <w:tcW w:w="491" w:type="pct"/>
                  <w:tcBorders>
                    <w:tl2br w:val="nil"/>
                    <w:tr2bl w:val="nil"/>
                  </w:tcBorders>
                  <w:shd w:val="clear" w:color="auto" w:fill="auto"/>
                  <w:vAlign w:val="center"/>
                </w:tcPr>
                <w:p w14:paraId="467DADD5">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0.1</w:t>
                  </w:r>
                </w:p>
              </w:tc>
              <w:tc>
                <w:tcPr>
                  <w:tcW w:w="403" w:type="pct"/>
                  <w:tcBorders>
                    <w:tl2br w:val="nil"/>
                    <w:tr2bl w:val="nil"/>
                  </w:tcBorders>
                  <w:shd w:val="clear" w:color="auto" w:fill="auto"/>
                  <w:vAlign w:val="center"/>
                </w:tcPr>
                <w:p w14:paraId="7DA27316">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color w:val="auto"/>
                      <w:szCs w:val="21"/>
                      <w:lang w:bidi="ar"/>
                    </w:rPr>
                    <w:t>√</w:t>
                  </w:r>
                </w:p>
              </w:tc>
              <w:tc>
                <w:tcPr>
                  <w:tcW w:w="387" w:type="pct"/>
                  <w:tcBorders>
                    <w:tl2br w:val="nil"/>
                    <w:tr2bl w:val="nil"/>
                  </w:tcBorders>
                  <w:shd w:val="clear" w:color="auto" w:fill="auto"/>
                  <w:vAlign w:val="center"/>
                </w:tcPr>
                <w:p w14:paraId="65C27ECF">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color w:val="auto"/>
                      <w:szCs w:val="21"/>
                      <w:lang w:bidi="ar"/>
                    </w:rPr>
                    <w:t>/</w:t>
                  </w:r>
                </w:p>
              </w:tc>
              <w:tc>
                <w:tcPr>
                  <w:tcW w:w="539" w:type="pct"/>
                  <w:vMerge w:val="continue"/>
                  <w:tcBorders>
                    <w:tl2br w:val="nil"/>
                    <w:tr2bl w:val="nil"/>
                  </w:tcBorders>
                  <w:shd w:val="clear" w:color="auto" w:fill="auto"/>
                  <w:vAlign w:val="center"/>
                </w:tcPr>
                <w:p w14:paraId="22748E40">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rPr>
                      <w:color w:val="auto"/>
                      <w:sz w:val="20"/>
                      <w:szCs w:val="20"/>
                    </w:rPr>
                  </w:pPr>
                </w:p>
              </w:tc>
            </w:tr>
            <w:tr w14:paraId="4094F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87" w:type="pct"/>
                  <w:tcBorders>
                    <w:tl2br w:val="nil"/>
                    <w:tr2bl w:val="nil"/>
                  </w:tcBorders>
                  <w:shd w:val="clear" w:color="auto" w:fill="auto"/>
                  <w:vAlign w:val="center"/>
                </w:tcPr>
                <w:p w14:paraId="5AA43705">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11</w:t>
                  </w:r>
                </w:p>
              </w:tc>
              <w:tc>
                <w:tcPr>
                  <w:tcW w:w="757" w:type="pct"/>
                  <w:tcBorders>
                    <w:tl2br w:val="nil"/>
                    <w:tr2bl w:val="nil"/>
                  </w:tcBorders>
                  <w:shd w:val="clear" w:color="auto" w:fill="auto"/>
                  <w:vAlign w:val="center"/>
                </w:tcPr>
                <w:p w14:paraId="461E66C9">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cs="宋体"/>
                      <w:bCs/>
                      <w:color w:val="auto"/>
                      <w:szCs w:val="21"/>
                      <w:lang w:bidi="ar"/>
                    </w:rPr>
                  </w:pPr>
                  <w:r>
                    <w:rPr>
                      <w:rFonts w:hint="eastAsia"/>
                      <w:color w:val="auto"/>
                      <w:szCs w:val="21"/>
                    </w:rPr>
                    <w:t>废切削液</w:t>
                  </w:r>
                </w:p>
              </w:tc>
              <w:tc>
                <w:tcPr>
                  <w:tcW w:w="1192" w:type="pct"/>
                  <w:tcBorders>
                    <w:tl2br w:val="nil"/>
                    <w:tr2bl w:val="nil"/>
                  </w:tcBorders>
                  <w:shd w:val="clear" w:color="auto" w:fill="auto"/>
                  <w:vAlign w:val="center"/>
                </w:tcPr>
                <w:p w14:paraId="36F8485A">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cs="宋体"/>
                      <w:color w:val="auto"/>
                      <w:szCs w:val="21"/>
                      <w:lang w:bidi="ar"/>
                    </w:rPr>
                  </w:pPr>
                  <w:r>
                    <w:rPr>
                      <w:rFonts w:hint="eastAsia"/>
                      <w:color w:val="auto"/>
                      <w:szCs w:val="21"/>
                    </w:rPr>
                    <w:t>机械加工</w:t>
                  </w:r>
                </w:p>
              </w:tc>
              <w:tc>
                <w:tcPr>
                  <w:tcW w:w="435" w:type="pct"/>
                  <w:tcBorders>
                    <w:tl2br w:val="nil"/>
                    <w:tr2bl w:val="nil"/>
                  </w:tcBorders>
                  <w:shd w:val="clear" w:color="auto" w:fill="auto"/>
                  <w:vAlign w:val="center"/>
                </w:tcPr>
                <w:p w14:paraId="0445F6B6">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hAnsi="宋体" w:cs="宋体"/>
                      <w:color w:val="auto"/>
                      <w:szCs w:val="21"/>
                      <w:lang w:bidi="ar"/>
                    </w:rPr>
                  </w:pPr>
                  <w:r>
                    <w:rPr>
                      <w:rFonts w:hint="eastAsia" w:hAnsi="宋体" w:cs="宋体"/>
                      <w:color w:val="auto"/>
                      <w:szCs w:val="21"/>
                      <w:lang w:bidi="ar"/>
                    </w:rPr>
                    <w:t>液态</w:t>
                  </w:r>
                </w:p>
              </w:tc>
              <w:tc>
                <w:tcPr>
                  <w:tcW w:w="507" w:type="pct"/>
                  <w:tcBorders>
                    <w:tl2br w:val="nil"/>
                    <w:tr2bl w:val="nil"/>
                  </w:tcBorders>
                  <w:shd w:val="clear" w:color="auto" w:fill="auto"/>
                  <w:vAlign w:val="center"/>
                </w:tcPr>
                <w:p w14:paraId="1FC870CE">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beforeAutospacing="0" w:afterAutospacing="0"/>
                    <w:ind w:firstLine="0"/>
                    <w:jc w:val="center"/>
                    <w:textAlignment w:val="baseline"/>
                    <w:rPr>
                      <w:rFonts w:cs="宋体"/>
                      <w:color w:val="auto"/>
                      <w:szCs w:val="21"/>
                      <w:lang w:bidi="ar"/>
                    </w:rPr>
                  </w:pPr>
                  <w:r>
                    <w:rPr>
                      <w:rFonts w:hint="eastAsia" w:cs="宋体"/>
                      <w:color w:val="auto"/>
                      <w:kern w:val="0"/>
                      <w:szCs w:val="21"/>
                      <w:lang w:bidi="ar"/>
                    </w:rPr>
                    <w:t>矿物油</w:t>
                  </w:r>
                </w:p>
              </w:tc>
              <w:tc>
                <w:tcPr>
                  <w:tcW w:w="491" w:type="pct"/>
                  <w:tcBorders>
                    <w:tl2br w:val="nil"/>
                    <w:tr2bl w:val="nil"/>
                  </w:tcBorders>
                  <w:shd w:val="clear" w:color="auto" w:fill="auto"/>
                  <w:vAlign w:val="center"/>
                </w:tcPr>
                <w:p w14:paraId="549C2074">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0.093</w:t>
                  </w:r>
                </w:p>
              </w:tc>
              <w:tc>
                <w:tcPr>
                  <w:tcW w:w="403" w:type="pct"/>
                  <w:tcBorders>
                    <w:tl2br w:val="nil"/>
                    <w:tr2bl w:val="nil"/>
                  </w:tcBorders>
                  <w:shd w:val="clear" w:color="auto" w:fill="auto"/>
                  <w:vAlign w:val="center"/>
                </w:tcPr>
                <w:p w14:paraId="57D7BBBE">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color w:val="auto"/>
                      <w:szCs w:val="21"/>
                      <w:lang w:bidi="ar"/>
                    </w:rPr>
                    <w:t>√</w:t>
                  </w:r>
                </w:p>
              </w:tc>
              <w:tc>
                <w:tcPr>
                  <w:tcW w:w="387" w:type="pct"/>
                  <w:tcBorders>
                    <w:tl2br w:val="nil"/>
                    <w:tr2bl w:val="nil"/>
                  </w:tcBorders>
                  <w:shd w:val="clear" w:color="auto" w:fill="auto"/>
                  <w:vAlign w:val="center"/>
                </w:tcPr>
                <w:p w14:paraId="5D9FA09A">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color w:val="auto"/>
                      <w:szCs w:val="21"/>
                      <w:lang w:bidi="ar"/>
                    </w:rPr>
                    <w:t>/</w:t>
                  </w:r>
                </w:p>
              </w:tc>
              <w:tc>
                <w:tcPr>
                  <w:tcW w:w="539" w:type="pct"/>
                  <w:vMerge w:val="continue"/>
                  <w:tcBorders>
                    <w:tl2br w:val="nil"/>
                    <w:tr2bl w:val="nil"/>
                  </w:tcBorders>
                  <w:shd w:val="clear" w:color="auto" w:fill="auto"/>
                  <w:vAlign w:val="center"/>
                </w:tcPr>
                <w:p w14:paraId="7A6BCAFF">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rPr>
                      <w:color w:val="auto"/>
                      <w:sz w:val="20"/>
                      <w:szCs w:val="20"/>
                    </w:rPr>
                  </w:pPr>
                </w:p>
              </w:tc>
            </w:tr>
            <w:tr w14:paraId="72A826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87" w:type="pct"/>
                  <w:tcBorders>
                    <w:tl2br w:val="nil"/>
                    <w:tr2bl w:val="nil"/>
                  </w:tcBorders>
                  <w:shd w:val="clear" w:color="auto" w:fill="auto"/>
                  <w:vAlign w:val="center"/>
                </w:tcPr>
                <w:p w14:paraId="61E1F680">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12</w:t>
                  </w:r>
                </w:p>
              </w:tc>
              <w:tc>
                <w:tcPr>
                  <w:tcW w:w="757" w:type="pct"/>
                  <w:tcBorders>
                    <w:tl2br w:val="nil"/>
                    <w:tr2bl w:val="nil"/>
                  </w:tcBorders>
                  <w:shd w:val="clear" w:color="auto" w:fill="auto"/>
                  <w:vAlign w:val="center"/>
                </w:tcPr>
                <w:p w14:paraId="3B11EF6A">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废过滤棉</w:t>
                  </w:r>
                </w:p>
              </w:tc>
              <w:tc>
                <w:tcPr>
                  <w:tcW w:w="1192" w:type="pct"/>
                  <w:tcBorders>
                    <w:tl2br w:val="nil"/>
                    <w:tr2bl w:val="nil"/>
                  </w:tcBorders>
                  <w:shd w:val="clear" w:color="auto" w:fill="auto"/>
                  <w:vAlign w:val="center"/>
                </w:tcPr>
                <w:p w14:paraId="37E9E4A0">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废气处理</w:t>
                  </w:r>
                </w:p>
              </w:tc>
              <w:tc>
                <w:tcPr>
                  <w:tcW w:w="435" w:type="pct"/>
                  <w:tcBorders>
                    <w:tl2br w:val="nil"/>
                    <w:tr2bl w:val="nil"/>
                  </w:tcBorders>
                  <w:shd w:val="clear" w:color="auto" w:fill="auto"/>
                  <w:vAlign w:val="center"/>
                </w:tcPr>
                <w:p w14:paraId="149597F3">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hAnsi="宋体" w:cs="宋体"/>
                      <w:color w:val="auto"/>
                      <w:szCs w:val="21"/>
                      <w:lang w:bidi="ar"/>
                    </w:rPr>
                  </w:pPr>
                  <w:r>
                    <w:rPr>
                      <w:rFonts w:hint="eastAsia" w:hAnsi="宋体" w:cs="宋体"/>
                      <w:color w:val="auto"/>
                      <w:szCs w:val="21"/>
                      <w:lang w:bidi="ar"/>
                    </w:rPr>
                    <w:t>固态</w:t>
                  </w:r>
                </w:p>
              </w:tc>
              <w:tc>
                <w:tcPr>
                  <w:tcW w:w="507" w:type="pct"/>
                  <w:tcBorders>
                    <w:tl2br w:val="nil"/>
                    <w:tr2bl w:val="nil"/>
                  </w:tcBorders>
                  <w:shd w:val="clear" w:color="auto" w:fill="auto"/>
                  <w:vAlign w:val="center"/>
                </w:tcPr>
                <w:p w14:paraId="3A09DBB4">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beforeAutospacing="0" w:afterAutospacing="0"/>
                    <w:ind w:firstLine="0"/>
                    <w:jc w:val="center"/>
                    <w:textAlignment w:val="baseline"/>
                    <w:rPr>
                      <w:rFonts w:cs="宋体"/>
                      <w:color w:val="auto"/>
                      <w:kern w:val="0"/>
                      <w:szCs w:val="21"/>
                      <w:lang w:bidi="ar"/>
                    </w:rPr>
                  </w:pPr>
                  <w:r>
                    <w:rPr>
                      <w:rFonts w:hint="eastAsia" w:cs="宋体"/>
                      <w:color w:val="auto"/>
                      <w:kern w:val="0"/>
                      <w:szCs w:val="21"/>
                      <w:lang w:bidi="ar"/>
                    </w:rPr>
                    <w:t>树脂</w:t>
                  </w:r>
                </w:p>
              </w:tc>
              <w:tc>
                <w:tcPr>
                  <w:tcW w:w="491" w:type="pct"/>
                  <w:tcBorders>
                    <w:tl2br w:val="nil"/>
                    <w:tr2bl w:val="nil"/>
                  </w:tcBorders>
                  <w:shd w:val="clear" w:color="auto" w:fill="auto"/>
                  <w:vAlign w:val="center"/>
                </w:tcPr>
                <w:p w14:paraId="4D532F72">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hint="eastAsia" w:eastAsia="宋体"/>
                      <w:color w:val="auto"/>
                      <w:szCs w:val="21"/>
                      <w:lang w:eastAsia="zh-CN" w:bidi="ar"/>
                    </w:rPr>
                  </w:pPr>
                  <w:r>
                    <w:rPr>
                      <w:rFonts w:hint="eastAsia"/>
                      <w:color w:val="auto"/>
                      <w:szCs w:val="21"/>
                      <w:lang w:eastAsia="zh-CN" w:bidi="ar"/>
                    </w:rPr>
                    <w:t>0.7591</w:t>
                  </w:r>
                </w:p>
              </w:tc>
              <w:tc>
                <w:tcPr>
                  <w:tcW w:w="403" w:type="pct"/>
                  <w:tcBorders>
                    <w:tl2br w:val="nil"/>
                    <w:tr2bl w:val="nil"/>
                  </w:tcBorders>
                  <w:shd w:val="clear" w:color="auto" w:fill="auto"/>
                  <w:vAlign w:val="center"/>
                </w:tcPr>
                <w:p w14:paraId="5FA25EB6">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color w:val="auto"/>
                      <w:szCs w:val="21"/>
                      <w:lang w:bidi="ar"/>
                    </w:rPr>
                    <w:t>√</w:t>
                  </w:r>
                </w:p>
              </w:tc>
              <w:tc>
                <w:tcPr>
                  <w:tcW w:w="387" w:type="pct"/>
                  <w:tcBorders>
                    <w:tl2br w:val="nil"/>
                    <w:tr2bl w:val="nil"/>
                  </w:tcBorders>
                  <w:shd w:val="clear" w:color="auto" w:fill="auto"/>
                  <w:vAlign w:val="center"/>
                </w:tcPr>
                <w:p w14:paraId="51EBF03F">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color w:val="auto"/>
                      <w:szCs w:val="21"/>
                      <w:lang w:bidi="ar"/>
                    </w:rPr>
                    <w:t>/</w:t>
                  </w:r>
                </w:p>
              </w:tc>
              <w:tc>
                <w:tcPr>
                  <w:tcW w:w="539" w:type="pct"/>
                  <w:vMerge w:val="continue"/>
                  <w:tcBorders>
                    <w:tl2br w:val="nil"/>
                    <w:tr2bl w:val="nil"/>
                  </w:tcBorders>
                  <w:shd w:val="clear" w:color="auto" w:fill="auto"/>
                  <w:vAlign w:val="center"/>
                </w:tcPr>
                <w:p w14:paraId="17B02AF4">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rPr>
                      <w:color w:val="auto"/>
                      <w:sz w:val="20"/>
                      <w:szCs w:val="20"/>
                    </w:rPr>
                  </w:pPr>
                </w:p>
              </w:tc>
            </w:tr>
            <w:tr w14:paraId="3D11A1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87" w:type="pct"/>
                  <w:tcBorders>
                    <w:tl2br w:val="nil"/>
                    <w:tr2bl w:val="nil"/>
                  </w:tcBorders>
                  <w:shd w:val="clear" w:color="auto" w:fill="auto"/>
                  <w:vAlign w:val="center"/>
                </w:tcPr>
                <w:p w14:paraId="5578B9FD">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13</w:t>
                  </w:r>
                </w:p>
              </w:tc>
              <w:tc>
                <w:tcPr>
                  <w:tcW w:w="757" w:type="pct"/>
                  <w:tcBorders>
                    <w:tl2br w:val="nil"/>
                    <w:tr2bl w:val="nil"/>
                  </w:tcBorders>
                  <w:shd w:val="clear" w:color="auto" w:fill="auto"/>
                  <w:vAlign w:val="center"/>
                </w:tcPr>
                <w:p w14:paraId="7207CCB3">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bCs/>
                      <w:color w:val="auto"/>
                      <w:szCs w:val="21"/>
                    </w:rPr>
                  </w:pPr>
                  <w:r>
                    <w:rPr>
                      <w:rFonts w:hint="eastAsia" w:hAnsi="宋体" w:cs="宋体"/>
                      <w:bCs/>
                      <w:color w:val="auto"/>
                      <w:szCs w:val="21"/>
                      <w:lang w:bidi="ar"/>
                    </w:rPr>
                    <w:t>生活垃圾</w:t>
                  </w:r>
                </w:p>
              </w:tc>
              <w:tc>
                <w:tcPr>
                  <w:tcW w:w="1192" w:type="pct"/>
                  <w:tcBorders>
                    <w:tl2br w:val="nil"/>
                    <w:tr2bl w:val="nil"/>
                  </w:tcBorders>
                  <w:shd w:val="clear" w:color="auto" w:fill="auto"/>
                  <w:vAlign w:val="center"/>
                </w:tcPr>
                <w:p w14:paraId="09AC6438">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s="宋体"/>
                      <w:color w:val="auto"/>
                      <w:szCs w:val="21"/>
                      <w:lang w:bidi="ar"/>
                    </w:rPr>
                    <w:t>职工生活</w:t>
                  </w:r>
                </w:p>
              </w:tc>
              <w:tc>
                <w:tcPr>
                  <w:tcW w:w="435" w:type="pct"/>
                  <w:tcBorders>
                    <w:tl2br w:val="nil"/>
                    <w:tr2bl w:val="nil"/>
                  </w:tcBorders>
                  <w:shd w:val="clear" w:color="auto" w:fill="auto"/>
                  <w:vAlign w:val="center"/>
                </w:tcPr>
                <w:p w14:paraId="3F35E988">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hAnsi="宋体" w:cs="宋体"/>
                      <w:color w:val="auto"/>
                      <w:szCs w:val="21"/>
                      <w:lang w:bidi="ar"/>
                    </w:rPr>
                    <w:t>固态</w:t>
                  </w:r>
                </w:p>
              </w:tc>
              <w:tc>
                <w:tcPr>
                  <w:tcW w:w="507" w:type="pct"/>
                  <w:tcBorders>
                    <w:tl2br w:val="nil"/>
                    <w:tr2bl w:val="nil"/>
                  </w:tcBorders>
                  <w:shd w:val="clear" w:color="auto" w:fill="auto"/>
                  <w:vAlign w:val="center"/>
                </w:tcPr>
                <w:p w14:paraId="48AE44DF">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beforeAutospacing="0" w:afterAutospacing="0"/>
                    <w:ind w:firstLine="0"/>
                    <w:jc w:val="center"/>
                    <w:textAlignment w:val="baseline"/>
                    <w:rPr>
                      <w:color w:val="auto"/>
                      <w:szCs w:val="21"/>
                    </w:rPr>
                  </w:pPr>
                  <w:r>
                    <w:rPr>
                      <w:rFonts w:hint="eastAsia" w:cs="宋体"/>
                      <w:color w:val="auto"/>
                      <w:kern w:val="0"/>
                      <w:szCs w:val="21"/>
                      <w:lang w:bidi="ar"/>
                    </w:rPr>
                    <w:t>瓜皮果屑</w:t>
                  </w:r>
                </w:p>
              </w:tc>
              <w:tc>
                <w:tcPr>
                  <w:tcW w:w="491" w:type="pct"/>
                  <w:tcBorders>
                    <w:tl2br w:val="nil"/>
                    <w:tr2bl w:val="nil"/>
                  </w:tcBorders>
                  <w:shd w:val="clear" w:color="auto" w:fill="auto"/>
                  <w:vAlign w:val="center"/>
                </w:tcPr>
                <w:p w14:paraId="29961E05">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15</w:t>
                  </w:r>
                </w:p>
              </w:tc>
              <w:tc>
                <w:tcPr>
                  <w:tcW w:w="403" w:type="pct"/>
                  <w:tcBorders>
                    <w:tl2br w:val="nil"/>
                    <w:tr2bl w:val="nil"/>
                  </w:tcBorders>
                  <w:shd w:val="clear" w:color="auto" w:fill="auto"/>
                  <w:vAlign w:val="center"/>
                </w:tcPr>
                <w:p w14:paraId="571D09A8">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rPr>
                  </w:pPr>
                  <w:r>
                    <w:rPr>
                      <w:color w:val="auto"/>
                      <w:szCs w:val="21"/>
                      <w:lang w:bidi="ar"/>
                    </w:rPr>
                    <w:t>√</w:t>
                  </w:r>
                </w:p>
              </w:tc>
              <w:tc>
                <w:tcPr>
                  <w:tcW w:w="387" w:type="pct"/>
                  <w:tcBorders>
                    <w:tl2br w:val="nil"/>
                    <w:tr2bl w:val="nil"/>
                  </w:tcBorders>
                  <w:shd w:val="clear" w:color="auto" w:fill="auto"/>
                  <w:vAlign w:val="center"/>
                </w:tcPr>
                <w:p w14:paraId="7B3B5263">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rPr>
                  </w:pPr>
                  <w:r>
                    <w:rPr>
                      <w:color w:val="auto"/>
                      <w:szCs w:val="21"/>
                      <w:lang w:bidi="ar"/>
                    </w:rPr>
                    <w:t>/</w:t>
                  </w:r>
                </w:p>
              </w:tc>
              <w:tc>
                <w:tcPr>
                  <w:tcW w:w="539" w:type="pct"/>
                  <w:vMerge w:val="continue"/>
                  <w:tcBorders>
                    <w:tl2br w:val="nil"/>
                    <w:tr2bl w:val="nil"/>
                  </w:tcBorders>
                  <w:shd w:val="clear" w:color="auto" w:fill="auto"/>
                  <w:vAlign w:val="center"/>
                </w:tcPr>
                <w:p w14:paraId="3BA6EAC0">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rPr>
                      <w:color w:val="auto"/>
                      <w:sz w:val="20"/>
                      <w:szCs w:val="20"/>
                    </w:rPr>
                  </w:pPr>
                </w:p>
              </w:tc>
            </w:tr>
            <w:tr w14:paraId="137D46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87" w:type="pct"/>
                  <w:tcBorders>
                    <w:tl2br w:val="nil"/>
                    <w:tr2bl w:val="nil"/>
                  </w:tcBorders>
                  <w:shd w:val="clear" w:color="auto" w:fill="auto"/>
                  <w:vAlign w:val="center"/>
                </w:tcPr>
                <w:p w14:paraId="49CC1227">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14</w:t>
                  </w:r>
                </w:p>
              </w:tc>
              <w:tc>
                <w:tcPr>
                  <w:tcW w:w="757" w:type="pct"/>
                  <w:tcBorders>
                    <w:tl2br w:val="nil"/>
                    <w:tr2bl w:val="nil"/>
                  </w:tcBorders>
                  <w:shd w:val="clear" w:color="auto" w:fill="auto"/>
                  <w:vAlign w:val="center"/>
                </w:tcPr>
                <w:p w14:paraId="3EA22AEC">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hAnsi="宋体"/>
                      <w:bCs/>
                      <w:color w:val="auto"/>
                      <w:szCs w:val="21"/>
                    </w:rPr>
                  </w:pPr>
                  <w:r>
                    <w:rPr>
                      <w:rFonts w:hint="eastAsia" w:hAnsi="宋体" w:cs="宋体"/>
                      <w:bCs/>
                      <w:color w:val="auto"/>
                      <w:szCs w:val="21"/>
                      <w:lang w:bidi="ar"/>
                    </w:rPr>
                    <w:t>化粪池污泥</w:t>
                  </w:r>
                </w:p>
              </w:tc>
              <w:tc>
                <w:tcPr>
                  <w:tcW w:w="1192" w:type="pct"/>
                  <w:tcBorders>
                    <w:tl2br w:val="nil"/>
                    <w:tr2bl w:val="nil"/>
                  </w:tcBorders>
                  <w:shd w:val="clear" w:color="auto" w:fill="auto"/>
                  <w:vAlign w:val="center"/>
                </w:tcPr>
                <w:p w14:paraId="121BDFE1">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hAnsi="宋体"/>
                      <w:color w:val="auto"/>
                      <w:szCs w:val="21"/>
                    </w:rPr>
                  </w:pPr>
                  <w:r>
                    <w:rPr>
                      <w:rFonts w:hint="eastAsia" w:cs="宋体"/>
                      <w:color w:val="auto"/>
                      <w:szCs w:val="21"/>
                      <w:lang w:bidi="ar"/>
                    </w:rPr>
                    <w:t>职工生活</w:t>
                  </w:r>
                </w:p>
              </w:tc>
              <w:tc>
                <w:tcPr>
                  <w:tcW w:w="435" w:type="pct"/>
                  <w:tcBorders>
                    <w:tl2br w:val="nil"/>
                    <w:tr2bl w:val="nil"/>
                  </w:tcBorders>
                  <w:shd w:val="clear" w:color="auto" w:fill="auto"/>
                  <w:vAlign w:val="center"/>
                </w:tcPr>
                <w:p w14:paraId="3FC83D2F">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hint="eastAsia" w:hAnsi="宋体" w:eastAsia="宋体"/>
                      <w:color w:val="auto"/>
                      <w:szCs w:val="21"/>
                      <w:lang w:eastAsia="zh-CN"/>
                    </w:rPr>
                  </w:pPr>
                  <w:r>
                    <w:rPr>
                      <w:rFonts w:hint="eastAsia" w:hAnsi="宋体" w:cs="宋体"/>
                      <w:color w:val="auto"/>
                      <w:szCs w:val="21"/>
                      <w:lang w:eastAsia="zh-CN" w:bidi="ar"/>
                    </w:rPr>
                    <w:t>半固</w:t>
                  </w:r>
                </w:p>
              </w:tc>
              <w:tc>
                <w:tcPr>
                  <w:tcW w:w="507" w:type="pct"/>
                  <w:tcBorders>
                    <w:tl2br w:val="nil"/>
                    <w:tr2bl w:val="nil"/>
                  </w:tcBorders>
                  <w:shd w:val="clear" w:color="auto" w:fill="auto"/>
                  <w:vAlign w:val="center"/>
                </w:tcPr>
                <w:p w14:paraId="5AA31936">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beforeAutospacing="0" w:afterAutospacing="0"/>
                    <w:ind w:firstLine="0"/>
                    <w:jc w:val="center"/>
                    <w:textAlignment w:val="baseline"/>
                    <w:rPr>
                      <w:rFonts w:hAnsi="宋体"/>
                      <w:color w:val="auto"/>
                      <w:szCs w:val="21"/>
                    </w:rPr>
                  </w:pPr>
                  <w:r>
                    <w:rPr>
                      <w:rFonts w:hint="eastAsia" w:cs="宋体"/>
                      <w:color w:val="auto"/>
                      <w:kern w:val="0"/>
                      <w:szCs w:val="21"/>
                      <w:lang w:bidi="ar"/>
                    </w:rPr>
                    <w:t>污泥</w:t>
                  </w:r>
                </w:p>
              </w:tc>
              <w:tc>
                <w:tcPr>
                  <w:tcW w:w="491" w:type="pct"/>
                  <w:tcBorders>
                    <w:tl2br w:val="nil"/>
                    <w:tr2bl w:val="nil"/>
                  </w:tcBorders>
                  <w:shd w:val="clear" w:color="auto" w:fill="auto"/>
                  <w:vAlign w:val="center"/>
                </w:tcPr>
                <w:p w14:paraId="7A0E88F4">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hint="default" w:eastAsia="宋体"/>
                      <w:color w:val="auto"/>
                      <w:szCs w:val="21"/>
                      <w:lang w:val="en-US" w:eastAsia="zh-CN"/>
                    </w:rPr>
                  </w:pPr>
                  <w:r>
                    <w:rPr>
                      <w:rFonts w:hint="eastAsia"/>
                      <w:color w:val="auto"/>
                      <w:szCs w:val="21"/>
                      <w:lang w:val="en-US" w:eastAsia="zh-CN"/>
                    </w:rPr>
                    <w:t>11.4</w:t>
                  </w:r>
                </w:p>
              </w:tc>
              <w:tc>
                <w:tcPr>
                  <w:tcW w:w="403" w:type="pct"/>
                  <w:tcBorders>
                    <w:tl2br w:val="nil"/>
                    <w:tr2bl w:val="nil"/>
                  </w:tcBorders>
                  <w:shd w:val="clear" w:color="auto" w:fill="auto"/>
                  <w:vAlign w:val="center"/>
                </w:tcPr>
                <w:p w14:paraId="2F0875D4">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rPr>
                  </w:pPr>
                  <w:r>
                    <w:rPr>
                      <w:color w:val="auto"/>
                      <w:szCs w:val="21"/>
                      <w:lang w:bidi="ar"/>
                    </w:rPr>
                    <w:t>√</w:t>
                  </w:r>
                </w:p>
              </w:tc>
              <w:tc>
                <w:tcPr>
                  <w:tcW w:w="387" w:type="pct"/>
                  <w:tcBorders>
                    <w:tl2br w:val="nil"/>
                    <w:tr2bl w:val="nil"/>
                  </w:tcBorders>
                  <w:shd w:val="clear" w:color="auto" w:fill="auto"/>
                  <w:vAlign w:val="center"/>
                </w:tcPr>
                <w:p w14:paraId="2FB3EAFA">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color w:val="auto"/>
                      <w:szCs w:val="21"/>
                    </w:rPr>
                  </w:pPr>
                  <w:r>
                    <w:rPr>
                      <w:color w:val="auto"/>
                      <w:szCs w:val="21"/>
                      <w:lang w:bidi="ar"/>
                    </w:rPr>
                    <w:t>/</w:t>
                  </w:r>
                </w:p>
              </w:tc>
              <w:tc>
                <w:tcPr>
                  <w:tcW w:w="539" w:type="pct"/>
                  <w:vMerge w:val="continue"/>
                  <w:tcBorders>
                    <w:tl2br w:val="nil"/>
                    <w:tr2bl w:val="nil"/>
                  </w:tcBorders>
                  <w:shd w:val="clear" w:color="auto" w:fill="auto"/>
                  <w:vAlign w:val="center"/>
                </w:tcPr>
                <w:p w14:paraId="6B3B92AE">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rPr>
                      <w:color w:val="auto"/>
                      <w:sz w:val="20"/>
                      <w:szCs w:val="20"/>
                    </w:rPr>
                  </w:pPr>
                </w:p>
              </w:tc>
            </w:tr>
            <w:tr w14:paraId="5F8136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73" w:hRule="atLeast"/>
                <w:jc w:val="center"/>
              </w:trPr>
              <w:tc>
                <w:tcPr>
                  <w:tcW w:w="287" w:type="pct"/>
                  <w:tcBorders>
                    <w:tl2br w:val="nil"/>
                    <w:tr2bl w:val="nil"/>
                  </w:tcBorders>
                  <w:shd w:val="clear" w:color="auto" w:fill="auto"/>
                  <w:vAlign w:val="center"/>
                </w:tcPr>
                <w:p w14:paraId="6445D8E4">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hint="default" w:eastAsia="宋体"/>
                      <w:color w:val="auto"/>
                      <w:szCs w:val="21"/>
                      <w:lang w:val="en-US" w:eastAsia="zh-CN" w:bidi="ar"/>
                    </w:rPr>
                  </w:pPr>
                  <w:r>
                    <w:rPr>
                      <w:rFonts w:hint="eastAsia"/>
                      <w:color w:val="auto"/>
                      <w:szCs w:val="21"/>
                      <w:lang w:val="en-US" w:eastAsia="zh-CN" w:bidi="ar"/>
                    </w:rPr>
                    <w:t>15</w:t>
                  </w:r>
                </w:p>
              </w:tc>
              <w:tc>
                <w:tcPr>
                  <w:tcW w:w="757" w:type="pct"/>
                  <w:tcBorders>
                    <w:tl2br w:val="nil"/>
                    <w:tr2bl w:val="nil"/>
                  </w:tcBorders>
                  <w:shd w:val="clear" w:color="auto" w:fill="auto"/>
                  <w:vAlign w:val="center"/>
                </w:tcPr>
                <w:p w14:paraId="26BC8E75">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hint="eastAsia" w:hAnsi="宋体" w:eastAsia="宋体" w:cs="宋体"/>
                      <w:bCs/>
                      <w:color w:val="auto"/>
                      <w:szCs w:val="21"/>
                      <w:lang w:eastAsia="zh-CN" w:bidi="ar"/>
                    </w:rPr>
                  </w:pPr>
                  <w:r>
                    <w:rPr>
                      <w:rFonts w:hint="eastAsia" w:hAnsi="宋体" w:cs="宋体"/>
                      <w:bCs/>
                      <w:color w:val="auto"/>
                      <w:szCs w:val="21"/>
                      <w:lang w:eastAsia="zh-CN" w:bidi="ar"/>
                    </w:rPr>
                    <w:t>厨余垃圾</w:t>
                  </w:r>
                </w:p>
              </w:tc>
              <w:tc>
                <w:tcPr>
                  <w:tcW w:w="1192" w:type="pct"/>
                  <w:tcBorders>
                    <w:tl2br w:val="nil"/>
                    <w:tr2bl w:val="nil"/>
                  </w:tcBorders>
                  <w:shd w:val="clear" w:color="auto" w:fill="auto"/>
                  <w:vAlign w:val="center"/>
                </w:tcPr>
                <w:p w14:paraId="5492690E">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hint="eastAsia" w:eastAsia="宋体" w:cs="宋体"/>
                      <w:color w:val="auto"/>
                      <w:szCs w:val="21"/>
                      <w:lang w:eastAsia="zh-CN" w:bidi="ar"/>
                    </w:rPr>
                  </w:pPr>
                  <w:r>
                    <w:rPr>
                      <w:rFonts w:hint="eastAsia" w:cs="宋体"/>
                      <w:color w:val="auto"/>
                      <w:szCs w:val="21"/>
                      <w:lang w:eastAsia="zh-CN" w:bidi="ar"/>
                    </w:rPr>
                    <w:t>食堂</w:t>
                  </w:r>
                </w:p>
              </w:tc>
              <w:tc>
                <w:tcPr>
                  <w:tcW w:w="435" w:type="pct"/>
                  <w:tcBorders>
                    <w:tl2br w:val="nil"/>
                    <w:tr2bl w:val="nil"/>
                  </w:tcBorders>
                  <w:shd w:val="clear" w:color="auto" w:fill="auto"/>
                  <w:vAlign w:val="center"/>
                </w:tcPr>
                <w:p w14:paraId="2C2DF950">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hint="eastAsia" w:hAnsi="宋体" w:eastAsia="宋体" w:cs="宋体"/>
                      <w:color w:val="auto"/>
                      <w:szCs w:val="21"/>
                      <w:lang w:eastAsia="zh-CN" w:bidi="ar"/>
                    </w:rPr>
                  </w:pPr>
                  <w:r>
                    <w:rPr>
                      <w:rFonts w:hint="eastAsia" w:hAnsi="宋体" w:cs="宋体"/>
                      <w:color w:val="auto"/>
                      <w:szCs w:val="21"/>
                      <w:lang w:eastAsia="zh-CN" w:bidi="ar"/>
                    </w:rPr>
                    <w:t>固态</w:t>
                  </w:r>
                </w:p>
              </w:tc>
              <w:tc>
                <w:tcPr>
                  <w:tcW w:w="507" w:type="pct"/>
                  <w:tcBorders>
                    <w:tl2br w:val="nil"/>
                    <w:tr2bl w:val="nil"/>
                  </w:tcBorders>
                  <w:shd w:val="clear" w:color="auto" w:fill="auto"/>
                  <w:vAlign w:val="center"/>
                </w:tcPr>
                <w:p w14:paraId="6B905F45">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beforeAutospacing="0" w:afterAutospacing="0"/>
                    <w:ind w:firstLine="0"/>
                    <w:jc w:val="center"/>
                    <w:textAlignment w:val="baseline"/>
                    <w:rPr>
                      <w:rFonts w:hint="eastAsia" w:eastAsia="宋体" w:cs="宋体"/>
                      <w:color w:val="auto"/>
                      <w:kern w:val="0"/>
                      <w:szCs w:val="21"/>
                      <w:lang w:eastAsia="zh-CN" w:bidi="ar"/>
                    </w:rPr>
                  </w:pPr>
                  <w:r>
                    <w:rPr>
                      <w:rFonts w:hint="eastAsia" w:cs="宋体"/>
                      <w:color w:val="auto"/>
                      <w:kern w:val="0"/>
                      <w:szCs w:val="21"/>
                      <w:lang w:eastAsia="zh-CN" w:bidi="ar"/>
                    </w:rPr>
                    <w:t>残羹剩饭</w:t>
                  </w:r>
                </w:p>
              </w:tc>
              <w:tc>
                <w:tcPr>
                  <w:tcW w:w="491" w:type="pct"/>
                  <w:tcBorders>
                    <w:tl2br w:val="nil"/>
                    <w:tr2bl w:val="nil"/>
                  </w:tcBorders>
                  <w:shd w:val="clear" w:color="auto" w:fill="auto"/>
                  <w:vAlign w:val="center"/>
                </w:tcPr>
                <w:p w14:paraId="3D1AEE5E">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hint="default" w:eastAsia="宋体"/>
                      <w:color w:val="auto"/>
                      <w:szCs w:val="21"/>
                      <w:lang w:val="en-US" w:eastAsia="zh-CN"/>
                    </w:rPr>
                  </w:pPr>
                  <w:r>
                    <w:rPr>
                      <w:rFonts w:hint="eastAsia"/>
                      <w:color w:val="auto"/>
                      <w:szCs w:val="21"/>
                      <w:lang w:val="en-US" w:eastAsia="zh-CN"/>
                    </w:rPr>
                    <w:t>3.3</w:t>
                  </w:r>
                </w:p>
              </w:tc>
              <w:tc>
                <w:tcPr>
                  <w:tcW w:w="403" w:type="pct"/>
                  <w:tcBorders>
                    <w:tl2br w:val="nil"/>
                    <w:tr2bl w:val="nil"/>
                  </w:tcBorders>
                  <w:shd w:val="clear" w:color="auto" w:fill="auto"/>
                  <w:vAlign w:val="center"/>
                </w:tcPr>
                <w:p w14:paraId="79CD8BD5">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firstLineChars="0"/>
                    <w:jc w:val="center"/>
                    <w:rPr>
                      <w:rFonts w:ascii="Times New Roman" w:hAnsi="Times New Roman" w:eastAsia="宋体" w:cs="Times New Roman"/>
                      <w:color w:val="auto"/>
                      <w:kern w:val="2"/>
                      <w:sz w:val="21"/>
                      <w:szCs w:val="21"/>
                      <w:lang w:val="en-US" w:eastAsia="zh-CN" w:bidi="ar-SA"/>
                    </w:rPr>
                  </w:pPr>
                  <w:r>
                    <w:rPr>
                      <w:color w:val="auto"/>
                      <w:szCs w:val="21"/>
                      <w:lang w:bidi="ar"/>
                    </w:rPr>
                    <w:t>√</w:t>
                  </w:r>
                </w:p>
              </w:tc>
              <w:tc>
                <w:tcPr>
                  <w:tcW w:w="387" w:type="pct"/>
                  <w:tcBorders>
                    <w:tl2br w:val="nil"/>
                    <w:tr2bl w:val="nil"/>
                  </w:tcBorders>
                  <w:shd w:val="clear" w:color="auto" w:fill="auto"/>
                  <w:vAlign w:val="center"/>
                </w:tcPr>
                <w:p w14:paraId="600CC2AF">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firstLineChars="0"/>
                    <w:jc w:val="center"/>
                    <w:rPr>
                      <w:rFonts w:ascii="Times New Roman" w:hAnsi="Times New Roman" w:eastAsia="宋体" w:cs="Times New Roman"/>
                      <w:color w:val="auto"/>
                      <w:kern w:val="2"/>
                      <w:sz w:val="21"/>
                      <w:szCs w:val="21"/>
                      <w:lang w:val="en-US" w:eastAsia="zh-CN" w:bidi="ar-SA"/>
                    </w:rPr>
                  </w:pPr>
                  <w:r>
                    <w:rPr>
                      <w:color w:val="auto"/>
                      <w:szCs w:val="21"/>
                      <w:lang w:bidi="ar"/>
                    </w:rPr>
                    <w:t>/</w:t>
                  </w:r>
                </w:p>
              </w:tc>
              <w:tc>
                <w:tcPr>
                  <w:tcW w:w="539" w:type="pct"/>
                  <w:vMerge w:val="continue"/>
                  <w:tcBorders>
                    <w:tl2br w:val="nil"/>
                    <w:tr2bl w:val="nil"/>
                  </w:tcBorders>
                  <w:shd w:val="clear" w:color="auto" w:fill="auto"/>
                  <w:vAlign w:val="center"/>
                </w:tcPr>
                <w:p w14:paraId="1047E36F">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rPr>
                      <w:color w:val="auto"/>
                      <w:sz w:val="20"/>
                      <w:szCs w:val="20"/>
                    </w:rPr>
                  </w:pPr>
                </w:p>
              </w:tc>
            </w:tr>
            <w:tr w14:paraId="6FEC74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87" w:type="pct"/>
                  <w:tcBorders>
                    <w:tl2br w:val="nil"/>
                    <w:tr2bl w:val="nil"/>
                  </w:tcBorders>
                  <w:shd w:val="clear" w:color="auto" w:fill="auto"/>
                  <w:vAlign w:val="center"/>
                </w:tcPr>
                <w:p w14:paraId="33A4A08D">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hint="default"/>
                      <w:color w:val="auto"/>
                      <w:szCs w:val="21"/>
                      <w:lang w:val="en-US" w:eastAsia="zh-CN" w:bidi="ar"/>
                    </w:rPr>
                  </w:pPr>
                  <w:r>
                    <w:rPr>
                      <w:rFonts w:hint="eastAsia"/>
                      <w:color w:val="auto"/>
                      <w:szCs w:val="21"/>
                      <w:lang w:val="en-US" w:eastAsia="zh-CN" w:bidi="ar"/>
                    </w:rPr>
                    <w:t>16</w:t>
                  </w:r>
                </w:p>
              </w:tc>
              <w:tc>
                <w:tcPr>
                  <w:tcW w:w="757" w:type="pct"/>
                  <w:tcBorders>
                    <w:tl2br w:val="nil"/>
                    <w:tr2bl w:val="nil"/>
                  </w:tcBorders>
                  <w:shd w:val="clear" w:color="auto" w:fill="auto"/>
                  <w:vAlign w:val="center"/>
                </w:tcPr>
                <w:p w14:paraId="72A83BC0">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hint="eastAsia" w:hAnsi="宋体" w:cs="宋体"/>
                      <w:bCs/>
                      <w:color w:val="auto"/>
                      <w:szCs w:val="21"/>
                      <w:lang w:eastAsia="zh-CN" w:bidi="ar"/>
                    </w:rPr>
                  </w:pPr>
                  <w:r>
                    <w:rPr>
                      <w:rFonts w:hint="eastAsia" w:hAnsi="宋体" w:cs="宋体"/>
                      <w:bCs/>
                      <w:color w:val="auto"/>
                      <w:szCs w:val="21"/>
                      <w:lang w:eastAsia="zh-CN" w:bidi="ar"/>
                    </w:rPr>
                    <w:t>隔油池废油</w:t>
                  </w:r>
                </w:p>
              </w:tc>
              <w:tc>
                <w:tcPr>
                  <w:tcW w:w="1192" w:type="pct"/>
                  <w:tcBorders>
                    <w:tl2br w:val="nil"/>
                    <w:tr2bl w:val="nil"/>
                  </w:tcBorders>
                  <w:shd w:val="clear" w:color="auto" w:fill="auto"/>
                  <w:vAlign w:val="center"/>
                </w:tcPr>
                <w:p w14:paraId="5C378C47">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hint="eastAsia" w:cs="宋体"/>
                      <w:color w:val="auto"/>
                      <w:szCs w:val="21"/>
                      <w:lang w:eastAsia="zh-CN" w:bidi="ar"/>
                    </w:rPr>
                  </w:pPr>
                  <w:r>
                    <w:rPr>
                      <w:rFonts w:hint="eastAsia" w:cs="宋体"/>
                      <w:color w:val="auto"/>
                      <w:szCs w:val="21"/>
                      <w:lang w:eastAsia="zh-CN" w:bidi="ar"/>
                    </w:rPr>
                    <w:t>隔油池</w:t>
                  </w:r>
                </w:p>
              </w:tc>
              <w:tc>
                <w:tcPr>
                  <w:tcW w:w="435" w:type="pct"/>
                  <w:tcBorders>
                    <w:tl2br w:val="nil"/>
                    <w:tr2bl w:val="nil"/>
                  </w:tcBorders>
                  <w:shd w:val="clear" w:color="auto" w:fill="auto"/>
                  <w:vAlign w:val="center"/>
                </w:tcPr>
                <w:p w14:paraId="3A3ABB62">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hint="eastAsia" w:hAnsi="宋体" w:cs="宋体"/>
                      <w:color w:val="auto"/>
                      <w:szCs w:val="21"/>
                      <w:lang w:eastAsia="zh-CN" w:bidi="ar"/>
                    </w:rPr>
                  </w:pPr>
                  <w:r>
                    <w:rPr>
                      <w:rFonts w:hint="eastAsia" w:hAnsi="宋体" w:cs="宋体"/>
                      <w:color w:val="auto"/>
                      <w:szCs w:val="21"/>
                      <w:lang w:eastAsia="zh-CN" w:bidi="ar"/>
                    </w:rPr>
                    <w:t>半固</w:t>
                  </w:r>
                </w:p>
              </w:tc>
              <w:tc>
                <w:tcPr>
                  <w:tcW w:w="507" w:type="pct"/>
                  <w:tcBorders>
                    <w:tl2br w:val="nil"/>
                    <w:tr2bl w:val="nil"/>
                  </w:tcBorders>
                  <w:shd w:val="clear" w:color="auto" w:fill="auto"/>
                  <w:vAlign w:val="center"/>
                </w:tcPr>
                <w:p w14:paraId="581CF0F3">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beforeAutospacing="0" w:afterAutospacing="0"/>
                    <w:ind w:firstLine="0"/>
                    <w:jc w:val="center"/>
                    <w:textAlignment w:val="baseline"/>
                    <w:rPr>
                      <w:rFonts w:hint="eastAsia" w:cs="宋体"/>
                      <w:color w:val="auto"/>
                      <w:kern w:val="0"/>
                      <w:szCs w:val="21"/>
                      <w:lang w:eastAsia="zh-CN" w:bidi="ar"/>
                    </w:rPr>
                  </w:pPr>
                  <w:r>
                    <w:rPr>
                      <w:rFonts w:hint="eastAsia" w:cs="宋体"/>
                      <w:color w:val="auto"/>
                      <w:kern w:val="0"/>
                      <w:szCs w:val="21"/>
                      <w:lang w:eastAsia="zh-CN" w:bidi="ar"/>
                    </w:rPr>
                    <w:t>动植物油</w:t>
                  </w:r>
                </w:p>
              </w:tc>
              <w:tc>
                <w:tcPr>
                  <w:tcW w:w="491" w:type="pct"/>
                  <w:tcBorders>
                    <w:tl2br w:val="nil"/>
                    <w:tr2bl w:val="nil"/>
                  </w:tcBorders>
                  <w:shd w:val="clear" w:color="auto" w:fill="auto"/>
                  <w:vAlign w:val="center"/>
                </w:tcPr>
                <w:p w14:paraId="67F26CB3">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rPr>
                      <w:rFonts w:hint="default"/>
                      <w:color w:val="auto"/>
                      <w:szCs w:val="21"/>
                      <w:lang w:val="en-US" w:eastAsia="zh-CN"/>
                    </w:rPr>
                  </w:pPr>
                  <w:r>
                    <w:rPr>
                      <w:rFonts w:hint="eastAsia"/>
                      <w:color w:val="auto"/>
                      <w:szCs w:val="21"/>
                      <w:lang w:val="en-US" w:eastAsia="zh-CN"/>
                    </w:rPr>
                    <w:t>0.144</w:t>
                  </w:r>
                </w:p>
              </w:tc>
              <w:tc>
                <w:tcPr>
                  <w:tcW w:w="403" w:type="pct"/>
                  <w:tcBorders>
                    <w:tl2br w:val="nil"/>
                    <w:tr2bl w:val="nil"/>
                  </w:tcBorders>
                  <w:shd w:val="clear" w:color="auto" w:fill="auto"/>
                  <w:vAlign w:val="center"/>
                </w:tcPr>
                <w:p w14:paraId="3D9415D6">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firstLineChars="0"/>
                    <w:jc w:val="center"/>
                    <w:rPr>
                      <w:rFonts w:ascii="Times New Roman" w:hAnsi="Times New Roman" w:eastAsia="宋体" w:cs="Times New Roman"/>
                      <w:color w:val="auto"/>
                      <w:kern w:val="2"/>
                      <w:sz w:val="21"/>
                      <w:szCs w:val="21"/>
                      <w:lang w:val="en-US" w:eastAsia="zh-CN" w:bidi="ar-SA"/>
                    </w:rPr>
                  </w:pPr>
                  <w:r>
                    <w:rPr>
                      <w:color w:val="auto"/>
                      <w:szCs w:val="21"/>
                      <w:lang w:bidi="ar"/>
                    </w:rPr>
                    <w:t>√</w:t>
                  </w:r>
                </w:p>
              </w:tc>
              <w:tc>
                <w:tcPr>
                  <w:tcW w:w="387" w:type="pct"/>
                  <w:tcBorders>
                    <w:tl2br w:val="nil"/>
                    <w:tr2bl w:val="nil"/>
                  </w:tcBorders>
                  <w:shd w:val="clear" w:color="auto" w:fill="auto"/>
                  <w:vAlign w:val="center"/>
                </w:tcPr>
                <w:p w14:paraId="6F50A89A">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firstLineChars="0"/>
                    <w:jc w:val="center"/>
                    <w:rPr>
                      <w:rFonts w:ascii="Times New Roman" w:hAnsi="Times New Roman" w:eastAsia="宋体" w:cs="Times New Roman"/>
                      <w:color w:val="auto"/>
                      <w:kern w:val="2"/>
                      <w:sz w:val="21"/>
                      <w:szCs w:val="21"/>
                      <w:lang w:val="en-US" w:eastAsia="zh-CN" w:bidi="ar-SA"/>
                    </w:rPr>
                  </w:pPr>
                  <w:r>
                    <w:rPr>
                      <w:color w:val="auto"/>
                      <w:szCs w:val="21"/>
                      <w:lang w:bidi="ar"/>
                    </w:rPr>
                    <w:t>/</w:t>
                  </w:r>
                </w:p>
              </w:tc>
              <w:tc>
                <w:tcPr>
                  <w:tcW w:w="539" w:type="pct"/>
                  <w:vMerge w:val="continue"/>
                  <w:tcBorders>
                    <w:tl2br w:val="nil"/>
                    <w:tr2bl w:val="nil"/>
                  </w:tcBorders>
                  <w:shd w:val="clear" w:color="auto" w:fill="auto"/>
                  <w:vAlign w:val="center"/>
                </w:tcPr>
                <w:p w14:paraId="4398CE24">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rPr>
                      <w:color w:val="auto"/>
                      <w:sz w:val="20"/>
                      <w:szCs w:val="20"/>
                    </w:rPr>
                  </w:pPr>
                </w:p>
              </w:tc>
            </w:tr>
          </w:tbl>
          <w:p w14:paraId="74231222">
            <w:pPr>
              <w:adjustRightInd w:val="0"/>
              <w:snapToGrid w:val="0"/>
              <w:spacing w:before="120" w:beforeLines="50"/>
              <w:ind w:firstLine="482"/>
              <w:jc w:val="center"/>
              <w:rPr>
                <w:b/>
                <w:color w:val="auto"/>
                <w:sz w:val="24"/>
              </w:rPr>
            </w:pPr>
            <w:r>
              <w:rPr>
                <w:rFonts w:hint="eastAsia" w:hAnsi="宋体" w:cs="宋体"/>
                <w:b/>
                <w:color w:val="auto"/>
                <w:sz w:val="24"/>
                <w:lang w:bidi="ar"/>
              </w:rPr>
              <w:t>表</w:t>
            </w:r>
            <w:r>
              <w:rPr>
                <w:b/>
                <w:color w:val="auto"/>
                <w:sz w:val="24"/>
                <w:lang w:bidi="ar"/>
              </w:rPr>
              <w:t>4-</w:t>
            </w:r>
            <w:r>
              <w:rPr>
                <w:rFonts w:hint="eastAsia"/>
                <w:b/>
                <w:color w:val="auto"/>
                <w:sz w:val="24"/>
                <w:lang w:bidi="ar"/>
              </w:rPr>
              <w:t>2</w:t>
            </w:r>
            <w:r>
              <w:rPr>
                <w:rFonts w:hint="eastAsia"/>
                <w:b/>
                <w:color w:val="auto"/>
                <w:sz w:val="24"/>
                <w:lang w:val="en-US" w:eastAsia="zh-CN" w:bidi="ar"/>
              </w:rPr>
              <w:t>1</w:t>
            </w:r>
            <w:r>
              <w:rPr>
                <w:rFonts w:hint="eastAsia" w:hAnsi="宋体" w:cs="宋体"/>
                <w:b/>
                <w:color w:val="auto"/>
                <w:sz w:val="24"/>
                <w:lang w:bidi="ar"/>
              </w:rPr>
              <w:t>本项目固体废物产生及处置情况汇总表</w:t>
            </w:r>
            <w:r>
              <w:rPr>
                <w:b/>
                <w:color w:val="auto"/>
                <w:sz w:val="24"/>
                <w:lang w:bidi="ar"/>
              </w:rPr>
              <w:t xml:space="preserve"> </w:t>
            </w:r>
            <w:r>
              <w:rPr>
                <w:rFonts w:hint="eastAsia" w:hAnsi="宋体" w:cs="宋体"/>
                <w:color w:val="auto"/>
                <w:sz w:val="24"/>
                <w:lang w:bidi="ar"/>
              </w:rPr>
              <w:t>单位：</w:t>
            </w:r>
            <w:r>
              <w:rPr>
                <w:color w:val="auto"/>
                <w:sz w:val="24"/>
                <w:lang w:bidi="ar"/>
              </w:rPr>
              <w:t>t/a</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38"/>
              <w:gridCol w:w="1129"/>
              <w:gridCol w:w="778"/>
              <w:gridCol w:w="1132"/>
              <w:gridCol w:w="562"/>
              <w:gridCol w:w="668"/>
              <w:gridCol w:w="475"/>
              <w:gridCol w:w="408"/>
              <w:gridCol w:w="560"/>
              <w:gridCol w:w="1138"/>
              <w:gridCol w:w="537"/>
              <w:gridCol w:w="617"/>
              <w:gridCol w:w="217"/>
            </w:tblGrid>
            <w:tr w14:paraId="0229CA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6" w:hRule="atLeast"/>
                <w:jc w:val="center"/>
              </w:trPr>
              <w:tc>
                <w:tcPr>
                  <w:tcW w:w="140" w:type="pct"/>
                  <w:tcBorders>
                    <w:tl2br w:val="nil"/>
                    <w:tr2bl w:val="nil"/>
                  </w:tcBorders>
                  <w:shd w:val="clear" w:color="auto" w:fill="auto"/>
                  <w:vAlign w:val="center"/>
                </w:tcPr>
                <w:p w14:paraId="7278B139">
                  <w:pPr>
                    <w:keepNext w:val="0"/>
                    <w:keepLines w:val="0"/>
                    <w:pageBreakBefore w:val="0"/>
                    <w:kinsoku/>
                    <w:wordWrap/>
                    <w:overflowPunct/>
                    <w:topLinePunct w:val="0"/>
                    <w:autoSpaceDE/>
                    <w:autoSpaceDN/>
                    <w:bidi w:val="0"/>
                    <w:adjustRightInd w:val="0"/>
                    <w:snapToGrid w:val="0"/>
                    <w:spacing w:beforeAutospacing="0" w:afterAutospacing="0"/>
                    <w:ind w:firstLine="0"/>
                    <w:jc w:val="center"/>
                    <w:textAlignment w:val="center"/>
                    <w:rPr>
                      <w:b/>
                      <w:color w:val="auto"/>
                      <w:szCs w:val="21"/>
                    </w:rPr>
                  </w:pPr>
                  <w:r>
                    <w:rPr>
                      <w:rFonts w:hint="eastAsia" w:hAnsi="宋体" w:cs="宋体"/>
                      <w:b/>
                      <w:color w:val="auto"/>
                      <w:szCs w:val="21"/>
                      <w:lang w:bidi="ar"/>
                    </w:rPr>
                    <w:t>序号</w:t>
                  </w:r>
                </w:p>
              </w:tc>
              <w:tc>
                <w:tcPr>
                  <w:tcW w:w="667" w:type="pct"/>
                  <w:tcBorders>
                    <w:tl2br w:val="nil"/>
                    <w:tr2bl w:val="nil"/>
                  </w:tcBorders>
                  <w:shd w:val="clear" w:color="auto" w:fill="auto"/>
                  <w:vAlign w:val="center"/>
                </w:tcPr>
                <w:p w14:paraId="484821A8">
                  <w:pPr>
                    <w:keepNext w:val="0"/>
                    <w:keepLines w:val="0"/>
                    <w:pageBreakBefore w:val="0"/>
                    <w:kinsoku/>
                    <w:wordWrap/>
                    <w:overflowPunct/>
                    <w:topLinePunct w:val="0"/>
                    <w:autoSpaceDE/>
                    <w:autoSpaceDN/>
                    <w:bidi w:val="0"/>
                    <w:adjustRightInd w:val="0"/>
                    <w:snapToGrid w:val="0"/>
                    <w:spacing w:beforeAutospacing="0" w:afterAutospacing="0"/>
                    <w:ind w:firstLine="0"/>
                    <w:jc w:val="center"/>
                    <w:textAlignment w:val="center"/>
                    <w:rPr>
                      <w:b/>
                      <w:color w:val="auto"/>
                      <w:szCs w:val="21"/>
                    </w:rPr>
                  </w:pPr>
                  <w:r>
                    <w:rPr>
                      <w:rFonts w:hint="eastAsia" w:hAnsi="宋体" w:cs="宋体"/>
                      <w:b/>
                      <w:color w:val="auto"/>
                      <w:szCs w:val="21"/>
                      <w:lang w:bidi="ar"/>
                    </w:rPr>
                    <w:t>固废名称</w:t>
                  </w:r>
                </w:p>
              </w:tc>
              <w:tc>
                <w:tcPr>
                  <w:tcW w:w="459" w:type="pct"/>
                  <w:tcBorders>
                    <w:tl2br w:val="nil"/>
                    <w:tr2bl w:val="nil"/>
                  </w:tcBorders>
                  <w:shd w:val="clear" w:color="auto" w:fill="auto"/>
                  <w:vAlign w:val="center"/>
                </w:tcPr>
                <w:p w14:paraId="4F3FBE1B">
                  <w:pPr>
                    <w:keepNext w:val="0"/>
                    <w:keepLines w:val="0"/>
                    <w:pageBreakBefore w:val="0"/>
                    <w:kinsoku/>
                    <w:wordWrap/>
                    <w:overflowPunct/>
                    <w:topLinePunct w:val="0"/>
                    <w:autoSpaceDE/>
                    <w:autoSpaceDN/>
                    <w:bidi w:val="0"/>
                    <w:adjustRightInd w:val="0"/>
                    <w:snapToGrid w:val="0"/>
                    <w:spacing w:beforeAutospacing="0" w:afterAutospacing="0"/>
                    <w:ind w:firstLine="0"/>
                    <w:jc w:val="center"/>
                    <w:textAlignment w:val="center"/>
                    <w:rPr>
                      <w:b/>
                      <w:color w:val="auto"/>
                      <w:szCs w:val="21"/>
                    </w:rPr>
                  </w:pPr>
                  <w:r>
                    <w:rPr>
                      <w:rFonts w:hint="eastAsia" w:hAnsi="宋体" w:cs="宋体"/>
                      <w:b/>
                      <w:color w:val="auto"/>
                      <w:szCs w:val="21"/>
                      <w:lang w:bidi="ar"/>
                    </w:rPr>
                    <w:t>属性（危险废物、一般工业固体废物或待鉴别）</w:t>
                  </w:r>
                </w:p>
              </w:tc>
              <w:tc>
                <w:tcPr>
                  <w:tcW w:w="669" w:type="pct"/>
                  <w:tcBorders>
                    <w:tl2br w:val="nil"/>
                    <w:tr2bl w:val="nil"/>
                  </w:tcBorders>
                  <w:shd w:val="clear" w:color="auto" w:fill="auto"/>
                  <w:vAlign w:val="center"/>
                </w:tcPr>
                <w:p w14:paraId="021EABA6">
                  <w:pPr>
                    <w:keepNext w:val="0"/>
                    <w:keepLines w:val="0"/>
                    <w:pageBreakBefore w:val="0"/>
                    <w:kinsoku/>
                    <w:wordWrap/>
                    <w:overflowPunct/>
                    <w:topLinePunct w:val="0"/>
                    <w:autoSpaceDE/>
                    <w:autoSpaceDN/>
                    <w:bidi w:val="0"/>
                    <w:adjustRightInd w:val="0"/>
                    <w:snapToGrid w:val="0"/>
                    <w:spacing w:beforeAutospacing="0" w:afterAutospacing="0"/>
                    <w:ind w:firstLine="0"/>
                    <w:jc w:val="center"/>
                    <w:textAlignment w:val="center"/>
                    <w:rPr>
                      <w:b/>
                      <w:color w:val="auto"/>
                      <w:szCs w:val="21"/>
                    </w:rPr>
                  </w:pPr>
                  <w:r>
                    <w:rPr>
                      <w:rFonts w:hint="eastAsia" w:hAnsi="宋体" w:cs="宋体"/>
                      <w:b/>
                      <w:color w:val="auto"/>
                      <w:szCs w:val="21"/>
                      <w:lang w:bidi="ar"/>
                    </w:rPr>
                    <w:t>产生工序</w:t>
                  </w:r>
                </w:p>
              </w:tc>
              <w:tc>
                <w:tcPr>
                  <w:tcW w:w="332" w:type="pct"/>
                  <w:tcBorders>
                    <w:tl2br w:val="nil"/>
                    <w:tr2bl w:val="nil"/>
                  </w:tcBorders>
                  <w:shd w:val="clear" w:color="auto" w:fill="auto"/>
                  <w:vAlign w:val="center"/>
                </w:tcPr>
                <w:p w14:paraId="08E85F7D">
                  <w:pPr>
                    <w:keepNext w:val="0"/>
                    <w:keepLines w:val="0"/>
                    <w:pageBreakBefore w:val="0"/>
                    <w:kinsoku/>
                    <w:wordWrap/>
                    <w:overflowPunct/>
                    <w:topLinePunct w:val="0"/>
                    <w:autoSpaceDE/>
                    <w:autoSpaceDN/>
                    <w:bidi w:val="0"/>
                    <w:adjustRightInd w:val="0"/>
                    <w:snapToGrid w:val="0"/>
                    <w:spacing w:beforeAutospacing="0" w:afterAutospacing="0"/>
                    <w:ind w:firstLine="0"/>
                    <w:jc w:val="center"/>
                    <w:textAlignment w:val="center"/>
                    <w:rPr>
                      <w:b/>
                      <w:color w:val="auto"/>
                      <w:szCs w:val="21"/>
                    </w:rPr>
                  </w:pPr>
                  <w:r>
                    <w:rPr>
                      <w:rFonts w:hint="eastAsia" w:hAnsi="宋体" w:cs="宋体"/>
                      <w:b/>
                      <w:color w:val="auto"/>
                      <w:szCs w:val="21"/>
                      <w:lang w:bidi="ar"/>
                    </w:rPr>
                    <w:t>形态</w:t>
                  </w:r>
                </w:p>
              </w:tc>
              <w:tc>
                <w:tcPr>
                  <w:tcW w:w="394" w:type="pct"/>
                  <w:tcBorders>
                    <w:tl2br w:val="nil"/>
                    <w:tr2bl w:val="nil"/>
                  </w:tcBorders>
                  <w:shd w:val="clear" w:color="auto" w:fill="auto"/>
                  <w:vAlign w:val="center"/>
                </w:tcPr>
                <w:p w14:paraId="44B3AF36">
                  <w:pPr>
                    <w:keepNext w:val="0"/>
                    <w:keepLines w:val="0"/>
                    <w:pageBreakBefore w:val="0"/>
                    <w:kinsoku/>
                    <w:wordWrap/>
                    <w:overflowPunct/>
                    <w:topLinePunct w:val="0"/>
                    <w:autoSpaceDE/>
                    <w:autoSpaceDN/>
                    <w:bidi w:val="0"/>
                    <w:adjustRightInd w:val="0"/>
                    <w:snapToGrid w:val="0"/>
                    <w:spacing w:beforeAutospacing="0" w:afterAutospacing="0"/>
                    <w:ind w:firstLine="0"/>
                    <w:jc w:val="center"/>
                    <w:textAlignment w:val="center"/>
                    <w:rPr>
                      <w:b/>
                      <w:color w:val="auto"/>
                      <w:szCs w:val="21"/>
                    </w:rPr>
                  </w:pPr>
                  <w:r>
                    <w:rPr>
                      <w:rFonts w:hint="eastAsia" w:hAnsi="宋体" w:cs="宋体"/>
                      <w:b/>
                      <w:color w:val="auto"/>
                      <w:szCs w:val="21"/>
                      <w:lang w:bidi="ar"/>
                    </w:rPr>
                    <w:t>主要成分</w:t>
                  </w:r>
                </w:p>
              </w:tc>
              <w:tc>
                <w:tcPr>
                  <w:tcW w:w="280" w:type="pct"/>
                  <w:tcBorders>
                    <w:tl2br w:val="nil"/>
                    <w:tr2bl w:val="nil"/>
                  </w:tcBorders>
                  <w:shd w:val="clear" w:color="auto" w:fill="auto"/>
                  <w:vAlign w:val="center"/>
                </w:tcPr>
                <w:p w14:paraId="013E61D9">
                  <w:pPr>
                    <w:keepNext w:val="0"/>
                    <w:keepLines w:val="0"/>
                    <w:pageBreakBefore w:val="0"/>
                    <w:kinsoku/>
                    <w:wordWrap/>
                    <w:overflowPunct/>
                    <w:topLinePunct w:val="0"/>
                    <w:autoSpaceDE/>
                    <w:autoSpaceDN/>
                    <w:bidi w:val="0"/>
                    <w:adjustRightInd w:val="0"/>
                    <w:snapToGrid w:val="0"/>
                    <w:spacing w:beforeAutospacing="0" w:afterAutospacing="0"/>
                    <w:ind w:firstLine="0"/>
                    <w:jc w:val="center"/>
                    <w:textAlignment w:val="center"/>
                    <w:rPr>
                      <w:b/>
                      <w:color w:val="auto"/>
                      <w:szCs w:val="21"/>
                    </w:rPr>
                  </w:pPr>
                  <w:r>
                    <w:rPr>
                      <w:rFonts w:hint="eastAsia" w:hAnsi="宋体" w:cs="宋体"/>
                      <w:b/>
                      <w:color w:val="auto"/>
                      <w:szCs w:val="21"/>
                      <w:lang w:bidi="ar"/>
                    </w:rPr>
                    <w:t>危险特性</w:t>
                  </w:r>
                </w:p>
                <w:p w14:paraId="1D1DDB54">
                  <w:pPr>
                    <w:keepNext w:val="0"/>
                    <w:keepLines w:val="0"/>
                    <w:pageBreakBefore w:val="0"/>
                    <w:kinsoku/>
                    <w:wordWrap/>
                    <w:overflowPunct/>
                    <w:topLinePunct w:val="0"/>
                    <w:autoSpaceDE/>
                    <w:autoSpaceDN/>
                    <w:bidi w:val="0"/>
                    <w:adjustRightInd w:val="0"/>
                    <w:snapToGrid w:val="0"/>
                    <w:spacing w:beforeAutospacing="0" w:afterAutospacing="0"/>
                    <w:ind w:firstLine="0"/>
                    <w:jc w:val="center"/>
                    <w:textAlignment w:val="center"/>
                    <w:rPr>
                      <w:b/>
                      <w:color w:val="auto"/>
                      <w:szCs w:val="21"/>
                    </w:rPr>
                  </w:pPr>
                  <w:r>
                    <w:rPr>
                      <w:rFonts w:hint="eastAsia" w:hAnsi="宋体" w:cs="宋体"/>
                      <w:b/>
                      <w:color w:val="auto"/>
                      <w:szCs w:val="21"/>
                      <w:lang w:bidi="ar"/>
                    </w:rPr>
                    <w:t>鉴别方法</w:t>
                  </w:r>
                </w:p>
              </w:tc>
              <w:tc>
                <w:tcPr>
                  <w:tcW w:w="241" w:type="pct"/>
                  <w:tcBorders>
                    <w:tl2br w:val="nil"/>
                    <w:tr2bl w:val="nil"/>
                  </w:tcBorders>
                  <w:shd w:val="clear" w:color="auto" w:fill="auto"/>
                  <w:vAlign w:val="center"/>
                </w:tcPr>
                <w:p w14:paraId="566F9D5C">
                  <w:pPr>
                    <w:keepNext w:val="0"/>
                    <w:keepLines w:val="0"/>
                    <w:pageBreakBefore w:val="0"/>
                    <w:kinsoku/>
                    <w:wordWrap/>
                    <w:overflowPunct/>
                    <w:topLinePunct w:val="0"/>
                    <w:autoSpaceDE/>
                    <w:autoSpaceDN/>
                    <w:bidi w:val="0"/>
                    <w:adjustRightInd w:val="0"/>
                    <w:snapToGrid w:val="0"/>
                    <w:spacing w:beforeAutospacing="0" w:afterAutospacing="0"/>
                    <w:ind w:firstLine="0"/>
                    <w:jc w:val="center"/>
                    <w:textAlignment w:val="center"/>
                    <w:rPr>
                      <w:b/>
                      <w:color w:val="auto"/>
                      <w:szCs w:val="21"/>
                    </w:rPr>
                  </w:pPr>
                  <w:r>
                    <w:rPr>
                      <w:rFonts w:hint="eastAsia" w:hAnsi="宋体" w:cs="宋体"/>
                      <w:b/>
                      <w:color w:val="auto"/>
                      <w:szCs w:val="21"/>
                      <w:lang w:bidi="ar"/>
                    </w:rPr>
                    <w:t>危险</w:t>
                  </w:r>
                </w:p>
                <w:p w14:paraId="4AAAB2C4">
                  <w:pPr>
                    <w:keepNext w:val="0"/>
                    <w:keepLines w:val="0"/>
                    <w:pageBreakBefore w:val="0"/>
                    <w:kinsoku/>
                    <w:wordWrap/>
                    <w:overflowPunct/>
                    <w:topLinePunct w:val="0"/>
                    <w:autoSpaceDE/>
                    <w:autoSpaceDN/>
                    <w:bidi w:val="0"/>
                    <w:adjustRightInd w:val="0"/>
                    <w:snapToGrid w:val="0"/>
                    <w:spacing w:beforeAutospacing="0" w:afterAutospacing="0"/>
                    <w:ind w:firstLine="0"/>
                    <w:jc w:val="center"/>
                    <w:textAlignment w:val="center"/>
                    <w:rPr>
                      <w:b/>
                      <w:color w:val="auto"/>
                      <w:szCs w:val="21"/>
                    </w:rPr>
                  </w:pPr>
                  <w:r>
                    <w:rPr>
                      <w:rFonts w:hint="eastAsia" w:hAnsi="宋体" w:cs="宋体"/>
                      <w:b/>
                      <w:color w:val="auto"/>
                      <w:szCs w:val="21"/>
                      <w:lang w:bidi="ar"/>
                    </w:rPr>
                    <w:t>特性</w:t>
                  </w:r>
                </w:p>
              </w:tc>
              <w:tc>
                <w:tcPr>
                  <w:tcW w:w="331" w:type="pct"/>
                  <w:tcBorders>
                    <w:tl2br w:val="nil"/>
                    <w:tr2bl w:val="nil"/>
                  </w:tcBorders>
                  <w:shd w:val="clear" w:color="auto" w:fill="auto"/>
                  <w:vAlign w:val="center"/>
                </w:tcPr>
                <w:p w14:paraId="07875C70">
                  <w:pPr>
                    <w:keepNext w:val="0"/>
                    <w:keepLines w:val="0"/>
                    <w:pageBreakBefore w:val="0"/>
                    <w:kinsoku/>
                    <w:wordWrap/>
                    <w:overflowPunct/>
                    <w:topLinePunct w:val="0"/>
                    <w:autoSpaceDE/>
                    <w:autoSpaceDN/>
                    <w:bidi w:val="0"/>
                    <w:adjustRightInd w:val="0"/>
                    <w:snapToGrid w:val="0"/>
                    <w:spacing w:beforeAutospacing="0" w:afterAutospacing="0"/>
                    <w:ind w:firstLine="0"/>
                    <w:jc w:val="center"/>
                    <w:textAlignment w:val="center"/>
                    <w:rPr>
                      <w:b/>
                      <w:color w:val="auto"/>
                      <w:szCs w:val="21"/>
                    </w:rPr>
                  </w:pPr>
                  <w:r>
                    <w:rPr>
                      <w:rFonts w:hint="eastAsia" w:hAnsi="宋体" w:cs="宋体"/>
                      <w:b/>
                      <w:color w:val="auto"/>
                      <w:szCs w:val="21"/>
                      <w:lang w:bidi="ar"/>
                    </w:rPr>
                    <w:t>废物</w:t>
                  </w:r>
                </w:p>
                <w:p w14:paraId="568B3662">
                  <w:pPr>
                    <w:keepNext w:val="0"/>
                    <w:keepLines w:val="0"/>
                    <w:pageBreakBefore w:val="0"/>
                    <w:kinsoku/>
                    <w:wordWrap/>
                    <w:overflowPunct/>
                    <w:topLinePunct w:val="0"/>
                    <w:autoSpaceDE/>
                    <w:autoSpaceDN/>
                    <w:bidi w:val="0"/>
                    <w:adjustRightInd w:val="0"/>
                    <w:snapToGrid w:val="0"/>
                    <w:spacing w:beforeAutospacing="0" w:afterAutospacing="0"/>
                    <w:ind w:firstLine="0"/>
                    <w:jc w:val="center"/>
                    <w:textAlignment w:val="center"/>
                    <w:rPr>
                      <w:b/>
                      <w:color w:val="auto"/>
                      <w:szCs w:val="21"/>
                    </w:rPr>
                  </w:pPr>
                  <w:r>
                    <w:rPr>
                      <w:rFonts w:hint="eastAsia" w:hAnsi="宋体" w:cs="宋体"/>
                      <w:b/>
                      <w:color w:val="auto"/>
                      <w:szCs w:val="21"/>
                      <w:lang w:bidi="ar"/>
                    </w:rPr>
                    <w:t>类别</w:t>
                  </w:r>
                </w:p>
              </w:tc>
              <w:tc>
                <w:tcPr>
                  <w:tcW w:w="672" w:type="pct"/>
                  <w:tcBorders>
                    <w:tl2br w:val="nil"/>
                    <w:tr2bl w:val="nil"/>
                  </w:tcBorders>
                  <w:shd w:val="clear" w:color="auto" w:fill="auto"/>
                  <w:vAlign w:val="center"/>
                </w:tcPr>
                <w:p w14:paraId="6067EBF4">
                  <w:pPr>
                    <w:keepNext w:val="0"/>
                    <w:keepLines w:val="0"/>
                    <w:pageBreakBefore w:val="0"/>
                    <w:kinsoku/>
                    <w:wordWrap/>
                    <w:overflowPunct/>
                    <w:topLinePunct w:val="0"/>
                    <w:autoSpaceDE/>
                    <w:autoSpaceDN/>
                    <w:bidi w:val="0"/>
                    <w:adjustRightInd w:val="0"/>
                    <w:snapToGrid w:val="0"/>
                    <w:spacing w:beforeAutospacing="0" w:afterAutospacing="0"/>
                    <w:ind w:firstLine="0"/>
                    <w:jc w:val="center"/>
                    <w:textAlignment w:val="center"/>
                    <w:rPr>
                      <w:b/>
                      <w:color w:val="auto"/>
                      <w:szCs w:val="21"/>
                    </w:rPr>
                  </w:pPr>
                  <w:r>
                    <w:rPr>
                      <w:rFonts w:hint="eastAsia" w:hAnsi="宋体" w:cs="宋体"/>
                      <w:b/>
                      <w:color w:val="auto"/>
                      <w:szCs w:val="21"/>
                      <w:lang w:bidi="ar"/>
                    </w:rPr>
                    <w:t>废物代码</w:t>
                  </w:r>
                </w:p>
              </w:tc>
              <w:tc>
                <w:tcPr>
                  <w:tcW w:w="317" w:type="pct"/>
                  <w:tcBorders>
                    <w:tl2br w:val="nil"/>
                    <w:tr2bl w:val="nil"/>
                  </w:tcBorders>
                  <w:shd w:val="clear" w:color="auto" w:fill="auto"/>
                  <w:vAlign w:val="center"/>
                </w:tcPr>
                <w:p w14:paraId="28D4B79E">
                  <w:pPr>
                    <w:keepNext w:val="0"/>
                    <w:keepLines w:val="0"/>
                    <w:pageBreakBefore w:val="0"/>
                    <w:kinsoku/>
                    <w:wordWrap/>
                    <w:overflowPunct/>
                    <w:topLinePunct w:val="0"/>
                    <w:autoSpaceDE/>
                    <w:autoSpaceDN/>
                    <w:bidi w:val="0"/>
                    <w:adjustRightInd w:val="0"/>
                    <w:snapToGrid w:val="0"/>
                    <w:spacing w:beforeAutospacing="0" w:afterAutospacing="0"/>
                    <w:ind w:firstLine="0"/>
                    <w:jc w:val="center"/>
                    <w:textAlignment w:val="center"/>
                    <w:rPr>
                      <w:b/>
                      <w:color w:val="auto"/>
                      <w:szCs w:val="21"/>
                    </w:rPr>
                  </w:pPr>
                  <w:r>
                    <w:rPr>
                      <w:rFonts w:hint="eastAsia" w:hAnsi="宋体" w:cs="宋体"/>
                      <w:b/>
                      <w:color w:val="auto"/>
                      <w:szCs w:val="21"/>
                      <w:lang w:bidi="ar"/>
                    </w:rPr>
                    <w:t>产生量</w:t>
                  </w:r>
                  <w:r>
                    <w:rPr>
                      <w:b/>
                      <w:color w:val="auto"/>
                      <w:szCs w:val="21"/>
                      <w:lang w:bidi="ar"/>
                    </w:rPr>
                    <w:t>t/a</w:t>
                  </w:r>
                </w:p>
              </w:tc>
              <w:tc>
                <w:tcPr>
                  <w:tcW w:w="364" w:type="pct"/>
                  <w:tcBorders>
                    <w:tl2br w:val="nil"/>
                    <w:tr2bl w:val="nil"/>
                  </w:tcBorders>
                  <w:shd w:val="clear" w:color="auto" w:fill="auto"/>
                  <w:vAlign w:val="center"/>
                </w:tcPr>
                <w:p w14:paraId="5F259D72">
                  <w:pPr>
                    <w:keepNext w:val="0"/>
                    <w:keepLines w:val="0"/>
                    <w:pageBreakBefore w:val="0"/>
                    <w:kinsoku/>
                    <w:wordWrap/>
                    <w:overflowPunct/>
                    <w:topLinePunct w:val="0"/>
                    <w:autoSpaceDE/>
                    <w:autoSpaceDN/>
                    <w:bidi w:val="0"/>
                    <w:adjustRightInd w:val="0"/>
                    <w:snapToGrid w:val="0"/>
                    <w:spacing w:beforeAutospacing="0" w:afterAutospacing="0"/>
                    <w:ind w:firstLine="0"/>
                    <w:jc w:val="center"/>
                    <w:textAlignment w:val="center"/>
                    <w:rPr>
                      <w:b/>
                      <w:color w:val="auto"/>
                      <w:szCs w:val="21"/>
                    </w:rPr>
                  </w:pPr>
                  <w:r>
                    <w:rPr>
                      <w:rFonts w:hint="eastAsia" w:hAnsi="宋体" w:cs="宋体"/>
                      <w:b/>
                      <w:color w:val="auto"/>
                      <w:szCs w:val="21"/>
                      <w:lang w:bidi="ar"/>
                    </w:rPr>
                    <w:t>处理处置方法</w:t>
                  </w:r>
                </w:p>
              </w:tc>
              <w:tc>
                <w:tcPr>
                  <w:tcW w:w="128" w:type="pct"/>
                  <w:tcBorders>
                    <w:tl2br w:val="nil"/>
                    <w:tr2bl w:val="nil"/>
                  </w:tcBorders>
                  <w:shd w:val="clear" w:color="auto" w:fill="auto"/>
                  <w:vAlign w:val="center"/>
                </w:tcPr>
                <w:p w14:paraId="321E68DB">
                  <w:pPr>
                    <w:keepNext w:val="0"/>
                    <w:keepLines w:val="0"/>
                    <w:pageBreakBefore w:val="0"/>
                    <w:kinsoku/>
                    <w:wordWrap/>
                    <w:overflowPunct/>
                    <w:topLinePunct w:val="0"/>
                    <w:autoSpaceDE/>
                    <w:autoSpaceDN/>
                    <w:bidi w:val="0"/>
                    <w:adjustRightInd w:val="0"/>
                    <w:snapToGrid w:val="0"/>
                    <w:spacing w:beforeAutospacing="0" w:afterAutospacing="0"/>
                    <w:ind w:firstLine="0"/>
                    <w:jc w:val="center"/>
                    <w:textAlignment w:val="center"/>
                    <w:rPr>
                      <w:b/>
                      <w:color w:val="auto"/>
                      <w:szCs w:val="21"/>
                    </w:rPr>
                  </w:pPr>
                  <w:r>
                    <w:rPr>
                      <w:rFonts w:hint="eastAsia" w:hAnsi="宋体" w:cs="宋体"/>
                      <w:b/>
                      <w:color w:val="auto"/>
                      <w:szCs w:val="21"/>
                      <w:lang w:bidi="ar"/>
                    </w:rPr>
                    <w:t>排放量</w:t>
                  </w:r>
                </w:p>
              </w:tc>
            </w:tr>
            <w:tr w14:paraId="6BBA51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7" w:hRule="atLeast"/>
                <w:jc w:val="center"/>
              </w:trPr>
              <w:tc>
                <w:tcPr>
                  <w:tcW w:w="140" w:type="pct"/>
                  <w:tcBorders>
                    <w:tl2br w:val="nil"/>
                    <w:tr2bl w:val="nil"/>
                  </w:tcBorders>
                  <w:shd w:val="clear" w:color="auto" w:fill="auto"/>
                  <w:vAlign w:val="center"/>
                </w:tcPr>
                <w:p w14:paraId="77442480">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color w:val="auto"/>
                      <w:szCs w:val="21"/>
                      <w:lang w:bidi="ar"/>
                    </w:rPr>
                    <w:t>1</w:t>
                  </w:r>
                </w:p>
              </w:tc>
              <w:tc>
                <w:tcPr>
                  <w:tcW w:w="667" w:type="pct"/>
                  <w:tcBorders>
                    <w:tl2br w:val="nil"/>
                    <w:tr2bl w:val="nil"/>
                  </w:tcBorders>
                  <w:shd w:val="clear" w:color="auto" w:fill="auto"/>
                  <w:vAlign w:val="center"/>
                </w:tcPr>
                <w:p w14:paraId="190D0F6A">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Ansi="宋体" w:cs="宋体"/>
                      <w:bCs/>
                      <w:color w:val="auto"/>
                      <w:szCs w:val="21"/>
                      <w:lang w:bidi="ar"/>
                    </w:rPr>
                  </w:pPr>
                  <w:r>
                    <w:rPr>
                      <w:rFonts w:hint="eastAsia" w:hAnsi="宋体" w:cs="宋体"/>
                      <w:bCs/>
                      <w:color w:val="auto"/>
                      <w:szCs w:val="21"/>
                      <w:lang w:bidi="ar"/>
                    </w:rPr>
                    <w:t>废边角料</w:t>
                  </w:r>
                </w:p>
              </w:tc>
              <w:tc>
                <w:tcPr>
                  <w:tcW w:w="459" w:type="pct"/>
                  <w:vMerge w:val="restart"/>
                  <w:tcBorders>
                    <w:tl2br w:val="nil"/>
                    <w:tr2bl w:val="nil"/>
                  </w:tcBorders>
                  <w:shd w:val="clear" w:color="auto" w:fill="auto"/>
                  <w:vAlign w:val="center"/>
                </w:tcPr>
                <w:p w14:paraId="7D5DCB75">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hAnsi="宋体" w:cs="宋体"/>
                      <w:color w:val="auto"/>
                      <w:szCs w:val="21"/>
                      <w:lang w:bidi="ar"/>
                    </w:rPr>
                    <w:t>一般工业固废</w:t>
                  </w:r>
                </w:p>
              </w:tc>
              <w:tc>
                <w:tcPr>
                  <w:tcW w:w="669" w:type="pct"/>
                  <w:tcBorders>
                    <w:tl2br w:val="nil"/>
                    <w:tr2bl w:val="nil"/>
                  </w:tcBorders>
                  <w:shd w:val="clear" w:color="auto" w:fill="auto"/>
                  <w:vAlign w:val="center"/>
                </w:tcPr>
                <w:p w14:paraId="6FE72D70">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Ansi="宋体" w:cs="宋体"/>
                      <w:color w:val="auto"/>
                      <w:szCs w:val="21"/>
                      <w:lang w:bidi="ar"/>
                    </w:rPr>
                  </w:pPr>
                  <w:r>
                    <w:rPr>
                      <w:rFonts w:hint="eastAsia"/>
                      <w:color w:val="auto"/>
                      <w:szCs w:val="21"/>
                    </w:rPr>
                    <w:t>冲片加工、转轴加工、机壳加工、端盖加工</w:t>
                  </w:r>
                </w:p>
              </w:tc>
              <w:tc>
                <w:tcPr>
                  <w:tcW w:w="332" w:type="pct"/>
                  <w:tcBorders>
                    <w:tl2br w:val="nil"/>
                    <w:tr2bl w:val="nil"/>
                  </w:tcBorders>
                  <w:shd w:val="clear" w:color="auto" w:fill="auto"/>
                  <w:vAlign w:val="center"/>
                </w:tcPr>
                <w:p w14:paraId="5F30156F">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Ansi="宋体" w:cs="宋体"/>
                      <w:color w:val="auto"/>
                      <w:szCs w:val="21"/>
                      <w:lang w:bidi="ar"/>
                    </w:rPr>
                  </w:pPr>
                  <w:r>
                    <w:rPr>
                      <w:rFonts w:hint="eastAsia" w:hAnsi="宋体" w:cs="宋体"/>
                      <w:color w:val="auto"/>
                      <w:szCs w:val="21"/>
                      <w:lang w:bidi="ar"/>
                    </w:rPr>
                    <w:t>固态</w:t>
                  </w:r>
                </w:p>
              </w:tc>
              <w:tc>
                <w:tcPr>
                  <w:tcW w:w="394" w:type="pct"/>
                  <w:tcBorders>
                    <w:tl2br w:val="nil"/>
                    <w:tr2bl w:val="nil"/>
                  </w:tcBorders>
                  <w:shd w:val="clear" w:color="auto" w:fill="auto"/>
                  <w:vAlign w:val="center"/>
                </w:tcPr>
                <w:p w14:paraId="549CF9D5">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cs="宋体"/>
                      <w:color w:val="auto"/>
                      <w:szCs w:val="21"/>
                      <w:lang w:bidi="ar"/>
                    </w:rPr>
                  </w:pPr>
                  <w:r>
                    <w:rPr>
                      <w:rFonts w:hint="eastAsia"/>
                      <w:color w:val="auto"/>
                      <w:szCs w:val="21"/>
                    </w:rPr>
                    <w:t>金属</w:t>
                  </w:r>
                </w:p>
              </w:tc>
              <w:tc>
                <w:tcPr>
                  <w:tcW w:w="280" w:type="pct"/>
                  <w:vMerge w:val="restart"/>
                  <w:tcBorders>
                    <w:tl2br w:val="nil"/>
                    <w:tr2bl w:val="nil"/>
                  </w:tcBorders>
                  <w:shd w:val="clear" w:color="auto" w:fill="auto"/>
                  <w:vAlign w:val="center"/>
                </w:tcPr>
                <w:p w14:paraId="2C9CBE50">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hAnsi="宋体" w:cs="宋体"/>
                      <w:color w:val="auto"/>
                      <w:szCs w:val="21"/>
                      <w:lang w:bidi="ar"/>
                    </w:rPr>
                    <w:t>《国家危险废物名录（</w:t>
                  </w:r>
                  <w:r>
                    <w:rPr>
                      <w:color w:val="auto"/>
                      <w:szCs w:val="21"/>
                      <w:lang w:bidi="ar"/>
                    </w:rPr>
                    <w:t>202</w:t>
                  </w:r>
                  <w:r>
                    <w:rPr>
                      <w:rFonts w:hint="eastAsia"/>
                      <w:color w:val="auto"/>
                      <w:szCs w:val="21"/>
                      <w:lang w:bidi="ar"/>
                    </w:rPr>
                    <w:t>5</w:t>
                  </w:r>
                  <w:r>
                    <w:rPr>
                      <w:rFonts w:hint="eastAsia" w:hAnsi="宋体" w:cs="宋体"/>
                      <w:color w:val="auto"/>
                      <w:szCs w:val="21"/>
                      <w:lang w:bidi="ar"/>
                    </w:rPr>
                    <w:t>年）》</w:t>
                  </w:r>
                </w:p>
              </w:tc>
              <w:tc>
                <w:tcPr>
                  <w:tcW w:w="241" w:type="pct"/>
                  <w:tcBorders>
                    <w:tl2br w:val="nil"/>
                    <w:tr2bl w:val="nil"/>
                  </w:tcBorders>
                  <w:shd w:val="clear" w:color="auto" w:fill="auto"/>
                  <w:vAlign w:val="center"/>
                </w:tcPr>
                <w:p w14:paraId="4E5A7AD6">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w:t>
                  </w:r>
                </w:p>
              </w:tc>
              <w:tc>
                <w:tcPr>
                  <w:tcW w:w="331" w:type="pct"/>
                  <w:tcBorders>
                    <w:tl2br w:val="nil"/>
                    <w:tr2bl w:val="nil"/>
                  </w:tcBorders>
                  <w:shd w:val="clear" w:color="auto" w:fill="auto"/>
                  <w:vAlign w:val="center"/>
                </w:tcPr>
                <w:p w14:paraId="2AF5E413">
                  <w:pPr>
                    <w:keepNext w:val="0"/>
                    <w:keepLines w:val="0"/>
                    <w:pageBreakBefore w:val="0"/>
                    <w:widowControl/>
                    <w:kinsoku/>
                    <w:wordWrap/>
                    <w:overflowPunct/>
                    <w:topLinePunct w:val="0"/>
                    <w:autoSpaceDE/>
                    <w:autoSpaceDN/>
                    <w:bidi w:val="0"/>
                    <w:adjustRightInd w:val="0"/>
                    <w:snapToGrid w:val="0"/>
                    <w:spacing w:beforeAutospacing="0" w:afterAutospacing="0"/>
                    <w:ind w:left="-105" w:leftChars="-50" w:right="-105" w:rightChars="-50" w:firstLine="0"/>
                    <w:jc w:val="center"/>
                    <w:rPr>
                      <w:bCs/>
                      <w:color w:val="auto"/>
                      <w:szCs w:val="21"/>
                      <w:lang w:bidi="ar"/>
                    </w:rPr>
                  </w:pPr>
                  <w:r>
                    <w:rPr>
                      <w:rFonts w:hint="eastAsia"/>
                      <w:color w:val="auto"/>
                      <w:kern w:val="0"/>
                      <w:szCs w:val="21"/>
                    </w:rPr>
                    <w:t>SW59</w:t>
                  </w:r>
                </w:p>
              </w:tc>
              <w:tc>
                <w:tcPr>
                  <w:tcW w:w="672" w:type="pct"/>
                  <w:tcBorders>
                    <w:tl2br w:val="nil"/>
                    <w:tr2bl w:val="nil"/>
                  </w:tcBorders>
                  <w:shd w:val="clear" w:color="auto" w:fill="auto"/>
                  <w:vAlign w:val="center"/>
                </w:tcPr>
                <w:p w14:paraId="7F586AFC">
                  <w:pPr>
                    <w:keepNext w:val="0"/>
                    <w:keepLines w:val="0"/>
                    <w:pageBreakBefore w:val="0"/>
                    <w:widowControl/>
                    <w:kinsoku/>
                    <w:wordWrap/>
                    <w:overflowPunct/>
                    <w:topLinePunct w:val="0"/>
                    <w:autoSpaceDE/>
                    <w:autoSpaceDN/>
                    <w:bidi w:val="0"/>
                    <w:adjustRightInd w:val="0"/>
                    <w:snapToGrid w:val="0"/>
                    <w:spacing w:beforeAutospacing="0" w:afterAutospacing="0"/>
                    <w:ind w:left="-105" w:leftChars="-50" w:right="-105" w:rightChars="-50" w:firstLine="0"/>
                    <w:jc w:val="center"/>
                    <w:rPr>
                      <w:color w:val="auto"/>
                      <w:szCs w:val="21"/>
                      <w:lang w:bidi="ar"/>
                    </w:rPr>
                  </w:pPr>
                  <w:r>
                    <w:rPr>
                      <w:rFonts w:hint="eastAsia"/>
                      <w:color w:val="auto"/>
                      <w:kern w:val="0"/>
                      <w:szCs w:val="21"/>
                    </w:rPr>
                    <w:t>900-099-S59</w:t>
                  </w:r>
                </w:p>
              </w:tc>
              <w:tc>
                <w:tcPr>
                  <w:tcW w:w="317" w:type="pct"/>
                  <w:tcBorders>
                    <w:tl2br w:val="nil"/>
                    <w:tr2bl w:val="nil"/>
                  </w:tcBorders>
                  <w:shd w:val="clear" w:color="auto" w:fill="auto"/>
                  <w:vAlign w:val="center"/>
                </w:tcPr>
                <w:p w14:paraId="7F89C679">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rPr>
                    <w:t>1.2</w:t>
                  </w:r>
                </w:p>
              </w:tc>
              <w:tc>
                <w:tcPr>
                  <w:tcW w:w="364" w:type="pct"/>
                  <w:vMerge w:val="restart"/>
                  <w:tcBorders>
                    <w:tl2br w:val="nil"/>
                    <w:tr2bl w:val="nil"/>
                  </w:tcBorders>
                  <w:shd w:val="clear" w:color="auto" w:fill="auto"/>
                  <w:vAlign w:val="center"/>
                </w:tcPr>
                <w:p w14:paraId="6494085D">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s="宋体"/>
                      <w:color w:val="auto"/>
                      <w:szCs w:val="21"/>
                      <w:lang w:bidi="ar"/>
                    </w:rPr>
                    <w:t>定期外售综合利用</w:t>
                  </w:r>
                </w:p>
              </w:tc>
              <w:tc>
                <w:tcPr>
                  <w:tcW w:w="128" w:type="pct"/>
                  <w:tcBorders>
                    <w:tl2br w:val="nil"/>
                    <w:tr2bl w:val="nil"/>
                  </w:tcBorders>
                  <w:shd w:val="clear" w:color="auto" w:fill="auto"/>
                  <w:vAlign w:val="center"/>
                </w:tcPr>
                <w:p w14:paraId="4C11FD01">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0</w:t>
                  </w:r>
                </w:p>
              </w:tc>
            </w:tr>
            <w:tr w14:paraId="4CF7F1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7" w:hRule="atLeast"/>
                <w:jc w:val="center"/>
              </w:trPr>
              <w:tc>
                <w:tcPr>
                  <w:tcW w:w="140" w:type="pct"/>
                  <w:tcBorders>
                    <w:tl2br w:val="nil"/>
                    <w:tr2bl w:val="nil"/>
                  </w:tcBorders>
                  <w:shd w:val="clear" w:color="auto" w:fill="auto"/>
                  <w:vAlign w:val="center"/>
                </w:tcPr>
                <w:p w14:paraId="56D05A2A">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color w:val="auto"/>
                      <w:szCs w:val="21"/>
                      <w:lang w:bidi="ar"/>
                    </w:rPr>
                    <w:t>2</w:t>
                  </w:r>
                </w:p>
              </w:tc>
              <w:tc>
                <w:tcPr>
                  <w:tcW w:w="667" w:type="pct"/>
                  <w:tcBorders>
                    <w:tl2br w:val="nil"/>
                    <w:tr2bl w:val="nil"/>
                  </w:tcBorders>
                  <w:shd w:val="clear" w:color="auto" w:fill="auto"/>
                  <w:vAlign w:val="center"/>
                </w:tcPr>
                <w:p w14:paraId="02FF2690">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Ansi="宋体" w:cs="宋体"/>
                      <w:bCs/>
                      <w:color w:val="auto"/>
                      <w:szCs w:val="21"/>
                      <w:lang w:bidi="ar"/>
                    </w:rPr>
                  </w:pPr>
                  <w:r>
                    <w:rPr>
                      <w:rFonts w:hint="eastAsia" w:hAnsi="宋体" w:cs="宋体"/>
                      <w:bCs/>
                      <w:color w:val="auto"/>
                      <w:szCs w:val="21"/>
                      <w:lang w:bidi="ar"/>
                    </w:rPr>
                    <w:t>测试不合格品</w:t>
                  </w:r>
                </w:p>
              </w:tc>
              <w:tc>
                <w:tcPr>
                  <w:tcW w:w="459" w:type="pct"/>
                  <w:vMerge w:val="continue"/>
                  <w:tcBorders>
                    <w:tl2br w:val="nil"/>
                    <w:tr2bl w:val="nil"/>
                  </w:tcBorders>
                  <w:shd w:val="clear" w:color="auto" w:fill="auto"/>
                  <w:vAlign w:val="center"/>
                </w:tcPr>
                <w:p w14:paraId="71455EED">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Ansi="宋体" w:cs="宋体"/>
                      <w:color w:val="auto"/>
                      <w:szCs w:val="21"/>
                      <w:lang w:bidi="ar"/>
                    </w:rPr>
                  </w:pPr>
                </w:p>
              </w:tc>
              <w:tc>
                <w:tcPr>
                  <w:tcW w:w="669" w:type="pct"/>
                  <w:tcBorders>
                    <w:tl2br w:val="nil"/>
                    <w:tr2bl w:val="nil"/>
                  </w:tcBorders>
                  <w:shd w:val="clear" w:color="auto" w:fill="auto"/>
                  <w:vAlign w:val="center"/>
                </w:tcPr>
                <w:p w14:paraId="4EF62444">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Ansi="宋体" w:cs="宋体"/>
                      <w:color w:val="auto"/>
                      <w:szCs w:val="21"/>
                      <w:lang w:bidi="ar"/>
                    </w:rPr>
                  </w:pPr>
                  <w:r>
                    <w:rPr>
                      <w:rFonts w:hint="eastAsia"/>
                      <w:color w:val="auto"/>
                      <w:szCs w:val="21"/>
                    </w:rPr>
                    <w:t>转子动平衡测试、定子综合测试、整机测试、</w:t>
                  </w:r>
                  <w:r>
                    <w:rPr>
                      <w:rFonts w:hint="eastAsia"/>
                      <w:color w:val="auto"/>
                      <w:kern w:val="0"/>
                      <w:szCs w:val="21"/>
                    </w:rPr>
                    <w:t>PCBA半成品板测试、安全性测试、电性能测试、高温老化测试、负载测试、FQC检验</w:t>
                  </w:r>
                </w:p>
              </w:tc>
              <w:tc>
                <w:tcPr>
                  <w:tcW w:w="332" w:type="pct"/>
                  <w:tcBorders>
                    <w:tl2br w:val="nil"/>
                    <w:tr2bl w:val="nil"/>
                  </w:tcBorders>
                  <w:shd w:val="clear" w:color="auto" w:fill="auto"/>
                  <w:vAlign w:val="center"/>
                </w:tcPr>
                <w:p w14:paraId="74296C54">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Ansi="宋体" w:cs="宋体"/>
                      <w:color w:val="auto"/>
                      <w:szCs w:val="21"/>
                      <w:lang w:bidi="ar"/>
                    </w:rPr>
                  </w:pPr>
                  <w:r>
                    <w:rPr>
                      <w:rFonts w:hint="eastAsia" w:hAnsi="宋体" w:cs="宋体"/>
                      <w:color w:val="auto"/>
                      <w:szCs w:val="21"/>
                      <w:lang w:bidi="ar"/>
                    </w:rPr>
                    <w:t>固态</w:t>
                  </w:r>
                </w:p>
              </w:tc>
              <w:tc>
                <w:tcPr>
                  <w:tcW w:w="394" w:type="pct"/>
                  <w:tcBorders>
                    <w:tl2br w:val="nil"/>
                    <w:tr2bl w:val="nil"/>
                  </w:tcBorders>
                  <w:shd w:val="clear" w:color="auto" w:fill="auto"/>
                  <w:vAlign w:val="center"/>
                </w:tcPr>
                <w:p w14:paraId="393E6457">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cs="宋体"/>
                      <w:color w:val="auto"/>
                      <w:szCs w:val="21"/>
                      <w:lang w:bidi="ar"/>
                    </w:rPr>
                  </w:pPr>
                  <w:r>
                    <w:rPr>
                      <w:rFonts w:hint="eastAsia"/>
                      <w:color w:val="auto"/>
                      <w:szCs w:val="21"/>
                    </w:rPr>
                    <w:t>金属</w:t>
                  </w:r>
                </w:p>
              </w:tc>
              <w:tc>
                <w:tcPr>
                  <w:tcW w:w="280" w:type="pct"/>
                  <w:vMerge w:val="continue"/>
                  <w:tcBorders>
                    <w:tl2br w:val="nil"/>
                    <w:tr2bl w:val="nil"/>
                  </w:tcBorders>
                  <w:shd w:val="clear" w:color="auto" w:fill="auto"/>
                  <w:vAlign w:val="center"/>
                </w:tcPr>
                <w:p w14:paraId="09AC8639">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p>
              </w:tc>
              <w:tc>
                <w:tcPr>
                  <w:tcW w:w="241" w:type="pct"/>
                  <w:tcBorders>
                    <w:tl2br w:val="nil"/>
                    <w:tr2bl w:val="nil"/>
                  </w:tcBorders>
                  <w:shd w:val="clear" w:color="auto" w:fill="auto"/>
                  <w:vAlign w:val="center"/>
                </w:tcPr>
                <w:p w14:paraId="7EE5C52B">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w:t>
                  </w:r>
                </w:p>
              </w:tc>
              <w:tc>
                <w:tcPr>
                  <w:tcW w:w="331" w:type="pct"/>
                  <w:tcBorders>
                    <w:tl2br w:val="nil"/>
                    <w:tr2bl w:val="nil"/>
                  </w:tcBorders>
                  <w:shd w:val="clear" w:color="auto" w:fill="auto"/>
                  <w:vAlign w:val="center"/>
                </w:tcPr>
                <w:p w14:paraId="6187C56F">
                  <w:pPr>
                    <w:keepNext w:val="0"/>
                    <w:keepLines w:val="0"/>
                    <w:pageBreakBefore w:val="0"/>
                    <w:widowControl/>
                    <w:kinsoku/>
                    <w:wordWrap/>
                    <w:overflowPunct/>
                    <w:topLinePunct w:val="0"/>
                    <w:autoSpaceDE/>
                    <w:autoSpaceDN/>
                    <w:bidi w:val="0"/>
                    <w:adjustRightInd w:val="0"/>
                    <w:snapToGrid w:val="0"/>
                    <w:spacing w:beforeAutospacing="0" w:afterAutospacing="0"/>
                    <w:ind w:left="-105" w:leftChars="-50" w:right="-105" w:rightChars="-50" w:firstLine="0"/>
                    <w:jc w:val="center"/>
                    <w:rPr>
                      <w:bCs/>
                      <w:color w:val="auto"/>
                      <w:szCs w:val="21"/>
                      <w:lang w:bidi="ar"/>
                    </w:rPr>
                  </w:pPr>
                  <w:r>
                    <w:rPr>
                      <w:rFonts w:hint="eastAsia"/>
                      <w:color w:val="auto"/>
                      <w:kern w:val="0"/>
                      <w:szCs w:val="21"/>
                    </w:rPr>
                    <w:t>SW59</w:t>
                  </w:r>
                </w:p>
              </w:tc>
              <w:tc>
                <w:tcPr>
                  <w:tcW w:w="672" w:type="pct"/>
                  <w:tcBorders>
                    <w:tl2br w:val="nil"/>
                    <w:tr2bl w:val="nil"/>
                  </w:tcBorders>
                  <w:shd w:val="clear" w:color="auto" w:fill="auto"/>
                  <w:vAlign w:val="center"/>
                </w:tcPr>
                <w:p w14:paraId="7737D313">
                  <w:pPr>
                    <w:keepNext w:val="0"/>
                    <w:keepLines w:val="0"/>
                    <w:pageBreakBefore w:val="0"/>
                    <w:widowControl/>
                    <w:kinsoku/>
                    <w:wordWrap/>
                    <w:overflowPunct/>
                    <w:topLinePunct w:val="0"/>
                    <w:autoSpaceDE/>
                    <w:autoSpaceDN/>
                    <w:bidi w:val="0"/>
                    <w:adjustRightInd w:val="0"/>
                    <w:snapToGrid w:val="0"/>
                    <w:spacing w:beforeAutospacing="0" w:afterAutospacing="0"/>
                    <w:ind w:left="-105" w:leftChars="-50" w:right="-105" w:rightChars="-50" w:firstLine="0"/>
                    <w:jc w:val="center"/>
                    <w:rPr>
                      <w:color w:val="auto"/>
                      <w:szCs w:val="21"/>
                      <w:lang w:bidi="ar"/>
                    </w:rPr>
                  </w:pPr>
                  <w:r>
                    <w:rPr>
                      <w:rFonts w:hint="eastAsia"/>
                      <w:color w:val="auto"/>
                      <w:kern w:val="0"/>
                      <w:szCs w:val="21"/>
                    </w:rPr>
                    <w:t>900-099-S59</w:t>
                  </w:r>
                </w:p>
              </w:tc>
              <w:tc>
                <w:tcPr>
                  <w:tcW w:w="317" w:type="pct"/>
                  <w:tcBorders>
                    <w:tl2br w:val="nil"/>
                    <w:tr2bl w:val="nil"/>
                  </w:tcBorders>
                  <w:shd w:val="clear" w:color="auto" w:fill="auto"/>
                  <w:vAlign w:val="center"/>
                </w:tcPr>
                <w:p w14:paraId="06A564B3">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rPr>
                    <w:t>0.6</w:t>
                  </w:r>
                </w:p>
              </w:tc>
              <w:tc>
                <w:tcPr>
                  <w:tcW w:w="364" w:type="pct"/>
                  <w:vMerge w:val="continue"/>
                  <w:tcBorders>
                    <w:tl2br w:val="nil"/>
                    <w:tr2bl w:val="nil"/>
                  </w:tcBorders>
                  <w:shd w:val="clear" w:color="auto" w:fill="auto"/>
                  <w:vAlign w:val="center"/>
                </w:tcPr>
                <w:p w14:paraId="23C114A2">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cs="宋体"/>
                      <w:color w:val="auto"/>
                      <w:szCs w:val="21"/>
                      <w:lang w:bidi="ar"/>
                    </w:rPr>
                  </w:pPr>
                </w:p>
              </w:tc>
              <w:tc>
                <w:tcPr>
                  <w:tcW w:w="128" w:type="pct"/>
                  <w:tcBorders>
                    <w:tl2br w:val="nil"/>
                    <w:tr2bl w:val="nil"/>
                  </w:tcBorders>
                  <w:shd w:val="clear" w:color="auto" w:fill="auto"/>
                  <w:vAlign w:val="center"/>
                </w:tcPr>
                <w:p w14:paraId="6825BCCE">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0</w:t>
                  </w:r>
                </w:p>
              </w:tc>
            </w:tr>
            <w:tr w14:paraId="75FA61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7" w:hRule="atLeast"/>
                <w:jc w:val="center"/>
              </w:trPr>
              <w:tc>
                <w:tcPr>
                  <w:tcW w:w="140" w:type="pct"/>
                  <w:tcBorders>
                    <w:tl2br w:val="nil"/>
                    <w:tr2bl w:val="nil"/>
                  </w:tcBorders>
                  <w:shd w:val="clear" w:color="auto" w:fill="auto"/>
                  <w:vAlign w:val="center"/>
                </w:tcPr>
                <w:p w14:paraId="23B7FE61">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color w:val="auto"/>
                      <w:szCs w:val="21"/>
                      <w:lang w:bidi="ar"/>
                    </w:rPr>
                    <w:t>3</w:t>
                  </w:r>
                </w:p>
              </w:tc>
              <w:tc>
                <w:tcPr>
                  <w:tcW w:w="667" w:type="pct"/>
                  <w:tcBorders>
                    <w:tl2br w:val="nil"/>
                    <w:tr2bl w:val="nil"/>
                  </w:tcBorders>
                  <w:shd w:val="clear" w:color="auto" w:fill="auto"/>
                  <w:vAlign w:val="center"/>
                </w:tcPr>
                <w:p w14:paraId="71D06175">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Ansi="宋体" w:cs="宋体"/>
                      <w:bCs/>
                      <w:color w:val="auto"/>
                      <w:szCs w:val="21"/>
                      <w:lang w:bidi="ar"/>
                    </w:rPr>
                  </w:pPr>
                  <w:r>
                    <w:rPr>
                      <w:rFonts w:hint="eastAsia"/>
                      <w:color w:val="auto"/>
                      <w:szCs w:val="21"/>
                    </w:rPr>
                    <w:t>废漆包线</w:t>
                  </w:r>
                </w:p>
              </w:tc>
              <w:tc>
                <w:tcPr>
                  <w:tcW w:w="459" w:type="pct"/>
                  <w:vMerge w:val="continue"/>
                  <w:tcBorders>
                    <w:tl2br w:val="nil"/>
                    <w:tr2bl w:val="nil"/>
                  </w:tcBorders>
                  <w:shd w:val="clear" w:color="auto" w:fill="auto"/>
                  <w:vAlign w:val="center"/>
                </w:tcPr>
                <w:p w14:paraId="4D5702F8">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Ansi="宋体" w:cs="宋体"/>
                      <w:color w:val="auto"/>
                      <w:szCs w:val="21"/>
                      <w:lang w:bidi="ar"/>
                    </w:rPr>
                  </w:pPr>
                </w:p>
              </w:tc>
              <w:tc>
                <w:tcPr>
                  <w:tcW w:w="669" w:type="pct"/>
                  <w:tcBorders>
                    <w:tl2br w:val="nil"/>
                    <w:tr2bl w:val="nil"/>
                  </w:tcBorders>
                  <w:shd w:val="clear" w:color="auto" w:fill="auto"/>
                  <w:vAlign w:val="center"/>
                </w:tcPr>
                <w:p w14:paraId="3AA5A6FE">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Ansi="宋体" w:cs="宋体"/>
                      <w:color w:val="auto"/>
                      <w:szCs w:val="21"/>
                      <w:lang w:bidi="ar"/>
                    </w:rPr>
                  </w:pPr>
                  <w:r>
                    <w:rPr>
                      <w:rFonts w:hint="eastAsia"/>
                      <w:color w:val="auto"/>
                      <w:szCs w:val="21"/>
                    </w:rPr>
                    <w:t>下线整形</w:t>
                  </w:r>
                </w:p>
              </w:tc>
              <w:tc>
                <w:tcPr>
                  <w:tcW w:w="332" w:type="pct"/>
                  <w:tcBorders>
                    <w:tl2br w:val="nil"/>
                    <w:tr2bl w:val="nil"/>
                  </w:tcBorders>
                  <w:shd w:val="clear" w:color="auto" w:fill="auto"/>
                  <w:vAlign w:val="center"/>
                </w:tcPr>
                <w:p w14:paraId="74BE5DFE">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Ansi="宋体" w:cs="宋体"/>
                      <w:color w:val="auto"/>
                      <w:szCs w:val="21"/>
                      <w:lang w:bidi="ar"/>
                    </w:rPr>
                  </w:pPr>
                  <w:r>
                    <w:rPr>
                      <w:rFonts w:hint="eastAsia" w:hAnsi="宋体" w:cs="宋体"/>
                      <w:color w:val="auto"/>
                      <w:szCs w:val="21"/>
                      <w:lang w:bidi="ar"/>
                    </w:rPr>
                    <w:t>固态</w:t>
                  </w:r>
                </w:p>
              </w:tc>
              <w:tc>
                <w:tcPr>
                  <w:tcW w:w="394" w:type="pct"/>
                  <w:tcBorders>
                    <w:tl2br w:val="nil"/>
                    <w:tr2bl w:val="nil"/>
                  </w:tcBorders>
                  <w:shd w:val="clear" w:color="auto" w:fill="auto"/>
                  <w:vAlign w:val="center"/>
                </w:tcPr>
                <w:p w14:paraId="47781FE9">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cs="宋体"/>
                      <w:color w:val="auto"/>
                      <w:szCs w:val="21"/>
                      <w:lang w:bidi="ar"/>
                    </w:rPr>
                  </w:pPr>
                  <w:r>
                    <w:rPr>
                      <w:rFonts w:hint="eastAsia"/>
                      <w:color w:val="auto"/>
                      <w:szCs w:val="21"/>
                    </w:rPr>
                    <w:t>树脂</w:t>
                  </w:r>
                </w:p>
              </w:tc>
              <w:tc>
                <w:tcPr>
                  <w:tcW w:w="280" w:type="pct"/>
                  <w:vMerge w:val="continue"/>
                  <w:tcBorders>
                    <w:tl2br w:val="nil"/>
                    <w:tr2bl w:val="nil"/>
                  </w:tcBorders>
                  <w:shd w:val="clear" w:color="auto" w:fill="auto"/>
                  <w:vAlign w:val="center"/>
                </w:tcPr>
                <w:p w14:paraId="03DBADE4">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p>
              </w:tc>
              <w:tc>
                <w:tcPr>
                  <w:tcW w:w="241" w:type="pct"/>
                  <w:tcBorders>
                    <w:tl2br w:val="nil"/>
                    <w:tr2bl w:val="nil"/>
                  </w:tcBorders>
                  <w:shd w:val="clear" w:color="auto" w:fill="auto"/>
                  <w:vAlign w:val="center"/>
                </w:tcPr>
                <w:p w14:paraId="7A195B15">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w:t>
                  </w:r>
                </w:p>
              </w:tc>
              <w:tc>
                <w:tcPr>
                  <w:tcW w:w="331" w:type="pct"/>
                  <w:tcBorders>
                    <w:tl2br w:val="nil"/>
                    <w:tr2bl w:val="nil"/>
                  </w:tcBorders>
                  <w:shd w:val="clear" w:color="auto" w:fill="auto"/>
                  <w:vAlign w:val="center"/>
                </w:tcPr>
                <w:p w14:paraId="27D14350">
                  <w:pPr>
                    <w:keepNext w:val="0"/>
                    <w:keepLines w:val="0"/>
                    <w:pageBreakBefore w:val="0"/>
                    <w:widowControl/>
                    <w:kinsoku/>
                    <w:wordWrap/>
                    <w:overflowPunct/>
                    <w:topLinePunct w:val="0"/>
                    <w:autoSpaceDE/>
                    <w:autoSpaceDN/>
                    <w:bidi w:val="0"/>
                    <w:adjustRightInd w:val="0"/>
                    <w:snapToGrid w:val="0"/>
                    <w:spacing w:beforeAutospacing="0" w:afterAutospacing="0"/>
                    <w:ind w:left="-105" w:leftChars="-50" w:right="-105" w:rightChars="-50" w:firstLine="0"/>
                    <w:jc w:val="center"/>
                    <w:rPr>
                      <w:bCs/>
                      <w:color w:val="auto"/>
                      <w:szCs w:val="21"/>
                      <w:lang w:bidi="ar"/>
                    </w:rPr>
                  </w:pPr>
                  <w:r>
                    <w:rPr>
                      <w:rFonts w:hint="eastAsia"/>
                      <w:color w:val="auto"/>
                      <w:kern w:val="0"/>
                      <w:szCs w:val="21"/>
                    </w:rPr>
                    <w:t>SW59</w:t>
                  </w:r>
                </w:p>
              </w:tc>
              <w:tc>
                <w:tcPr>
                  <w:tcW w:w="672" w:type="pct"/>
                  <w:tcBorders>
                    <w:tl2br w:val="nil"/>
                    <w:tr2bl w:val="nil"/>
                  </w:tcBorders>
                  <w:shd w:val="clear" w:color="auto" w:fill="auto"/>
                  <w:vAlign w:val="center"/>
                </w:tcPr>
                <w:p w14:paraId="02507ED3">
                  <w:pPr>
                    <w:keepNext w:val="0"/>
                    <w:keepLines w:val="0"/>
                    <w:pageBreakBefore w:val="0"/>
                    <w:widowControl/>
                    <w:kinsoku/>
                    <w:wordWrap/>
                    <w:overflowPunct/>
                    <w:topLinePunct w:val="0"/>
                    <w:autoSpaceDE/>
                    <w:autoSpaceDN/>
                    <w:bidi w:val="0"/>
                    <w:adjustRightInd w:val="0"/>
                    <w:snapToGrid w:val="0"/>
                    <w:spacing w:beforeAutospacing="0" w:afterAutospacing="0"/>
                    <w:ind w:left="-105" w:leftChars="-50" w:right="-105" w:rightChars="-50" w:firstLine="0"/>
                    <w:jc w:val="center"/>
                    <w:rPr>
                      <w:color w:val="auto"/>
                      <w:szCs w:val="21"/>
                      <w:lang w:bidi="ar"/>
                    </w:rPr>
                  </w:pPr>
                  <w:r>
                    <w:rPr>
                      <w:rFonts w:hint="eastAsia"/>
                      <w:color w:val="auto"/>
                      <w:kern w:val="0"/>
                      <w:szCs w:val="21"/>
                    </w:rPr>
                    <w:t>900-099-S59</w:t>
                  </w:r>
                </w:p>
              </w:tc>
              <w:tc>
                <w:tcPr>
                  <w:tcW w:w="317" w:type="pct"/>
                  <w:tcBorders>
                    <w:tl2br w:val="nil"/>
                    <w:tr2bl w:val="nil"/>
                  </w:tcBorders>
                  <w:shd w:val="clear" w:color="auto" w:fill="auto"/>
                  <w:vAlign w:val="center"/>
                </w:tcPr>
                <w:p w14:paraId="150467E1">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0.5</w:t>
                  </w:r>
                </w:p>
              </w:tc>
              <w:tc>
                <w:tcPr>
                  <w:tcW w:w="364" w:type="pct"/>
                  <w:vMerge w:val="continue"/>
                  <w:tcBorders>
                    <w:tl2br w:val="nil"/>
                    <w:tr2bl w:val="nil"/>
                  </w:tcBorders>
                  <w:shd w:val="clear" w:color="auto" w:fill="auto"/>
                  <w:vAlign w:val="center"/>
                </w:tcPr>
                <w:p w14:paraId="2D7EC874">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cs="宋体"/>
                      <w:color w:val="auto"/>
                      <w:szCs w:val="21"/>
                      <w:lang w:bidi="ar"/>
                    </w:rPr>
                  </w:pPr>
                </w:p>
              </w:tc>
              <w:tc>
                <w:tcPr>
                  <w:tcW w:w="128" w:type="pct"/>
                  <w:tcBorders>
                    <w:tl2br w:val="nil"/>
                    <w:tr2bl w:val="nil"/>
                  </w:tcBorders>
                  <w:shd w:val="clear" w:color="auto" w:fill="auto"/>
                  <w:vAlign w:val="center"/>
                </w:tcPr>
                <w:p w14:paraId="77706545">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0</w:t>
                  </w:r>
                </w:p>
              </w:tc>
            </w:tr>
            <w:tr w14:paraId="26DD87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7" w:hRule="atLeast"/>
                <w:jc w:val="center"/>
              </w:trPr>
              <w:tc>
                <w:tcPr>
                  <w:tcW w:w="140" w:type="pct"/>
                  <w:tcBorders>
                    <w:tl2br w:val="nil"/>
                    <w:tr2bl w:val="nil"/>
                  </w:tcBorders>
                  <w:shd w:val="clear" w:color="auto" w:fill="auto"/>
                  <w:vAlign w:val="center"/>
                </w:tcPr>
                <w:p w14:paraId="425F886D">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color w:val="auto"/>
                      <w:szCs w:val="21"/>
                      <w:lang w:bidi="ar"/>
                    </w:rPr>
                    <w:t>4</w:t>
                  </w:r>
                </w:p>
              </w:tc>
              <w:tc>
                <w:tcPr>
                  <w:tcW w:w="667" w:type="pct"/>
                  <w:tcBorders>
                    <w:tl2br w:val="nil"/>
                    <w:tr2bl w:val="nil"/>
                  </w:tcBorders>
                  <w:shd w:val="clear" w:color="auto" w:fill="auto"/>
                  <w:vAlign w:val="center"/>
                </w:tcPr>
                <w:p w14:paraId="0B3439DE">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bCs/>
                      <w:color w:val="auto"/>
                      <w:szCs w:val="21"/>
                    </w:rPr>
                  </w:pPr>
                  <w:r>
                    <w:rPr>
                      <w:rFonts w:hint="eastAsia"/>
                      <w:color w:val="auto"/>
                      <w:szCs w:val="21"/>
                    </w:rPr>
                    <w:t>质量检测不合格品</w:t>
                  </w:r>
                </w:p>
              </w:tc>
              <w:tc>
                <w:tcPr>
                  <w:tcW w:w="459" w:type="pct"/>
                  <w:vMerge w:val="continue"/>
                  <w:tcBorders>
                    <w:tl2br w:val="nil"/>
                    <w:tr2bl w:val="nil"/>
                  </w:tcBorders>
                  <w:shd w:val="clear" w:color="auto" w:fill="auto"/>
                  <w:vAlign w:val="center"/>
                </w:tcPr>
                <w:p w14:paraId="1AF48566">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p>
              </w:tc>
              <w:tc>
                <w:tcPr>
                  <w:tcW w:w="669" w:type="pct"/>
                  <w:tcBorders>
                    <w:tl2br w:val="nil"/>
                    <w:tr2bl w:val="nil"/>
                  </w:tcBorders>
                  <w:shd w:val="clear" w:color="auto" w:fill="auto"/>
                  <w:vAlign w:val="center"/>
                </w:tcPr>
                <w:p w14:paraId="5CA7DAD4">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kern w:val="0"/>
                      <w:szCs w:val="21"/>
                    </w:rPr>
                    <w:t>来料质量检测</w:t>
                  </w:r>
                </w:p>
              </w:tc>
              <w:tc>
                <w:tcPr>
                  <w:tcW w:w="332" w:type="pct"/>
                  <w:tcBorders>
                    <w:tl2br w:val="nil"/>
                    <w:tr2bl w:val="nil"/>
                  </w:tcBorders>
                  <w:shd w:val="clear" w:color="auto" w:fill="auto"/>
                  <w:vAlign w:val="center"/>
                </w:tcPr>
                <w:p w14:paraId="041F5721">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hAnsi="宋体" w:cs="宋体"/>
                      <w:color w:val="auto"/>
                      <w:szCs w:val="21"/>
                      <w:lang w:bidi="ar"/>
                    </w:rPr>
                    <w:t>固态</w:t>
                  </w:r>
                </w:p>
              </w:tc>
              <w:tc>
                <w:tcPr>
                  <w:tcW w:w="394" w:type="pct"/>
                  <w:tcBorders>
                    <w:tl2br w:val="nil"/>
                    <w:tr2bl w:val="nil"/>
                  </w:tcBorders>
                  <w:shd w:val="clear" w:color="auto" w:fill="auto"/>
                  <w:vAlign w:val="center"/>
                </w:tcPr>
                <w:p w14:paraId="558B9EAF">
                  <w:pPr>
                    <w:keepNext w:val="0"/>
                    <w:keepLines w:val="0"/>
                    <w:pageBreakBefore w:val="0"/>
                    <w:tabs>
                      <w:tab w:val="left" w:pos="277"/>
                      <w:tab w:val="left" w:pos="600"/>
                      <w:tab w:val="left" w:pos="780"/>
                      <w:tab w:val="left" w:pos="2517"/>
                    </w:tabs>
                    <w:kinsoku/>
                    <w:wordWrap/>
                    <w:overflowPunct/>
                    <w:topLinePunct w:val="0"/>
                    <w:autoSpaceDE/>
                    <w:autoSpaceDN/>
                    <w:bidi w:val="0"/>
                    <w:adjustRightInd w:val="0"/>
                    <w:snapToGrid w:val="0"/>
                    <w:spacing w:beforeAutospacing="0" w:afterAutospacing="0"/>
                    <w:ind w:firstLine="0"/>
                    <w:jc w:val="center"/>
                    <w:textAlignment w:val="baseline"/>
                    <w:rPr>
                      <w:color w:val="auto"/>
                      <w:szCs w:val="21"/>
                    </w:rPr>
                  </w:pPr>
                  <w:r>
                    <w:rPr>
                      <w:rFonts w:hint="eastAsia"/>
                      <w:color w:val="auto"/>
                      <w:kern w:val="0"/>
                      <w:szCs w:val="21"/>
                    </w:rPr>
                    <w:t>金属</w:t>
                  </w:r>
                </w:p>
              </w:tc>
              <w:tc>
                <w:tcPr>
                  <w:tcW w:w="280" w:type="pct"/>
                  <w:vMerge w:val="continue"/>
                  <w:tcBorders>
                    <w:tl2br w:val="nil"/>
                    <w:tr2bl w:val="nil"/>
                  </w:tcBorders>
                  <w:shd w:val="clear" w:color="auto" w:fill="auto"/>
                  <w:vAlign w:val="center"/>
                </w:tcPr>
                <w:p w14:paraId="175752E9">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p>
              </w:tc>
              <w:tc>
                <w:tcPr>
                  <w:tcW w:w="241" w:type="pct"/>
                  <w:tcBorders>
                    <w:tl2br w:val="nil"/>
                    <w:tr2bl w:val="nil"/>
                  </w:tcBorders>
                  <w:shd w:val="clear" w:color="auto" w:fill="auto"/>
                  <w:vAlign w:val="center"/>
                </w:tcPr>
                <w:p w14:paraId="4B10217F">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color w:val="auto"/>
                      <w:szCs w:val="21"/>
                      <w:lang w:bidi="ar"/>
                    </w:rPr>
                    <w:t>/</w:t>
                  </w:r>
                </w:p>
              </w:tc>
              <w:tc>
                <w:tcPr>
                  <w:tcW w:w="331" w:type="pct"/>
                  <w:tcBorders>
                    <w:tl2br w:val="nil"/>
                    <w:tr2bl w:val="nil"/>
                  </w:tcBorders>
                  <w:shd w:val="clear" w:color="auto" w:fill="auto"/>
                  <w:vAlign w:val="center"/>
                </w:tcPr>
                <w:p w14:paraId="10F2F11F">
                  <w:pPr>
                    <w:keepNext w:val="0"/>
                    <w:keepLines w:val="0"/>
                    <w:pageBreakBefore w:val="0"/>
                    <w:widowControl/>
                    <w:kinsoku/>
                    <w:wordWrap/>
                    <w:overflowPunct/>
                    <w:topLinePunct w:val="0"/>
                    <w:autoSpaceDE/>
                    <w:autoSpaceDN/>
                    <w:bidi w:val="0"/>
                    <w:adjustRightInd w:val="0"/>
                    <w:snapToGrid w:val="0"/>
                    <w:spacing w:beforeAutospacing="0" w:afterAutospacing="0"/>
                    <w:ind w:left="-105" w:leftChars="-50" w:right="-105" w:rightChars="-50" w:firstLine="0"/>
                    <w:jc w:val="center"/>
                    <w:rPr>
                      <w:bCs/>
                      <w:color w:val="auto"/>
                      <w:szCs w:val="21"/>
                    </w:rPr>
                  </w:pPr>
                  <w:r>
                    <w:rPr>
                      <w:rFonts w:hint="eastAsia"/>
                      <w:color w:val="auto"/>
                      <w:kern w:val="0"/>
                      <w:szCs w:val="21"/>
                    </w:rPr>
                    <w:t>SW59</w:t>
                  </w:r>
                </w:p>
              </w:tc>
              <w:tc>
                <w:tcPr>
                  <w:tcW w:w="672" w:type="pct"/>
                  <w:tcBorders>
                    <w:tl2br w:val="nil"/>
                    <w:tr2bl w:val="nil"/>
                  </w:tcBorders>
                  <w:shd w:val="clear" w:color="auto" w:fill="auto"/>
                  <w:vAlign w:val="center"/>
                </w:tcPr>
                <w:p w14:paraId="25E73169">
                  <w:pPr>
                    <w:keepNext w:val="0"/>
                    <w:keepLines w:val="0"/>
                    <w:pageBreakBefore w:val="0"/>
                    <w:widowControl/>
                    <w:kinsoku/>
                    <w:wordWrap/>
                    <w:overflowPunct/>
                    <w:topLinePunct w:val="0"/>
                    <w:autoSpaceDE/>
                    <w:autoSpaceDN/>
                    <w:bidi w:val="0"/>
                    <w:adjustRightInd w:val="0"/>
                    <w:snapToGrid w:val="0"/>
                    <w:spacing w:beforeAutospacing="0" w:afterAutospacing="0"/>
                    <w:ind w:left="-105" w:leftChars="-50" w:right="-105" w:rightChars="-50" w:firstLine="0"/>
                    <w:jc w:val="center"/>
                    <w:rPr>
                      <w:color w:val="auto"/>
                      <w:szCs w:val="21"/>
                    </w:rPr>
                  </w:pPr>
                  <w:r>
                    <w:rPr>
                      <w:rFonts w:hint="eastAsia"/>
                      <w:color w:val="auto"/>
                      <w:kern w:val="0"/>
                      <w:szCs w:val="21"/>
                    </w:rPr>
                    <w:t>900-099-S59</w:t>
                  </w:r>
                </w:p>
              </w:tc>
              <w:tc>
                <w:tcPr>
                  <w:tcW w:w="317" w:type="pct"/>
                  <w:tcBorders>
                    <w:tl2br w:val="nil"/>
                    <w:tr2bl w:val="nil"/>
                  </w:tcBorders>
                  <w:shd w:val="clear" w:color="auto" w:fill="auto"/>
                  <w:vAlign w:val="center"/>
                </w:tcPr>
                <w:p w14:paraId="3970D334">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lang w:bidi="ar"/>
                    </w:rPr>
                    <w:t>0.6</w:t>
                  </w:r>
                </w:p>
              </w:tc>
              <w:tc>
                <w:tcPr>
                  <w:tcW w:w="364" w:type="pct"/>
                  <w:vMerge w:val="continue"/>
                  <w:tcBorders>
                    <w:tl2br w:val="nil"/>
                    <w:tr2bl w:val="nil"/>
                  </w:tcBorders>
                  <w:shd w:val="clear" w:color="auto" w:fill="auto"/>
                  <w:vAlign w:val="center"/>
                </w:tcPr>
                <w:p w14:paraId="00A19145">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p>
              </w:tc>
              <w:tc>
                <w:tcPr>
                  <w:tcW w:w="128" w:type="pct"/>
                  <w:tcBorders>
                    <w:tl2br w:val="nil"/>
                    <w:tr2bl w:val="nil"/>
                  </w:tcBorders>
                  <w:shd w:val="clear" w:color="auto" w:fill="auto"/>
                  <w:vAlign w:val="center"/>
                </w:tcPr>
                <w:p w14:paraId="05433C93">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color w:val="auto"/>
                      <w:szCs w:val="21"/>
                      <w:lang w:bidi="ar"/>
                    </w:rPr>
                    <w:t>0</w:t>
                  </w:r>
                </w:p>
              </w:tc>
            </w:tr>
            <w:tr w14:paraId="640EFB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7" w:hRule="atLeast"/>
                <w:jc w:val="center"/>
              </w:trPr>
              <w:tc>
                <w:tcPr>
                  <w:tcW w:w="140" w:type="pct"/>
                  <w:tcBorders>
                    <w:tl2br w:val="nil"/>
                    <w:tr2bl w:val="nil"/>
                  </w:tcBorders>
                  <w:shd w:val="clear" w:color="auto" w:fill="auto"/>
                  <w:vAlign w:val="center"/>
                </w:tcPr>
                <w:p w14:paraId="1BA5153E">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color w:val="auto"/>
                      <w:szCs w:val="21"/>
                      <w:lang w:bidi="ar"/>
                    </w:rPr>
                    <w:t>5</w:t>
                  </w:r>
                </w:p>
              </w:tc>
              <w:tc>
                <w:tcPr>
                  <w:tcW w:w="667" w:type="pct"/>
                  <w:tcBorders>
                    <w:tl2br w:val="nil"/>
                    <w:tr2bl w:val="nil"/>
                  </w:tcBorders>
                  <w:shd w:val="clear" w:color="auto" w:fill="auto"/>
                  <w:vAlign w:val="center"/>
                </w:tcPr>
                <w:p w14:paraId="310A9ADA">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Ansi="宋体"/>
                      <w:bCs/>
                      <w:color w:val="auto"/>
                      <w:szCs w:val="21"/>
                    </w:rPr>
                  </w:pPr>
                  <w:r>
                    <w:rPr>
                      <w:rFonts w:hint="eastAsia"/>
                      <w:bCs/>
                      <w:color w:val="auto"/>
                      <w:szCs w:val="21"/>
                    </w:rPr>
                    <w:t>废包装材料</w:t>
                  </w:r>
                </w:p>
              </w:tc>
              <w:tc>
                <w:tcPr>
                  <w:tcW w:w="459" w:type="pct"/>
                  <w:vMerge w:val="continue"/>
                  <w:tcBorders>
                    <w:tl2br w:val="nil"/>
                    <w:tr2bl w:val="nil"/>
                  </w:tcBorders>
                  <w:shd w:val="clear" w:color="auto" w:fill="auto"/>
                  <w:vAlign w:val="center"/>
                </w:tcPr>
                <w:p w14:paraId="17B9FF10">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p>
              </w:tc>
              <w:tc>
                <w:tcPr>
                  <w:tcW w:w="669" w:type="pct"/>
                  <w:tcBorders>
                    <w:tl2br w:val="nil"/>
                    <w:tr2bl w:val="nil"/>
                  </w:tcBorders>
                  <w:shd w:val="clear" w:color="auto" w:fill="auto"/>
                  <w:vAlign w:val="center"/>
                </w:tcPr>
                <w:p w14:paraId="39A91BFB">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物料储存</w:t>
                  </w:r>
                </w:p>
              </w:tc>
              <w:tc>
                <w:tcPr>
                  <w:tcW w:w="332" w:type="pct"/>
                  <w:tcBorders>
                    <w:tl2br w:val="nil"/>
                    <w:tr2bl w:val="nil"/>
                  </w:tcBorders>
                  <w:shd w:val="clear" w:color="auto" w:fill="auto"/>
                  <w:vAlign w:val="center"/>
                </w:tcPr>
                <w:p w14:paraId="62364077">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Ansi="宋体"/>
                      <w:color w:val="auto"/>
                      <w:szCs w:val="21"/>
                    </w:rPr>
                  </w:pPr>
                  <w:r>
                    <w:rPr>
                      <w:rFonts w:hint="eastAsia" w:hAnsi="宋体" w:cs="宋体"/>
                      <w:color w:val="auto"/>
                      <w:szCs w:val="21"/>
                      <w:lang w:bidi="ar"/>
                    </w:rPr>
                    <w:t>固态</w:t>
                  </w:r>
                </w:p>
              </w:tc>
              <w:tc>
                <w:tcPr>
                  <w:tcW w:w="394" w:type="pct"/>
                  <w:tcBorders>
                    <w:tl2br w:val="nil"/>
                    <w:tr2bl w:val="nil"/>
                  </w:tcBorders>
                  <w:shd w:val="clear" w:color="auto" w:fill="auto"/>
                  <w:vAlign w:val="center"/>
                </w:tcPr>
                <w:p w14:paraId="48F5D5B6">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塑料</w:t>
                  </w:r>
                </w:p>
              </w:tc>
              <w:tc>
                <w:tcPr>
                  <w:tcW w:w="280" w:type="pct"/>
                  <w:vMerge w:val="continue"/>
                  <w:tcBorders>
                    <w:tl2br w:val="nil"/>
                    <w:tr2bl w:val="nil"/>
                  </w:tcBorders>
                  <w:shd w:val="clear" w:color="auto" w:fill="auto"/>
                  <w:vAlign w:val="center"/>
                </w:tcPr>
                <w:p w14:paraId="3C169192">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p>
              </w:tc>
              <w:tc>
                <w:tcPr>
                  <w:tcW w:w="241" w:type="pct"/>
                  <w:tcBorders>
                    <w:tl2br w:val="nil"/>
                    <w:tr2bl w:val="nil"/>
                  </w:tcBorders>
                  <w:shd w:val="clear" w:color="auto" w:fill="auto"/>
                  <w:vAlign w:val="center"/>
                </w:tcPr>
                <w:p w14:paraId="7CF0D4F0">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color w:val="auto"/>
                      <w:szCs w:val="21"/>
                      <w:lang w:bidi="ar"/>
                    </w:rPr>
                    <w:t>/</w:t>
                  </w:r>
                </w:p>
              </w:tc>
              <w:tc>
                <w:tcPr>
                  <w:tcW w:w="331" w:type="pct"/>
                  <w:tcBorders>
                    <w:tl2br w:val="nil"/>
                    <w:tr2bl w:val="nil"/>
                  </w:tcBorders>
                  <w:shd w:val="clear" w:color="auto" w:fill="auto"/>
                  <w:vAlign w:val="center"/>
                </w:tcPr>
                <w:p w14:paraId="694DC9D7">
                  <w:pPr>
                    <w:keepNext w:val="0"/>
                    <w:keepLines w:val="0"/>
                    <w:pageBreakBefore w:val="0"/>
                    <w:widowControl/>
                    <w:kinsoku/>
                    <w:wordWrap/>
                    <w:overflowPunct/>
                    <w:topLinePunct w:val="0"/>
                    <w:autoSpaceDE/>
                    <w:autoSpaceDN/>
                    <w:bidi w:val="0"/>
                    <w:adjustRightInd w:val="0"/>
                    <w:snapToGrid w:val="0"/>
                    <w:spacing w:beforeAutospacing="0" w:afterAutospacing="0"/>
                    <w:ind w:left="-105" w:leftChars="-50" w:right="-105" w:rightChars="-50" w:firstLine="0"/>
                    <w:jc w:val="center"/>
                    <w:rPr>
                      <w:bCs/>
                      <w:color w:val="auto"/>
                      <w:szCs w:val="21"/>
                    </w:rPr>
                  </w:pPr>
                  <w:r>
                    <w:rPr>
                      <w:rFonts w:hint="eastAsia"/>
                      <w:color w:val="auto"/>
                      <w:kern w:val="0"/>
                      <w:szCs w:val="21"/>
                    </w:rPr>
                    <w:t>SW59</w:t>
                  </w:r>
                </w:p>
              </w:tc>
              <w:tc>
                <w:tcPr>
                  <w:tcW w:w="672" w:type="pct"/>
                  <w:tcBorders>
                    <w:tl2br w:val="nil"/>
                    <w:tr2bl w:val="nil"/>
                  </w:tcBorders>
                  <w:shd w:val="clear" w:color="auto" w:fill="auto"/>
                  <w:vAlign w:val="center"/>
                </w:tcPr>
                <w:p w14:paraId="187180CC">
                  <w:pPr>
                    <w:keepNext w:val="0"/>
                    <w:keepLines w:val="0"/>
                    <w:pageBreakBefore w:val="0"/>
                    <w:widowControl/>
                    <w:kinsoku/>
                    <w:wordWrap/>
                    <w:overflowPunct/>
                    <w:topLinePunct w:val="0"/>
                    <w:autoSpaceDE/>
                    <w:autoSpaceDN/>
                    <w:bidi w:val="0"/>
                    <w:adjustRightInd w:val="0"/>
                    <w:snapToGrid w:val="0"/>
                    <w:spacing w:beforeAutospacing="0" w:afterAutospacing="0"/>
                    <w:ind w:left="-105" w:leftChars="-50" w:right="-105" w:rightChars="-50" w:firstLine="0"/>
                    <w:jc w:val="center"/>
                    <w:rPr>
                      <w:color w:val="auto"/>
                      <w:szCs w:val="21"/>
                    </w:rPr>
                  </w:pPr>
                  <w:r>
                    <w:rPr>
                      <w:rFonts w:hint="eastAsia"/>
                      <w:color w:val="auto"/>
                      <w:kern w:val="0"/>
                      <w:szCs w:val="21"/>
                    </w:rPr>
                    <w:t>900-099-S59</w:t>
                  </w:r>
                </w:p>
              </w:tc>
              <w:tc>
                <w:tcPr>
                  <w:tcW w:w="317" w:type="pct"/>
                  <w:tcBorders>
                    <w:tl2br w:val="nil"/>
                    <w:tr2bl w:val="nil"/>
                  </w:tcBorders>
                  <w:shd w:val="clear" w:color="auto" w:fill="auto"/>
                  <w:vAlign w:val="center"/>
                </w:tcPr>
                <w:p w14:paraId="49FB90D6">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lang w:bidi="ar"/>
                    </w:rPr>
                    <w:t>0.3</w:t>
                  </w:r>
                </w:p>
              </w:tc>
              <w:tc>
                <w:tcPr>
                  <w:tcW w:w="364" w:type="pct"/>
                  <w:vMerge w:val="continue"/>
                  <w:tcBorders>
                    <w:tl2br w:val="nil"/>
                    <w:tr2bl w:val="nil"/>
                  </w:tcBorders>
                  <w:shd w:val="clear" w:color="auto" w:fill="auto"/>
                  <w:vAlign w:val="center"/>
                </w:tcPr>
                <w:p w14:paraId="1F7A5054">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p>
              </w:tc>
              <w:tc>
                <w:tcPr>
                  <w:tcW w:w="128" w:type="pct"/>
                  <w:tcBorders>
                    <w:tl2br w:val="nil"/>
                    <w:tr2bl w:val="nil"/>
                  </w:tcBorders>
                  <w:shd w:val="clear" w:color="auto" w:fill="auto"/>
                  <w:vAlign w:val="center"/>
                </w:tcPr>
                <w:p w14:paraId="2E945DB0">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color w:val="auto"/>
                      <w:szCs w:val="21"/>
                      <w:lang w:bidi="ar"/>
                    </w:rPr>
                    <w:t>0</w:t>
                  </w:r>
                </w:p>
              </w:tc>
            </w:tr>
            <w:tr w14:paraId="24406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7" w:hRule="atLeast"/>
                <w:jc w:val="center"/>
              </w:trPr>
              <w:tc>
                <w:tcPr>
                  <w:tcW w:w="140" w:type="pct"/>
                  <w:tcBorders>
                    <w:tl2br w:val="nil"/>
                    <w:tr2bl w:val="nil"/>
                  </w:tcBorders>
                  <w:shd w:val="clear" w:color="auto" w:fill="auto"/>
                  <w:vAlign w:val="center"/>
                </w:tcPr>
                <w:p w14:paraId="7BF11FE7">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color w:val="auto"/>
                      <w:szCs w:val="21"/>
                      <w:lang w:bidi="ar"/>
                    </w:rPr>
                    <w:t>6</w:t>
                  </w:r>
                </w:p>
              </w:tc>
              <w:tc>
                <w:tcPr>
                  <w:tcW w:w="667" w:type="pct"/>
                  <w:tcBorders>
                    <w:tl2br w:val="nil"/>
                    <w:tr2bl w:val="nil"/>
                  </w:tcBorders>
                  <w:shd w:val="clear" w:color="auto" w:fill="auto"/>
                  <w:vAlign w:val="center"/>
                </w:tcPr>
                <w:p w14:paraId="06DA286F">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bCs/>
                      <w:color w:val="auto"/>
                      <w:szCs w:val="21"/>
                    </w:rPr>
                  </w:pPr>
                  <w:r>
                    <w:rPr>
                      <w:rFonts w:hint="eastAsia"/>
                      <w:bCs/>
                      <w:color w:val="auto"/>
                      <w:szCs w:val="21"/>
                    </w:rPr>
                    <w:t>布袋除尘灰</w:t>
                  </w:r>
                </w:p>
              </w:tc>
              <w:tc>
                <w:tcPr>
                  <w:tcW w:w="459" w:type="pct"/>
                  <w:vMerge w:val="continue"/>
                  <w:tcBorders>
                    <w:tl2br w:val="nil"/>
                    <w:tr2bl w:val="nil"/>
                  </w:tcBorders>
                  <w:shd w:val="clear" w:color="auto" w:fill="auto"/>
                  <w:vAlign w:val="center"/>
                </w:tcPr>
                <w:p w14:paraId="6E063C28">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p>
              </w:tc>
              <w:tc>
                <w:tcPr>
                  <w:tcW w:w="669" w:type="pct"/>
                  <w:tcBorders>
                    <w:tl2br w:val="nil"/>
                    <w:tr2bl w:val="nil"/>
                  </w:tcBorders>
                  <w:shd w:val="clear" w:color="auto" w:fill="auto"/>
                  <w:vAlign w:val="center"/>
                </w:tcPr>
                <w:p w14:paraId="2181541F">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废气处理</w:t>
                  </w:r>
                </w:p>
              </w:tc>
              <w:tc>
                <w:tcPr>
                  <w:tcW w:w="332" w:type="pct"/>
                  <w:tcBorders>
                    <w:tl2br w:val="nil"/>
                    <w:tr2bl w:val="nil"/>
                  </w:tcBorders>
                  <w:shd w:val="clear" w:color="auto" w:fill="auto"/>
                  <w:vAlign w:val="center"/>
                </w:tcPr>
                <w:p w14:paraId="43FA264B">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Ansi="宋体" w:cs="宋体"/>
                      <w:color w:val="auto"/>
                      <w:szCs w:val="21"/>
                      <w:lang w:bidi="ar"/>
                    </w:rPr>
                  </w:pPr>
                  <w:r>
                    <w:rPr>
                      <w:rFonts w:hint="eastAsia" w:hAnsi="宋体" w:cs="宋体"/>
                      <w:color w:val="auto"/>
                      <w:szCs w:val="21"/>
                      <w:lang w:bidi="ar"/>
                    </w:rPr>
                    <w:t>固态</w:t>
                  </w:r>
                </w:p>
              </w:tc>
              <w:tc>
                <w:tcPr>
                  <w:tcW w:w="394" w:type="pct"/>
                  <w:tcBorders>
                    <w:tl2br w:val="nil"/>
                    <w:tr2bl w:val="nil"/>
                  </w:tcBorders>
                  <w:shd w:val="clear" w:color="auto" w:fill="auto"/>
                  <w:vAlign w:val="center"/>
                </w:tcPr>
                <w:p w14:paraId="5967B290">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金属</w:t>
                  </w:r>
                </w:p>
              </w:tc>
              <w:tc>
                <w:tcPr>
                  <w:tcW w:w="280" w:type="pct"/>
                  <w:vMerge w:val="continue"/>
                  <w:tcBorders>
                    <w:tl2br w:val="nil"/>
                    <w:tr2bl w:val="nil"/>
                  </w:tcBorders>
                  <w:shd w:val="clear" w:color="auto" w:fill="auto"/>
                  <w:vAlign w:val="center"/>
                </w:tcPr>
                <w:p w14:paraId="1945E7E2">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p>
              </w:tc>
              <w:tc>
                <w:tcPr>
                  <w:tcW w:w="241" w:type="pct"/>
                  <w:tcBorders>
                    <w:tl2br w:val="nil"/>
                    <w:tr2bl w:val="nil"/>
                  </w:tcBorders>
                  <w:shd w:val="clear" w:color="auto" w:fill="auto"/>
                  <w:vAlign w:val="center"/>
                </w:tcPr>
                <w:p w14:paraId="123677A4">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w:t>
                  </w:r>
                </w:p>
              </w:tc>
              <w:tc>
                <w:tcPr>
                  <w:tcW w:w="331" w:type="pct"/>
                  <w:tcBorders>
                    <w:tl2br w:val="nil"/>
                    <w:tr2bl w:val="nil"/>
                  </w:tcBorders>
                  <w:shd w:val="clear" w:color="auto" w:fill="auto"/>
                  <w:vAlign w:val="center"/>
                </w:tcPr>
                <w:p w14:paraId="5F12D0CE">
                  <w:pPr>
                    <w:keepNext w:val="0"/>
                    <w:keepLines w:val="0"/>
                    <w:pageBreakBefore w:val="0"/>
                    <w:widowControl/>
                    <w:kinsoku/>
                    <w:wordWrap/>
                    <w:overflowPunct/>
                    <w:topLinePunct w:val="0"/>
                    <w:autoSpaceDE/>
                    <w:autoSpaceDN/>
                    <w:bidi w:val="0"/>
                    <w:adjustRightInd w:val="0"/>
                    <w:snapToGrid w:val="0"/>
                    <w:spacing w:beforeAutospacing="0" w:afterAutospacing="0"/>
                    <w:ind w:left="-105" w:leftChars="-50" w:right="-105" w:rightChars="-50" w:firstLine="0"/>
                    <w:jc w:val="center"/>
                    <w:rPr>
                      <w:color w:val="auto"/>
                      <w:kern w:val="0"/>
                      <w:szCs w:val="21"/>
                    </w:rPr>
                  </w:pPr>
                  <w:r>
                    <w:rPr>
                      <w:rFonts w:hint="eastAsia"/>
                      <w:color w:val="auto"/>
                      <w:kern w:val="0"/>
                      <w:szCs w:val="21"/>
                    </w:rPr>
                    <w:t>SW59</w:t>
                  </w:r>
                </w:p>
              </w:tc>
              <w:tc>
                <w:tcPr>
                  <w:tcW w:w="672" w:type="pct"/>
                  <w:tcBorders>
                    <w:tl2br w:val="nil"/>
                    <w:tr2bl w:val="nil"/>
                  </w:tcBorders>
                  <w:shd w:val="clear" w:color="auto" w:fill="auto"/>
                  <w:vAlign w:val="center"/>
                </w:tcPr>
                <w:p w14:paraId="2D306AD8">
                  <w:pPr>
                    <w:keepNext w:val="0"/>
                    <w:keepLines w:val="0"/>
                    <w:pageBreakBefore w:val="0"/>
                    <w:widowControl/>
                    <w:kinsoku/>
                    <w:wordWrap/>
                    <w:overflowPunct/>
                    <w:topLinePunct w:val="0"/>
                    <w:autoSpaceDE/>
                    <w:autoSpaceDN/>
                    <w:bidi w:val="0"/>
                    <w:adjustRightInd w:val="0"/>
                    <w:snapToGrid w:val="0"/>
                    <w:spacing w:beforeAutospacing="0" w:afterAutospacing="0"/>
                    <w:ind w:left="-105" w:leftChars="-50" w:right="-105" w:rightChars="-50" w:firstLine="0"/>
                    <w:jc w:val="center"/>
                    <w:rPr>
                      <w:color w:val="auto"/>
                      <w:kern w:val="0"/>
                      <w:szCs w:val="21"/>
                    </w:rPr>
                  </w:pPr>
                  <w:r>
                    <w:rPr>
                      <w:rFonts w:hint="eastAsia"/>
                      <w:color w:val="auto"/>
                      <w:kern w:val="0"/>
                      <w:szCs w:val="21"/>
                    </w:rPr>
                    <w:t>900-099-S59</w:t>
                  </w:r>
                </w:p>
              </w:tc>
              <w:tc>
                <w:tcPr>
                  <w:tcW w:w="317" w:type="pct"/>
                  <w:tcBorders>
                    <w:tl2br w:val="nil"/>
                    <w:tr2bl w:val="nil"/>
                  </w:tcBorders>
                  <w:shd w:val="clear" w:color="auto" w:fill="auto"/>
                  <w:vAlign w:val="center"/>
                </w:tcPr>
                <w:p w14:paraId="55BD0B81">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int="eastAsia" w:eastAsia="宋体"/>
                      <w:color w:val="auto"/>
                      <w:szCs w:val="21"/>
                      <w:lang w:eastAsia="zh-CN" w:bidi="ar"/>
                    </w:rPr>
                  </w:pPr>
                  <w:r>
                    <w:rPr>
                      <w:rFonts w:hint="eastAsia"/>
                      <w:color w:val="auto"/>
                      <w:szCs w:val="21"/>
                      <w:lang w:eastAsia="zh-CN" w:bidi="ar"/>
                    </w:rPr>
                    <w:t>1.294</w:t>
                  </w:r>
                </w:p>
              </w:tc>
              <w:tc>
                <w:tcPr>
                  <w:tcW w:w="364" w:type="pct"/>
                  <w:vMerge w:val="continue"/>
                  <w:tcBorders>
                    <w:tl2br w:val="nil"/>
                    <w:tr2bl w:val="nil"/>
                  </w:tcBorders>
                  <w:shd w:val="clear" w:color="auto" w:fill="auto"/>
                  <w:vAlign w:val="center"/>
                </w:tcPr>
                <w:p w14:paraId="12A832E5">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p>
              </w:tc>
              <w:tc>
                <w:tcPr>
                  <w:tcW w:w="128" w:type="pct"/>
                  <w:tcBorders>
                    <w:tl2br w:val="nil"/>
                    <w:tr2bl w:val="nil"/>
                  </w:tcBorders>
                  <w:shd w:val="clear" w:color="auto" w:fill="auto"/>
                  <w:vAlign w:val="center"/>
                </w:tcPr>
                <w:p w14:paraId="25A7EEBF">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0</w:t>
                  </w:r>
                </w:p>
              </w:tc>
            </w:tr>
            <w:tr w14:paraId="7C5753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7" w:hRule="atLeast"/>
                <w:jc w:val="center"/>
              </w:trPr>
              <w:tc>
                <w:tcPr>
                  <w:tcW w:w="140" w:type="pct"/>
                  <w:tcBorders>
                    <w:tl2br w:val="nil"/>
                    <w:tr2bl w:val="nil"/>
                  </w:tcBorders>
                  <w:shd w:val="clear" w:color="auto" w:fill="auto"/>
                  <w:vAlign w:val="center"/>
                </w:tcPr>
                <w:p w14:paraId="5CAED0E8">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color w:val="auto"/>
                      <w:szCs w:val="21"/>
                      <w:lang w:bidi="ar"/>
                    </w:rPr>
                    <w:t>7</w:t>
                  </w:r>
                </w:p>
              </w:tc>
              <w:tc>
                <w:tcPr>
                  <w:tcW w:w="667" w:type="pct"/>
                  <w:tcBorders>
                    <w:tl2br w:val="nil"/>
                    <w:tr2bl w:val="nil"/>
                  </w:tcBorders>
                  <w:shd w:val="clear" w:color="auto" w:fill="auto"/>
                  <w:vAlign w:val="center"/>
                </w:tcPr>
                <w:p w14:paraId="6600D68F">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bCs/>
                      <w:color w:val="auto"/>
                      <w:szCs w:val="21"/>
                    </w:rPr>
                  </w:pPr>
                  <w:r>
                    <w:rPr>
                      <w:rFonts w:hint="eastAsia"/>
                      <w:bCs/>
                      <w:color w:val="auto"/>
                      <w:szCs w:val="21"/>
                    </w:rPr>
                    <w:t>废布袋</w:t>
                  </w:r>
                </w:p>
              </w:tc>
              <w:tc>
                <w:tcPr>
                  <w:tcW w:w="459" w:type="pct"/>
                  <w:vMerge w:val="continue"/>
                  <w:tcBorders>
                    <w:tl2br w:val="nil"/>
                    <w:tr2bl w:val="nil"/>
                  </w:tcBorders>
                  <w:shd w:val="clear" w:color="auto" w:fill="auto"/>
                  <w:vAlign w:val="center"/>
                </w:tcPr>
                <w:p w14:paraId="6C75D974">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p>
              </w:tc>
              <w:tc>
                <w:tcPr>
                  <w:tcW w:w="669" w:type="pct"/>
                  <w:tcBorders>
                    <w:tl2br w:val="nil"/>
                    <w:tr2bl w:val="nil"/>
                  </w:tcBorders>
                  <w:shd w:val="clear" w:color="auto" w:fill="auto"/>
                  <w:vAlign w:val="center"/>
                </w:tcPr>
                <w:p w14:paraId="4B5CBF97">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废气处理</w:t>
                  </w:r>
                </w:p>
              </w:tc>
              <w:tc>
                <w:tcPr>
                  <w:tcW w:w="332" w:type="pct"/>
                  <w:tcBorders>
                    <w:tl2br w:val="nil"/>
                    <w:tr2bl w:val="nil"/>
                  </w:tcBorders>
                  <w:shd w:val="clear" w:color="auto" w:fill="auto"/>
                  <w:vAlign w:val="center"/>
                </w:tcPr>
                <w:p w14:paraId="3E4ABBF9">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Ansi="宋体" w:cs="宋体"/>
                      <w:color w:val="auto"/>
                      <w:szCs w:val="21"/>
                      <w:lang w:bidi="ar"/>
                    </w:rPr>
                  </w:pPr>
                  <w:r>
                    <w:rPr>
                      <w:rFonts w:hint="eastAsia" w:hAnsi="宋体" w:cs="宋体"/>
                      <w:color w:val="auto"/>
                      <w:szCs w:val="21"/>
                      <w:lang w:bidi="ar"/>
                    </w:rPr>
                    <w:t>固态</w:t>
                  </w:r>
                </w:p>
              </w:tc>
              <w:tc>
                <w:tcPr>
                  <w:tcW w:w="394" w:type="pct"/>
                  <w:tcBorders>
                    <w:tl2br w:val="nil"/>
                    <w:tr2bl w:val="nil"/>
                  </w:tcBorders>
                  <w:shd w:val="clear" w:color="auto" w:fill="auto"/>
                  <w:vAlign w:val="center"/>
                </w:tcPr>
                <w:p w14:paraId="0A173659">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编织物</w:t>
                  </w:r>
                </w:p>
              </w:tc>
              <w:tc>
                <w:tcPr>
                  <w:tcW w:w="280" w:type="pct"/>
                  <w:vMerge w:val="continue"/>
                  <w:tcBorders>
                    <w:tl2br w:val="nil"/>
                    <w:tr2bl w:val="nil"/>
                  </w:tcBorders>
                  <w:shd w:val="clear" w:color="auto" w:fill="auto"/>
                  <w:vAlign w:val="center"/>
                </w:tcPr>
                <w:p w14:paraId="368189D8">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p>
              </w:tc>
              <w:tc>
                <w:tcPr>
                  <w:tcW w:w="241" w:type="pct"/>
                  <w:tcBorders>
                    <w:tl2br w:val="nil"/>
                    <w:tr2bl w:val="nil"/>
                  </w:tcBorders>
                  <w:shd w:val="clear" w:color="auto" w:fill="auto"/>
                  <w:vAlign w:val="center"/>
                </w:tcPr>
                <w:p w14:paraId="3576C853">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w:t>
                  </w:r>
                </w:p>
              </w:tc>
              <w:tc>
                <w:tcPr>
                  <w:tcW w:w="331" w:type="pct"/>
                  <w:tcBorders>
                    <w:tl2br w:val="nil"/>
                    <w:tr2bl w:val="nil"/>
                  </w:tcBorders>
                  <w:shd w:val="clear" w:color="auto" w:fill="auto"/>
                  <w:vAlign w:val="center"/>
                </w:tcPr>
                <w:p w14:paraId="61E0887A">
                  <w:pPr>
                    <w:keepNext w:val="0"/>
                    <w:keepLines w:val="0"/>
                    <w:pageBreakBefore w:val="0"/>
                    <w:widowControl/>
                    <w:kinsoku/>
                    <w:wordWrap/>
                    <w:overflowPunct/>
                    <w:topLinePunct w:val="0"/>
                    <w:autoSpaceDE/>
                    <w:autoSpaceDN/>
                    <w:bidi w:val="0"/>
                    <w:adjustRightInd w:val="0"/>
                    <w:snapToGrid w:val="0"/>
                    <w:spacing w:beforeAutospacing="0" w:afterAutospacing="0"/>
                    <w:ind w:left="-105" w:leftChars="-50" w:right="-105" w:rightChars="-50" w:firstLine="0"/>
                    <w:jc w:val="center"/>
                    <w:rPr>
                      <w:color w:val="auto"/>
                      <w:kern w:val="0"/>
                      <w:szCs w:val="21"/>
                    </w:rPr>
                  </w:pPr>
                  <w:r>
                    <w:rPr>
                      <w:rFonts w:hint="eastAsia"/>
                      <w:color w:val="auto"/>
                      <w:kern w:val="0"/>
                      <w:szCs w:val="21"/>
                    </w:rPr>
                    <w:t>SW59</w:t>
                  </w:r>
                </w:p>
              </w:tc>
              <w:tc>
                <w:tcPr>
                  <w:tcW w:w="672" w:type="pct"/>
                  <w:tcBorders>
                    <w:tl2br w:val="nil"/>
                    <w:tr2bl w:val="nil"/>
                  </w:tcBorders>
                  <w:shd w:val="clear" w:color="auto" w:fill="auto"/>
                  <w:vAlign w:val="center"/>
                </w:tcPr>
                <w:p w14:paraId="65257354">
                  <w:pPr>
                    <w:keepNext w:val="0"/>
                    <w:keepLines w:val="0"/>
                    <w:pageBreakBefore w:val="0"/>
                    <w:widowControl/>
                    <w:kinsoku/>
                    <w:wordWrap/>
                    <w:overflowPunct/>
                    <w:topLinePunct w:val="0"/>
                    <w:autoSpaceDE/>
                    <w:autoSpaceDN/>
                    <w:bidi w:val="0"/>
                    <w:adjustRightInd w:val="0"/>
                    <w:snapToGrid w:val="0"/>
                    <w:spacing w:beforeAutospacing="0" w:afterAutospacing="0"/>
                    <w:ind w:left="-105" w:leftChars="-50" w:right="-105" w:rightChars="-50" w:firstLine="0"/>
                    <w:jc w:val="center"/>
                    <w:rPr>
                      <w:color w:val="auto"/>
                      <w:kern w:val="0"/>
                      <w:szCs w:val="21"/>
                    </w:rPr>
                  </w:pPr>
                  <w:r>
                    <w:rPr>
                      <w:rFonts w:hint="eastAsia"/>
                      <w:color w:val="auto"/>
                      <w:kern w:val="0"/>
                      <w:szCs w:val="21"/>
                    </w:rPr>
                    <w:t>900-009-S59</w:t>
                  </w:r>
                </w:p>
              </w:tc>
              <w:tc>
                <w:tcPr>
                  <w:tcW w:w="317" w:type="pct"/>
                  <w:tcBorders>
                    <w:tl2br w:val="nil"/>
                    <w:tr2bl w:val="nil"/>
                  </w:tcBorders>
                  <w:shd w:val="clear" w:color="auto" w:fill="auto"/>
                  <w:vAlign w:val="center"/>
                </w:tcPr>
                <w:p w14:paraId="3368F0EF">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0.0462</w:t>
                  </w:r>
                </w:p>
              </w:tc>
              <w:tc>
                <w:tcPr>
                  <w:tcW w:w="364" w:type="pct"/>
                  <w:vMerge w:val="continue"/>
                  <w:tcBorders>
                    <w:tl2br w:val="nil"/>
                    <w:tr2bl w:val="nil"/>
                  </w:tcBorders>
                  <w:shd w:val="clear" w:color="auto" w:fill="auto"/>
                  <w:vAlign w:val="center"/>
                </w:tcPr>
                <w:p w14:paraId="560F63C2">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p>
              </w:tc>
              <w:tc>
                <w:tcPr>
                  <w:tcW w:w="128" w:type="pct"/>
                  <w:tcBorders>
                    <w:tl2br w:val="nil"/>
                    <w:tr2bl w:val="nil"/>
                  </w:tcBorders>
                  <w:shd w:val="clear" w:color="auto" w:fill="auto"/>
                  <w:vAlign w:val="center"/>
                </w:tcPr>
                <w:p w14:paraId="61DF0CF9">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0</w:t>
                  </w:r>
                </w:p>
              </w:tc>
            </w:tr>
            <w:tr w14:paraId="3CDB92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7" w:hRule="atLeast"/>
                <w:jc w:val="center"/>
              </w:trPr>
              <w:tc>
                <w:tcPr>
                  <w:tcW w:w="140" w:type="pct"/>
                  <w:tcBorders>
                    <w:tl2br w:val="nil"/>
                    <w:tr2bl w:val="nil"/>
                  </w:tcBorders>
                  <w:shd w:val="clear" w:color="auto" w:fill="auto"/>
                  <w:vAlign w:val="center"/>
                </w:tcPr>
                <w:p w14:paraId="5AEA5285">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color w:val="auto"/>
                      <w:szCs w:val="21"/>
                      <w:lang w:bidi="ar"/>
                    </w:rPr>
                    <w:t>8</w:t>
                  </w:r>
                </w:p>
              </w:tc>
              <w:tc>
                <w:tcPr>
                  <w:tcW w:w="667" w:type="pct"/>
                  <w:tcBorders>
                    <w:tl2br w:val="nil"/>
                    <w:tr2bl w:val="nil"/>
                  </w:tcBorders>
                  <w:shd w:val="clear" w:color="auto" w:fill="auto"/>
                  <w:vAlign w:val="center"/>
                </w:tcPr>
                <w:p w14:paraId="7EA40F7E">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bCs/>
                      <w:color w:val="auto"/>
                      <w:szCs w:val="21"/>
                    </w:rPr>
                  </w:pPr>
                  <w:r>
                    <w:rPr>
                      <w:rFonts w:hint="eastAsia"/>
                      <w:bCs/>
                      <w:color w:val="auto"/>
                      <w:szCs w:val="21"/>
                    </w:rPr>
                    <w:t>废包装桶</w:t>
                  </w:r>
                </w:p>
              </w:tc>
              <w:tc>
                <w:tcPr>
                  <w:tcW w:w="459" w:type="pct"/>
                  <w:vMerge w:val="restart"/>
                  <w:tcBorders>
                    <w:tl2br w:val="nil"/>
                    <w:tr2bl w:val="nil"/>
                  </w:tcBorders>
                  <w:shd w:val="clear" w:color="auto" w:fill="auto"/>
                  <w:vAlign w:val="center"/>
                </w:tcPr>
                <w:p w14:paraId="1DF5D21C">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危险废物</w:t>
                  </w:r>
                </w:p>
              </w:tc>
              <w:tc>
                <w:tcPr>
                  <w:tcW w:w="669" w:type="pct"/>
                  <w:tcBorders>
                    <w:tl2br w:val="nil"/>
                    <w:tr2bl w:val="nil"/>
                  </w:tcBorders>
                  <w:shd w:val="clear" w:color="auto" w:fill="auto"/>
                  <w:vAlign w:val="center"/>
                </w:tcPr>
                <w:p w14:paraId="3F2DF7A5">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辅料储存</w:t>
                  </w:r>
                </w:p>
              </w:tc>
              <w:tc>
                <w:tcPr>
                  <w:tcW w:w="332" w:type="pct"/>
                  <w:tcBorders>
                    <w:tl2br w:val="nil"/>
                    <w:tr2bl w:val="nil"/>
                  </w:tcBorders>
                  <w:shd w:val="clear" w:color="auto" w:fill="auto"/>
                  <w:vAlign w:val="center"/>
                </w:tcPr>
                <w:p w14:paraId="0BC204D7">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Ansi="宋体" w:cs="宋体"/>
                      <w:color w:val="auto"/>
                      <w:szCs w:val="21"/>
                      <w:lang w:bidi="ar"/>
                    </w:rPr>
                  </w:pPr>
                  <w:r>
                    <w:rPr>
                      <w:rFonts w:hint="eastAsia" w:hAnsi="宋体" w:cs="宋体"/>
                      <w:color w:val="auto"/>
                      <w:szCs w:val="21"/>
                      <w:lang w:bidi="ar"/>
                    </w:rPr>
                    <w:t>固态</w:t>
                  </w:r>
                </w:p>
              </w:tc>
              <w:tc>
                <w:tcPr>
                  <w:tcW w:w="394" w:type="pct"/>
                  <w:tcBorders>
                    <w:tl2br w:val="nil"/>
                    <w:tr2bl w:val="nil"/>
                  </w:tcBorders>
                  <w:shd w:val="clear" w:color="auto" w:fill="auto"/>
                  <w:vAlign w:val="center"/>
                </w:tcPr>
                <w:p w14:paraId="04A02849">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cs="宋体"/>
                      <w:color w:val="auto"/>
                      <w:szCs w:val="21"/>
                      <w:lang w:bidi="ar"/>
                    </w:rPr>
                  </w:pPr>
                  <w:r>
                    <w:rPr>
                      <w:rFonts w:hint="eastAsia"/>
                      <w:color w:val="auto"/>
                      <w:szCs w:val="21"/>
                    </w:rPr>
                    <w:t>矿物油</w:t>
                  </w:r>
                </w:p>
              </w:tc>
              <w:tc>
                <w:tcPr>
                  <w:tcW w:w="280" w:type="pct"/>
                  <w:vMerge w:val="continue"/>
                  <w:tcBorders>
                    <w:tl2br w:val="nil"/>
                    <w:tr2bl w:val="nil"/>
                  </w:tcBorders>
                  <w:shd w:val="clear" w:color="auto" w:fill="auto"/>
                  <w:vAlign w:val="center"/>
                </w:tcPr>
                <w:p w14:paraId="797BD44B">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p>
              </w:tc>
              <w:tc>
                <w:tcPr>
                  <w:tcW w:w="241" w:type="pct"/>
                  <w:tcBorders>
                    <w:tl2br w:val="nil"/>
                    <w:tr2bl w:val="nil"/>
                  </w:tcBorders>
                  <w:shd w:val="clear" w:color="auto" w:fill="auto"/>
                  <w:vAlign w:val="center"/>
                </w:tcPr>
                <w:p w14:paraId="66ADE205">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color w:val="auto"/>
                      <w:szCs w:val="21"/>
                      <w:lang w:bidi="ar"/>
                    </w:rPr>
                    <w:t>T/I</w:t>
                  </w:r>
                </w:p>
              </w:tc>
              <w:tc>
                <w:tcPr>
                  <w:tcW w:w="331" w:type="pct"/>
                  <w:tcBorders>
                    <w:tl2br w:val="nil"/>
                    <w:tr2bl w:val="nil"/>
                  </w:tcBorders>
                  <w:shd w:val="clear" w:color="auto" w:fill="auto"/>
                  <w:vAlign w:val="center"/>
                </w:tcPr>
                <w:p w14:paraId="12674159">
                  <w:pPr>
                    <w:keepNext w:val="0"/>
                    <w:keepLines w:val="0"/>
                    <w:pageBreakBefore w:val="0"/>
                    <w:widowControl/>
                    <w:kinsoku/>
                    <w:wordWrap/>
                    <w:overflowPunct/>
                    <w:topLinePunct w:val="0"/>
                    <w:autoSpaceDE/>
                    <w:autoSpaceDN/>
                    <w:bidi w:val="0"/>
                    <w:adjustRightInd w:val="0"/>
                    <w:snapToGrid w:val="0"/>
                    <w:spacing w:beforeAutospacing="0" w:afterAutospacing="0"/>
                    <w:ind w:left="-105" w:leftChars="-50" w:right="-105" w:rightChars="-50" w:firstLine="0"/>
                    <w:jc w:val="center"/>
                    <w:rPr>
                      <w:bCs/>
                      <w:color w:val="auto"/>
                      <w:szCs w:val="21"/>
                      <w:lang w:bidi="ar"/>
                    </w:rPr>
                  </w:pPr>
                  <w:r>
                    <w:rPr>
                      <w:rFonts w:hint="eastAsia"/>
                      <w:color w:val="auto"/>
                      <w:kern w:val="0"/>
                      <w:szCs w:val="21"/>
                    </w:rPr>
                    <w:t>HW49</w:t>
                  </w:r>
                </w:p>
              </w:tc>
              <w:tc>
                <w:tcPr>
                  <w:tcW w:w="672" w:type="pct"/>
                  <w:tcBorders>
                    <w:tl2br w:val="nil"/>
                    <w:tr2bl w:val="nil"/>
                  </w:tcBorders>
                  <w:shd w:val="clear" w:color="auto" w:fill="auto"/>
                  <w:vAlign w:val="center"/>
                </w:tcPr>
                <w:p w14:paraId="53805BB3">
                  <w:pPr>
                    <w:keepNext w:val="0"/>
                    <w:keepLines w:val="0"/>
                    <w:pageBreakBefore w:val="0"/>
                    <w:widowControl/>
                    <w:kinsoku/>
                    <w:wordWrap/>
                    <w:overflowPunct/>
                    <w:topLinePunct w:val="0"/>
                    <w:autoSpaceDE/>
                    <w:autoSpaceDN/>
                    <w:bidi w:val="0"/>
                    <w:adjustRightInd w:val="0"/>
                    <w:snapToGrid w:val="0"/>
                    <w:spacing w:beforeAutospacing="0" w:afterAutospacing="0"/>
                    <w:ind w:left="-105" w:leftChars="-50" w:right="-105" w:rightChars="-50" w:firstLine="0"/>
                    <w:jc w:val="center"/>
                    <w:rPr>
                      <w:color w:val="auto"/>
                      <w:szCs w:val="21"/>
                      <w:lang w:bidi="ar"/>
                    </w:rPr>
                  </w:pPr>
                  <w:r>
                    <w:rPr>
                      <w:rFonts w:hint="eastAsia"/>
                      <w:color w:val="auto"/>
                      <w:kern w:val="0"/>
                      <w:szCs w:val="21"/>
                    </w:rPr>
                    <w:t>900-041-49</w:t>
                  </w:r>
                </w:p>
              </w:tc>
              <w:tc>
                <w:tcPr>
                  <w:tcW w:w="317" w:type="pct"/>
                  <w:tcBorders>
                    <w:tl2br w:val="nil"/>
                    <w:tr2bl w:val="nil"/>
                  </w:tcBorders>
                  <w:shd w:val="clear" w:color="auto" w:fill="auto"/>
                  <w:vAlign w:val="center"/>
                </w:tcPr>
                <w:p w14:paraId="7F46F454">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int="eastAsia" w:eastAsia="宋体"/>
                      <w:color w:val="auto"/>
                      <w:szCs w:val="21"/>
                      <w:lang w:eastAsia="zh-CN" w:bidi="ar"/>
                    </w:rPr>
                  </w:pPr>
                  <w:r>
                    <w:rPr>
                      <w:rFonts w:hint="eastAsia"/>
                      <w:color w:val="auto"/>
                      <w:szCs w:val="21"/>
                      <w:lang w:eastAsia="zh-CN" w:bidi="ar"/>
                    </w:rPr>
                    <w:t>0.1741</w:t>
                  </w:r>
                </w:p>
              </w:tc>
              <w:tc>
                <w:tcPr>
                  <w:tcW w:w="364" w:type="pct"/>
                  <w:vMerge w:val="restart"/>
                  <w:tcBorders>
                    <w:tl2br w:val="nil"/>
                    <w:tr2bl w:val="nil"/>
                  </w:tcBorders>
                  <w:shd w:val="clear" w:color="auto" w:fill="auto"/>
                  <w:vAlign w:val="center"/>
                </w:tcPr>
                <w:p w14:paraId="3BEBC0FF">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定期交由有资质单位安全处置</w:t>
                  </w:r>
                </w:p>
              </w:tc>
              <w:tc>
                <w:tcPr>
                  <w:tcW w:w="128" w:type="pct"/>
                  <w:tcBorders>
                    <w:tl2br w:val="nil"/>
                    <w:tr2bl w:val="nil"/>
                  </w:tcBorders>
                  <w:shd w:val="clear" w:color="auto" w:fill="auto"/>
                  <w:vAlign w:val="center"/>
                </w:tcPr>
                <w:p w14:paraId="31EC214D">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0</w:t>
                  </w:r>
                </w:p>
              </w:tc>
            </w:tr>
            <w:tr w14:paraId="690B2F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7" w:hRule="atLeast"/>
                <w:jc w:val="center"/>
              </w:trPr>
              <w:tc>
                <w:tcPr>
                  <w:tcW w:w="140" w:type="pct"/>
                  <w:tcBorders>
                    <w:tl2br w:val="nil"/>
                    <w:tr2bl w:val="nil"/>
                  </w:tcBorders>
                  <w:shd w:val="clear" w:color="auto" w:fill="auto"/>
                  <w:vAlign w:val="center"/>
                </w:tcPr>
                <w:p w14:paraId="7115364D">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color w:val="auto"/>
                      <w:szCs w:val="21"/>
                      <w:lang w:bidi="ar"/>
                    </w:rPr>
                    <w:t>9</w:t>
                  </w:r>
                </w:p>
              </w:tc>
              <w:tc>
                <w:tcPr>
                  <w:tcW w:w="667" w:type="pct"/>
                  <w:tcBorders>
                    <w:tl2br w:val="nil"/>
                    <w:tr2bl w:val="nil"/>
                  </w:tcBorders>
                  <w:shd w:val="clear" w:color="auto" w:fill="auto"/>
                  <w:vAlign w:val="center"/>
                </w:tcPr>
                <w:p w14:paraId="6A8CB4A7">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bCs/>
                      <w:color w:val="auto"/>
                      <w:szCs w:val="21"/>
                    </w:rPr>
                  </w:pPr>
                  <w:r>
                    <w:rPr>
                      <w:color w:val="auto"/>
                      <w:szCs w:val="21"/>
                    </w:rPr>
                    <w:t>废</w:t>
                  </w:r>
                  <w:r>
                    <w:rPr>
                      <w:rFonts w:hint="eastAsia"/>
                      <w:color w:val="auto"/>
                      <w:szCs w:val="21"/>
                    </w:rPr>
                    <w:t>活性炭</w:t>
                  </w:r>
                </w:p>
              </w:tc>
              <w:tc>
                <w:tcPr>
                  <w:tcW w:w="459" w:type="pct"/>
                  <w:vMerge w:val="continue"/>
                  <w:tcBorders>
                    <w:tl2br w:val="nil"/>
                    <w:tr2bl w:val="nil"/>
                  </w:tcBorders>
                  <w:shd w:val="clear" w:color="auto" w:fill="auto"/>
                  <w:vAlign w:val="center"/>
                </w:tcPr>
                <w:p w14:paraId="105EFA0B">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p>
              </w:tc>
              <w:tc>
                <w:tcPr>
                  <w:tcW w:w="669" w:type="pct"/>
                  <w:tcBorders>
                    <w:tl2br w:val="nil"/>
                    <w:tr2bl w:val="nil"/>
                  </w:tcBorders>
                  <w:shd w:val="clear" w:color="auto" w:fill="auto"/>
                  <w:vAlign w:val="center"/>
                </w:tcPr>
                <w:p w14:paraId="635EB5A3">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废气处理</w:t>
                  </w:r>
                </w:p>
              </w:tc>
              <w:tc>
                <w:tcPr>
                  <w:tcW w:w="332" w:type="pct"/>
                  <w:tcBorders>
                    <w:tl2br w:val="nil"/>
                    <w:tr2bl w:val="nil"/>
                  </w:tcBorders>
                  <w:shd w:val="clear" w:color="auto" w:fill="auto"/>
                  <w:vAlign w:val="center"/>
                </w:tcPr>
                <w:p w14:paraId="74803A10">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Ansi="宋体" w:cs="宋体"/>
                      <w:color w:val="auto"/>
                      <w:szCs w:val="21"/>
                      <w:lang w:bidi="ar"/>
                    </w:rPr>
                  </w:pPr>
                  <w:r>
                    <w:rPr>
                      <w:rFonts w:hint="eastAsia" w:hAnsi="宋体" w:cs="宋体"/>
                      <w:color w:val="auto"/>
                      <w:szCs w:val="21"/>
                      <w:lang w:bidi="ar"/>
                    </w:rPr>
                    <w:t>固态</w:t>
                  </w:r>
                </w:p>
              </w:tc>
              <w:tc>
                <w:tcPr>
                  <w:tcW w:w="394" w:type="pct"/>
                  <w:tcBorders>
                    <w:tl2br w:val="nil"/>
                    <w:tr2bl w:val="nil"/>
                  </w:tcBorders>
                  <w:shd w:val="clear" w:color="auto" w:fill="auto"/>
                  <w:vAlign w:val="center"/>
                </w:tcPr>
                <w:p w14:paraId="446B6362">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cs="宋体"/>
                      <w:color w:val="auto"/>
                      <w:szCs w:val="21"/>
                      <w:lang w:bidi="ar"/>
                    </w:rPr>
                  </w:pPr>
                  <w:r>
                    <w:rPr>
                      <w:rFonts w:hint="eastAsia"/>
                      <w:color w:val="auto"/>
                      <w:szCs w:val="21"/>
                    </w:rPr>
                    <w:t>有机物</w:t>
                  </w:r>
                </w:p>
              </w:tc>
              <w:tc>
                <w:tcPr>
                  <w:tcW w:w="280" w:type="pct"/>
                  <w:vMerge w:val="continue"/>
                  <w:tcBorders>
                    <w:tl2br w:val="nil"/>
                    <w:tr2bl w:val="nil"/>
                  </w:tcBorders>
                  <w:shd w:val="clear" w:color="auto" w:fill="auto"/>
                  <w:vAlign w:val="center"/>
                </w:tcPr>
                <w:p w14:paraId="7250A17A">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p>
              </w:tc>
              <w:tc>
                <w:tcPr>
                  <w:tcW w:w="241" w:type="pct"/>
                  <w:tcBorders>
                    <w:tl2br w:val="nil"/>
                    <w:tr2bl w:val="nil"/>
                  </w:tcBorders>
                  <w:shd w:val="clear" w:color="auto" w:fill="auto"/>
                  <w:vAlign w:val="center"/>
                </w:tcPr>
                <w:p w14:paraId="7B2C1521">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color w:val="auto"/>
                      <w:szCs w:val="21"/>
                      <w:lang w:bidi="ar"/>
                    </w:rPr>
                    <w:t>T</w:t>
                  </w:r>
                </w:p>
              </w:tc>
              <w:tc>
                <w:tcPr>
                  <w:tcW w:w="331" w:type="pct"/>
                  <w:tcBorders>
                    <w:tl2br w:val="nil"/>
                    <w:tr2bl w:val="nil"/>
                  </w:tcBorders>
                  <w:shd w:val="clear" w:color="auto" w:fill="auto"/>
                  <w:vAlign w:val="center"/>
                </w:tcPr>
                <w:p w14:paraId="414B1CC8">
                  <w:pPr>
                    <w:keepNext w:val="0"/>
                    <w:keepLines w:val="0"/>
                    <w:pageBreakBefore w:val="0"/>
                    <w:widowControl/>
                    <w:kinsoku/>
                    <w:wordWrap/>
                    <w:overflowPunct/>
                    <w:topLinePunct w:val="0"/>
                    <w:autoSpaceDE/>
                    <w:autoSpaceDN/>
                    <w:bidi w:val="0"/>
                    <w:adjustRightInd w:val="0"/>
                    <w:snapToGrid w:val="0"/>
                    <w:spacing w:beforeAutospacing="0" w:afterAutospacing="0"/>
                    <w:ind w:left="-105" w:leftChars="-50" w:right="-105" w:rightChars="-50" w:firstLine="0"/>
                    <w:jc w:val="center"/>
                    <w:rPr>
                      <w:bCs/>
                      <w:color w:val="auto"/>
                      <w:szCs w:val="21"/>
                      <w:lang w:bidi="ar"/>
                    </w:rPr>
                  </w:pPr>
                  <w:r>
                    <w:rPr>
                      <w:rFonts w:hint="eastAsia"/>
                      <w:color w:val="auto"/>
                      <w:kern w:val="0"/>
                      <w:szCs w:val="21"/>
                    </w:rPr>
                    <w:t>HW49</w:t>
                  </w:r>
                </w:p>
              </w:tc>
              <w:tc>
                <w:tcPr>
                  <w:tcW w:w="672" w:type="pct"/>
                  <w:tcBorders>
                    <w:tl2br w:val="nil"/>
                    <w:tr2bl w:val="nil"/>
                  </w:tcBorders>
                  <w:shd w:val="clear" w:color="auto" w:fill="auto"/>
                  <w:vAlign w:val="center"/>
                </w:tcPr>
                <w:p w14:paraId="49AE865C">
                  <w:pPr>
                    <w:keepNext w:val="0"/>
                    <w:keepLines w:val="0"/>
                    <w:pageBreakBefore w:val="0"/>
                    <w:widowControl/>
                    <w:kinsoku/>
                    <w:wordWrap/>
                    <w:overflowPunct/>
                    <w:topLinePunct w:val="0"/>
                    <w:autoSpaceDE/>
                    <w:autoSpaceDN/>
                    <w:bidi w:val="0"/>
                    <w:adjustRightInd w:val="0"/>
                    <w:snapToGrid w:val="0"/>
                    <w:spacing w:beforeAutospacing="0" w:afterAutospacing="0"/>
                    <w:ind w:left="-105" w:leftChars="-50" w:right="-105" w:rightChars="-50" w:firstLine="0"/>
                    <w:jc w:val="center"/>
                    <w:rPr>
                      <w:color w:val="auto"/>
                      <w:szCs w:val="21"/>
                      <w:lang w:bidi="ar"/>
                    </w:rPr>
                  </w:pPr>
                  <w:r>
                    <w:rPr>
                      <w:rFonts w:hint="eastAsia"/>
                      <w:color w:val="auto"/>
                      <w:kern w:val="0"/>
                      <w:szCs w:val="21"/>
                    </w:rPr>
                    <w:t>900-039-49</w:t>
                  </w:r>
                </w:p>
              </w:tc>
              <w:tc>
                <w:tcPr>
                  <w:tcW w:w="317" w:type="pct"/>
                  <w:tcBorders>
                    <w:tl2br w:val="nil"/>
                    <w:tr2bl w:val="nil"/>
                  </w:tcBorders>
                  <w:shd w:val="clear" w:color="auto" w:fill="auto"/>
                  <w:vAlign w:val="center"/>
                </w:tcPr>
                <w:p w14:paraId="46E44AA1">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int="eastAsia" w:eastAsia="宋体"/>
                      <w:color w:val="auto"/>
                      <w:szCs w:val="21"/>
                      <w:lang w:eastAsia="zh-CN" w:bidi="ar"/>
                    </w:rPr>
                  </w:pPr>
                  <w:r>
                    <w:rPr>
                      <w:rFonts w:hint="eastAsia"/>
                      <w:color w:val="auto"/>
                      <w:szCs w:val="21"/>
                      <w:lang w:eastAsia="zh-CN" w:bidi="ar"/>
                    </w:rPr>
                    <w:t>1.1924</w:t>
                  </w:r>
                </w:p>
              </w:tc>
              <w:tc>
                <w:tcPr>
                  <w:tcW w:w="364" w:type="pct"/>
                  <w:vMerge w:val="continue"/>
                  <w:tcBorders>
                    <w:tl2br w:val="nil"/>
                    <w:tr2bl w:val="nil"/>
                  </w:tcBorders>
                  <w:shd w:val="clear" w:color="auto" w:fill="auto"/>
                  <w:vAlign w:val="center"/>
                </w:tcPr>
                <w:p w14:paraId="213ABDD8">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p>
              </w:tc>
              <w:tc>
                <w:tcPr>
                  <w:tcW w:w="128" w:type="pct"/>
                  <w:tcBorders>
                    <w:tl2br w:val="nil"/>
                    <w:tr2bl w:val="nil"/>
                  </w:tcBorders>
                  <w:shd w:val="clear" w:color="auto" w:fill="auto"/>
                  <w:vAlign w:val="center"/>
                </w:tcPr>
                <w:p w14:paraId="6915AFB7">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0</w:t>
                  </w:r>
                </w:p>
              </w:tc>
            </w:tr>
            <w:tr w14:paraId="7A5675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7" w:hRule="atLeast"/>
                <w:jc w:val="center"/>
              </w:trPr>
              <w:tc>
                <w:tcPr>
                  <w:tcW w:w="140" w:type="pct"/>
                  <w:tcBorders>
                    <w:tl2br w:val="nil"/>
                    <w:tr2bl w:val="nil"/>
                  </w:tcBorders>
                  <w:shd w:val="clear" w:color="auto" w:fill="auto"/>
                  <w:vAlign w:val="center"/>
                </w:tcPr>
                <w:p w14:paraId="68BEFDB9">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10</w:t>
                  </w:r>
                </w:p>
              </w:tc>
              <w:tc>
                <w:tcPr>
                  <w:tcW w:w="667" w:type="pct"/>
                  <w:tcBorders>
                    <w:tl2br w:val="nil"/>
                    <w:tr2bl w:val="nil"/>
                  </w:tcBorders>
                  <w:shd w:val="clear" w:color="auto" w:fill="auto"/>
                  <w:vAlign w:val="center"/>
                </w:tcPr>
                <w:p w14:paraId="50FDCFFE">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bCs/>
                      <w:color w:val="auto"/>
                      <w:szCs w:val="21"/>
                    </w:rPr>
                  </w:pPr>
                  <w:r>
                    <w:rPr>
                      <w:rFonts w:hint="eastAsia"/>
                      <w:color w:val="auto"/>
                      <w:szCs w:val="21"/>
                    </w:rPr>
                    <w:t>废润滑油</w:t>
                  </w:r>
                </w:p>
              </w:tc>
              <w:tc>
                <w:tcPr>
                  <w:tcW w:w="459" w:type="pct"/>
                  <w:vMerge w:val="continue"/>
                  <w:tcBorders>
                    <w:tl2br w:val="nil"/>
                    <w:tr2bl w:val="nil"/>
                  </w:tcBorders>
                  <w:shd w:val="clear" w:color="auto" w:fill="auto"/>
                  <w:vAlign w:val="center"/>
                </w:tcPr>
                <w:p w14:paraId="56FF3629">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p>
              </w:tc>
              <w:tc>
                <w:tcPr>
                  <w:tcW w:w="669" w:type="pct"/>
                  <w:tcBorders>
                    <w:tl2br w:val="nil"/>
                    <w:tr2bl w:val="nil"/>
                  </w:tcBorders>
                  <w:shd w:val="clear" w:color="auto" w:fill="auto"/>
                  <w:vAlign w:val="center"/>
                </w:tcPr>
                <w:p w14:paraId="2A6BB282">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s="宋体"/>
                      <w:color w:val="auto"/>
                      <w:szCs w:val="21"/>
                      <w:lang w:bidi="ar"/>
                    </w:rPr>
                    <w:t>设备维护</w:t>
                  </w:r>
                </w:p>
              </w:tc>
              <w:tc>
                <w:tcPr>
                  <w:tcW w:w="332" w:type="pct"/>
                  <w:tcBorders>
                    <w:tl2br w:val="nil"/>
                    <w:tr2bl w:val="nil"/>
                  </w:tcBorders>
                  <w:shd w:val="clear" w:color="auto" w:fill="auto"/>
                  <w:vAlign w:val="center"/>
                </w:tcPr>
                <w:p w14:paraId="386762FD">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Ansi="宋体" w:cs="宋体"/>
                      <w:color w:val="auto"/>
                      <w:szCs w:val="21"/>
                      <w:lang w:bidi="ar"/>
                    </w:rPr>
                  </w:pPr>
                  <w:r>
                    <w:rPr>
                      <w:rFonts w:hint="eastAsia" w:hAnsi="宋体" w:cs="宋体"/>
                      <w:color w:val="auto"/>
                      <w:szCs w:val="21"/>
                      <w:lang w:bidi="ar"/>
                    </w:rPr>
                    <w:t>液态</w:t>
                  </w:r>
                </w:p>
              </w:tc>
              <w:tc>
                <w:tcPr>
                  <w:tcW w:w="394" w:type="pct"/>
                  <w:tcBorders>
                    <w:tl2br w:val="nil"/>
                    <w:tr2bl w:val="nil"/>
                  </w:tcBorders>
                  <w:shd w:val="clear" w:color="auto" w:fill="auto"/>
                  <w:vAlign w:val="center"/>
                </w:tcPr>
                <w:p w14:paraId="0457E2E2">
                  <w:pPr>
                    <w:keepNext w:val="0"/>
                    <w:keepLines w:val="0"/>
                    <w:pageBreakBefore w:val="0"/>
                    <w:tabs>
                      <w:tab w:val="left" w:pos="277"/>
                      <w:tab w:val="left" w:pos="600"/>
                      <w:tab w:val="left" w:pos="780"/>
                      <w:tab w:val="left" w:pos="2517"/>
                    </w:tabs>
                    <w:kinsoku/>
                    <w:wordWrap/>
                    <w:overflowPunct/>
                    <w:topLinePunct w:val="0"/>
                    <w:autoSpaceDE/>
                    <w:autoSpaceDN/>
                    <w:bidi w:val="0"/>
                    <w:adjustRightInd w:val="0"/>
                    <w:snapToGrid w:val="0"/>
                    <w:spacing w:beforeAutospacing="0" w:afterAutospacing="0"/>
                    <w:ind w:firstLine="0"/>
                    <w:jc w:val="center"/>
                    <w:textAlignment w:val="baseline"/>
                    <w:rPr>
                      <w:rFonts w:cs="宋体"/>
                      <w:color w:val="auto"/>
                      <w:szCs w:val="21"/>
                      <w:lang w:bidi="ar"/>
                    </w:rPr>
                  </w:pPr>
                  <w:r>
                    <w:rPr>
                      <w:rFonts w:hint="eastAsia" w:cs="宋体"/>
                      <w:color w:val="auto"/>
                      <w:kern w:val="0"/>
                      <w:szCs w:val="21"/>
                      <w:lang w:bidi="ar"/>
                    </w:rPr>
                    <w:t>矿物油</w:t>
                  </w:r>
                </w:p>
              </w:tc>
              <w:tc>
                <w:tcPr>
                  <w:tcW w:w="280" w:type="pct"/>
                  <w:vMerge w:val="continue"/>
                  <w:tcBorders>
                    <w:tl2br w:val="nil"/>
                    <w:tr2bl w:val="nil"/>
                  </w:tcBorders>
                  <w:shd w:val="clear" w:color="auto" w:fill="auto"/>
                  <w:vAlign w:val="center"/>
                </w:tcPr>
                <w:p w14:paraId="363EF485">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p>
              </w:tc>
              <w:tc>
                <w:tcPr>
                  <w:tcW w:w="241" w:type="pct"/>
                  <w:tcBorders>
                    <w:tl2br w:val="nil"/>
                    <w:tr2bl w:val="nil"/>
                  </w:tcBorders>
                  <w:shd w:val="clear" w:color="auto" w:fill="auto"/>
                  <w:vAlign w:val="center"/>
                </w:tcPr>
                <w:p w14:paraId="482AB7FC">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color w:val="auto"/>
                      <w:szCs w:val="21"/>
                      <w:lang w:bidi="ar"/>
                    </w:rPr>
                    <w:t>T/I</w:t>
                  </w:r>
                </w:p>
              </w:tc>
              <w:tc>
                <w:tcPr>
                  <w:tcW w:w="331" w:type="pct"/>
                  <w:tcBorders>
                    <w:tl2br w:val="nil"/>
                    <w:tr2bl w:val="nil"/>
                  </w:tcBorders>
                  <w:shd w:val="clear" w:color="auto" w:fill="auto"/>
                  <w:vAlign w:val="center"/>
                </w:tcPr>
                <w:p w14:paraId="2EC617B7">
                  <w:pPr>
                    <w:keepNext w:val="0"/>
                    <w:keepLines w:val="0"/>
                    <w:pageBreakBefore w:val="0"/>
                    <w:kinsoku/>
                    <w:wordWrap/>
                    <w:overflowPunct/>
                    <w:topLinePunct w:val="0"/>
                    <w:autoSpaceDE/>
                    <w:autoSpaceDN/>
                    <w:bidi w:val="0"/>
                    <w:adjustRightInd w:val="0"/>
                    <w:snapToGrid w:val="0"/>
                    <w:spacing w:beforeAutospacing="0" w:afterAutospacing="0"/>
                    <w:ind w:left="-105" w:leftChars="-50" w:right="-105" w:rightChars="-50" w:firstLine="0"/>
                    <w:jc w:val="center"/>
                    <w:rPr>
                      <w:bCs/>
                      <w:color w:val="auto"/>
                      <w:szCs w:val="21"/>
                      <w:lang w:bidi="ar"/>
                    </w:rPr>
                  </w:pPr>
                  <w:r>
                    <w:rPr>
                      <w:rFonts w:hint="eastAsia"/>
                      <w:color w:val="auto"/>
                      <w:kern w:val="0"/>
                      <w:szCs w:val="21"/>
                    </w:rPr>
                    <w:t>HW08</w:t>
                  </w:r>
                </w:p>
              </w:tc>
              <w:tc>
                <w:tcPr>
                  <w:tcW w:w="672" w:type="pct"/>
                  <w:tcBorders>
                    <w:tl2br w:val="nil"/>
                    <w:tr2bl w:val="nil"/>
                  </w:tcBorders>
                  <w:shd w:val="clear" w:color="auto" w:fill="auto"/>
                  <w:vAlign w:val="center"/>
                </w:tcPr>
                <w:p w14:paraId="345A1AD9">
                  <w:pPr>
                    <w:keepNext w:val="0"/>
                    <w:keepLines w:val="0"/>
                    <w:pageBreakBefore w:val="0"/>
                    <w:widowControl/>
                    <w:kinsoku/>
                    <w:wordWrap/>
                    <w:overflowPunct/>
                    <w:topLinePunct w:val="0"/>
                    <w:autoSpaceDE/>
                    <w:autoSpaceDN/>
                    <w:bidi w:val="0"/>
                    <w:adjustRightInd w:val="0"/>
                    <w:snapToGrid w:val="0"/>
                    <w:spacing w:beforeAutospacing="0" w:afterAutospacing="0"/>
                    <w:ind w:left="-105" w:leftChars="-50" w:right="-105" w:rightChars="-50" w:firstLine="0"/>
                    <w:jc w:val="center"/>
                    <w:rPr>
                      <w:color w:val="auto"/>
                      <w:szCs w:val="21"/>
                      <w:lang w:bidi="ar"/>
                    </w:rPr>
                  </w:pPr>
                  <w:r>
                    <w:rPr>
                      <w:rFonts w:hint="eastAsia"/>
                      <w:color w:val="auto"/>
                      <w:kern w:val="0"/>
                      <w:szCs w:val="21"/>
                    </w:rPr>
                    <w:t>900-217-08</w:t>
                  </w:r>
                </w:p>
              </w:tc>
              <w:tc>
                <w:tcPr>
                  <w:tcW w:w="317" w:type="pct"/>
                  <w:tcBorders>
                    <w:tl2br w:val="nil"/>
                    <w:tr2bl w:val="nil"/>
                  </w:tcBorders>
                  <w:shd w:val="clear" w:color="auto" w:fill="auto"/>
                  <w:vAlign w:val="center"/>
                </w:tcPr>
                <w:p w14:paraId="1609AEAB">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0.1</w:t>
                  </w:r>
                </w:p>
              </w:tc>
              <w:tc>
                <w:tcPr>
                  <w:tcW w:w="364" w:type="pct"/>
                  <w:vMerge w:val="continue"/>
                  <w:tcBorders>
                    <w:tl2br w:val="nil"/>
                    <w:tr2bl w:val="nil"/>
                  </w:tcBorders>
                  <w:shd w:val="clear" w:color="auto" w:fill="auto"/>
                  <w:vAlign w:val="center"/>
                </w:tcPr>
                <w:p w14:paraId="7555369E">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p>
              </w:tc>
              <w:tc>
                <w:tcPr>
                  <w:tcW w:w="128" w:type="pct"/>
                  <w:tcBorders>
                    <w:tl2br w:val="nil"/>
                    <w:tr2bl w:val="nil"/>
                  </w:tcBorders>
                  <w:shd w:val="clear" w:color="auto" w:fill="auto"/>
                  <w:vAlign w:val="center"/>
                </w:tcPr>
                <w:p w14:paraId="4E3A652B">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0</w:t>
                  </w:r>
                </w:p>
              </w:tc>
            </w:tr>
            <w:tr w14:paraId="42EFDA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7" w:hRule="atLeast"/>
                <w:jc w:val="center"/>
              </w:trPr>
              <w:tc>
                <w:tcPr>
                  <w:tcW w:w="140" w:type="pct"/>
                  <w:tcBorders>
                    <w:tl2br w:val="nil"/>
                    <w:tr2bl w:val="nil"/>
                  </w:tcBorders>
                  <w:shd w:val="clear" w:color="auto" w:fill="auto"/>
                  <w:vAlign w:val="center"/>
                </w:tcPr>
                <w:p w14:paraId="716EF768">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11</w:t>
                  </w:r>
                </w:p>
              </w:tc>
              <w:tc>
                <w:tcPr>
                  <w:tcW w:w="667" w:type="pct"/>
                  <w:tcBorders>
                    <w:tl2br w:val="nil"/>
                    <w:tr2bl w:val="nil"/>
                  </w:tcBorders>
                  <w:shd w:val="clear" w:color="auto" w:fill="auto"/>
                  <w:vAlign w:val="center"/>
                </w:tcPr>
                <w:p w14:paraId="39A1FE9D">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bCs/>
                      <w:color w:val="auto"/>
                      <w:szCs w:val="21"/>
                    </w:rPr>
                  </w:pPr>
                  <w:r>
                    <w:rPr>
                      <w:rFonts w:hint="eastAsia"/>
                      <w:color w:val="auto"/>
                      <w:szCs w:val="21"/>
                    </w:rPr>
                    <w:t>废切削液</w:t>
                  </w:r>
                </w:p>
              </w:tc>
              <w:tc>
                <w:tcPr>
                  <w:tcW w:w="459" w:type="pct"/>
                  <w:vMerge w:val="continue"/>
                  <w:tcBorders>
                    <w:tl2br w:val="nil"/>
                    <w:tr2bl w:val="nil"/>
                  </w:tcBorders>
                  <w:shd w:val="clear" w:color="auto" w:fill="auto"/>
                  <w:vAlign w:val="center"/>
                </w:tcPr>
                <w:p w14:paraId="6FCBEB47">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p>
              </w:tc>
              <w:tc>
                <w:tcPr>
                  <w:tcW w:w="669" w:type="pct"/>
                  <w:tcBorders>
                    <w:tl2br w:val="nil"/>
                    <w:tr2bl w:val="nil"/>
                  </w:tcBorders>
                  <w:shd w:val="clear" w:color="auto" w:fill="auto"/>
                  <w:vAlign w:val="center"/>
                </w:tcPr>
                <w:p w14:paraId="270BAD1E">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机械加工</w:t>
                  </w:r>
                </w:p>
              </w:tc>
              <w:tc>
                <w:tcPr>
                  <w:tcW w:w="332" w:type="pct"/>
                  <w:tcBorders>
                    <w:tl2br w:val="nil"/>
                    <w:tr2bl w:val="nil"/>
                  </w:tcBorders>
                  <w:shd w:val="clear" w:color="auto" w:fill="auto"/>
                  <w:vAlign w:val="center"/>
                </w:tcPr>
                <w:p w14:paraId="7731BC02">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Ansi="宋体" w:cs="宋体"/>
                      <w:color w:val="auto"/>
                      <w:szCs w:val="21"/>
                      <w:lang w:bidi="ar"/>
                    </w:rPr>
                  </w:pPr>
                  <w:r>
                    <w:rPr>
                      <w:rFonts w:hint="eastAsia" w:hAnsi="宋体" w:cs="宋体"/>
                      <w:color w:val="auto"/>
                      <w:szCs w:val="21"/>
                      <w:lang w:bidi="ar"/>
                    </w:rPr>
                    <w:t>液态</w:t>
                  </w:r>
                </w:p>
              </w:tc>
              <w:tc>
                <w:tcPr>
                  <w:tcW w:w="394" w:type="pct"/>
                  <w:tcBorders>
                    <w:tl2br w:val="nil"/>
                    <w:tr2bl w:val="nil"/>
                  </w:tcBorders>
                  <w:shd w:val="clear" w:color="auto" w:fill="auto"/>
                  <w:vAlign w:val="center"/>
                </w:tcPr>
                <w:p w14:paraId="356BE819">
                  <w:pPr>
                    <w:keepNext w:val="0"/>
                    <w:keepLines w:val="0"/>
                    <w:pageBreakBefore w:val="0"/>
                    <w:tabs>
                      <w:tab w:val="left" w:pos="277"/>
                      <w:tab w:val="left" w:pos="600"/>
                      <w:tab w:val="left" w:pos="780"/>
                      <w:tab w:val="left" w:pos="2517"/>
                    </w:tabs>
                    <w:kinsoku/>
                    <w:wordWrap/>
                    <w:overflowPunct/>
                    <w:topLinePunct w:val="0"/>
                    <w:autoSpaceDE/>
                    <w:autoSpaceDN/>
                    <w:bidi w:val="0"/>
                    <w:adjustRightInd w:val="0"/>
                    <w:snapToGrid w:val="0"/>
                    <w:spacing w:beforeAutospacing="0" w:afterAutospacing="0"/>
                    <w:ind w:firstLine="0"/>
                    <w:jc w:val="center"/>
                    <w:textAlignment w:val="baseline"/>
                    <w:rPr>
                      <w:rFonts w:cs="宋体"/>
                      <w:color w:val="auto"/>
                      <w:szCs w:val="21"/>
                      <w:lang w:bidi="ar"/>
                    </w:rPr>
                  </w:pPr>
                  <w:r>
                    <w:rPr>
                      <w:rFonts w:hint="eastAsia" w:cs="宋体"/>
                      <w:color w:val="auto"/>
                      <w:kern w:val="0"/>
                      <w:szCs w:val="21"/>
                      <w:lang w:bidi="ar"/>
                    </w:rPr>
                    <w:t>矿物油</w:t>
                  </w:r>
                </w:p>
              </w:tc>
              <w:tc>
                <w:tcPr>
                  <w:tcW w:w="280" w:type="pct"/>
                  <w:vMerge w:val="continue"/>
                  <w:tcBorders>
                    <w:tl2br w:val="nil"/>
                    <w:tr2bl w:val="nil"/>
                  </w:tcBorders>
                  <w:shd w:val="clear" w:color="auto" w:fill="auto"/>
                  <w:vAlign w:val="center"/>
                </w:tcPr>
                <w:p w14:paraId="68806385">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p>
              </w:tc>
              <w:tc>
                <w:tcPr>
                  <w:tcW w:w="241" w:type="pct"/>
                  <w:tcBorders>
                    <w:tl2br w:val="nil"/>
                    <w:tr2bl w:val="nil"/>
                  </w:tcBorders>
                  <w:shd w:val="clear" w:color="auto" w:fill="auto"/>
                  <w:vAlign w:val="center"/>
                </w:tcPr>
                <w:p w14:paraId="122F0D2D">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color w:val="auto"/>
                      <w:szCs w:val="21"/>
                      <w:lang w:bidi="ar"/>
                    </w:rPr>
                    <w:t>T/I</w:t>
                  </w:r>
                </w:p>
              </w:tc>
              <w:tc>
                <w:tcPr>
                  <w:tcW w:w="331" w:type="pct"/>
                  <w:tcBorders>
                    <w:tl2br w:val="nil"/>
                    <w:tr2bl w:val="nil"/>
                  </w:tcBorders>
                  <w:shd w:val="clear" w:color="auto" w:fill="auto"/>
                  <w:vAlign w:val="center"/>
                </w:tcPr>
                <w:p w14:paraId="7103E89F">
                  <w:pPr>
                    <w:keepNext w:val="0"/>
                    <w:keepLines w:val="0"/>
                    <w:pageBreakBefore w:val="0"/>
                    <w:kinsoku/>
                    <w:wordWrap/>
                    <w:overflowPunct/>
                    <w:topLinePunct w:val="0"/>
                    <w:autoSpaceDE/>
                    <w:autoSpaceDN/>
                    <w:bidi w:val="0"/>
                    <w:adjustRightInd w:val="0"/>
                    <w:snapToGrid w:val="0"/>
                    <w:spacing w:beforeAutospacing="0" w:afterAutospacing="0"/>
                    <w:ind w:left="-105" w:leftChars="-50" w:right="-105" w:rightChars="-50" w:firstLine="0"/>
                    <w:jc w:val="center"/>
                    <w:rPr>
                      <w:bCs/>
                      <w:color w:val="auto"/>
                      <w:szCs w:val="21"/>
                      <w:lang w:bidi="ar"/>
                    </w:rPr>
                  </w:pPr>
                  <w:r>
                    <w:rPr>
                      <w:rFonts w:hint="eastAsia"/>
                      <w:color w:val="auto"/>
                      <w:kern w:val="0"/>
                      <w:szCs w:val="21"/>
                    </w:rPr>
                    <w:t>HW09</w:t>
                  </w:r>
                </w:p>
              </w:tc>
              <w:tc>
                <w:tcPr>
                  <w:tcW w:w="672" w:type="pct"/>
                  <w:tcBorders>
                    <w:tl2br w:val="nil"/>
                    <w:tr2bl w:val="nil"/>
                  </w:tcBorders>
                  <w:shd w:val="clear" w:color="auto" w:fill="auto"/>
                  <w:vAlign w:val="center"/>
                </w:tcPr>
                <w:p w14:paraId="5B4DE27B">
                  <w:pPr>
                    <w:keepNext w:val="0"/>
                    <w:keepLines w:val="0"/>
                    <w:pageBreakBefore w:val="0"/>
                    <w:kinsoku/>
                    <w:wordWrap/>
                    <w:overflowPunct/>
                    <w:topLinePunct w:val="0"/>
                    <w:autoSpaceDE/>
                    <w:autoSpaceDN/>
                    <w:bidi w:val="0"/>
                    <w:adjustRightInd w:val="0"/>
                    <w:snapToGrid w:val="0"/>
                    <w:spacing w:beforeAutospacing="0" w:afterAutospacing="0"/>
                    <w:ind w:left="-105" w:leftChars="-50" w:right="-105" w:rightChars="-50" w:firstLine="0"/>
                    <w:jc w:val="center"/>
                    <w:rPr>
                      <w:color w:val="auto"/>
                      <w:szCs w:val="21"/>
                      <w:lang w:bidi="ar"/>
                    </w:rPr>
                  </w:pPr>
                  <w:r>
                    <w:rPr>
                      <w:rFonts w:hint="eastAsia"/>
                      <w:color w:val="auto"/>
                      <w:kern w:val="0"/>
                      <w:szCs w:val="21"/>
                    </w:rPr>
                    <w:t>900-006-09</w:t>
                  </w:r>
                </w:p>
              </w:tc>
              <w:tc>
                <w:tcPr>
                  <w:tcW w:w="317" w:type="pct"/>
                  <w:tcBorders>
                    <w:tl2br w:val="nil"/>
                    <w:tr2bl w:val="nil"/>
                  </w:tcBorders>
                  <w:shd w:val="clear" w:color="auto" w:fill="auto"/>
                  <w:vAlign w:val="center"/>
                </w:tcPr>
                <w:p w14:paraId="0F6059FE">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0.093</w:t>
                  </w:r>
                </w:p>
              </w:tc>
              <w:tc>
                <w:tcPr>
                  <w:tcW w:w="364" w:type="pct"/>
                  <w:vMerge w:val="continue"/>
                  <w:tcBorders>
                    <w:tl2br w:val="nil"/>
                    <w:tr2bl w:val="nil"/>
                  </w:tcBorders>
                  <w:shd w:val="clear" w:color="auto" w:fill="auto"/>
                  <w:vAlign w:val="center"/>
                </w:tcPr>
                <w:p w14:paraId="071A1CBF">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p>
              </w:tc>
              <w:tc>
                <w:tcPr>
                  <w:tcW w:w="128" w:type="pct"/>
                  <w:tcBorders>
                    <w:tl2br w:val="nil"/>
                    <w:tr2bl w:val="nil"/>
                  </w:tcBorders>
                  <w:shd w:val="clear" w:color="auto" w:fill="auto"/>
                  <w:vAlign w:val="center"/>
                </w:tcPr>
                <w:p w14:paraId="20B7BDC8">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0</w:t>
                  </w:r>
                </w:p>
              </w:tc>
            </w:tr>
            <w:tr w14:paraId="055076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7" w:hRule="atLeast"/>
                <w:jc w:val="center"/>
              </w:trPr>
              <w:tc>
                <w:tcPr>
                  <w:tcW w:w="140" w:type="pct"/>
                  <w:tcBorders>
                    <w:tl2br w:val="nil"/>
                    <w:tr2bl w:val="nil"/>
                  </w:tcBorders>
                  <w:shd w:val="clear" w:color="auto" w:fill="auto"/>
                  <w:vAlign w:val="center"/>
                </w:tcPr>
                <w:p w14:paraId="7A616A21">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12</w:t>
                  </w:r>
                </w:p>
              </w:tc>
              <w:tc>
                <w:tcPr>
                  <w:tcW w:w="667" w:type="pct"/>
                  <w:tcBorders>
                    <w:tl2br w:val="nil"/>
                    <w:tr2bl w:val="nil"/>
                  </w:tcBorders>
                  <w:shd w:val="clear" w:color="auto" w:fill="auto"/>
                  <w:vAlign w:val="center"/>
                </w:tcPr>
                <w:p w14:paraId="5A4768A0">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废过滤棉</w:t>
                  </w:r>
                </w:p>
              </w:tc>
              <w:tc>
                <w:tcPr>
                  <w:tcW w:w="459" w:type="pct"/>
                  <w:vMerge w:val="continue"/>
                  <w:tcBorders>
                    <w:tl2br w:val="nil"/>
                    <w:tr2bl w:val="nil"/>
                  </w:tcBorders>
                  <w:shd w:val="clear" w:color="auto" w:fill="auto"/>
                  <w:vAlign w:val="center"/>
                </w:tcPr>
                <w:p w14:paraId="0C3271AB">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p>
              </w:tc>
              <w:tc>
                <w:tcPr>
                  <w:tcW w:w="669" w:type="pct"/>
                  <w:tcBorders>
                    <w:tl2br w:val="nil"/>
                    <w:tr2bl w:val="nil"/>
                  </w:tcBorders>
                  <w:shd w:val="clear" w:color="auto" w:fill="auto"/>
                  <w:vAlign w:val="center"/>
                </w:tcPr>
                <w:p w14:paraId="5837767C">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废气处理</w:t>
                  </w:r>
                </w:p>
              </w:tc>
              <w:tc>
                <w:tcPr>
                  <w:tcW w:w="332" w:type="pct"/>
                  <w:tcBorders>
                    <w:tl2br w:val="nil"/>
                    <w:tr2bl w:val="nil"/>
                  </w:tcBorders>
                  <w:shd w:val="clear" w:color="auto" w:fill="auto"/>
                  <w:vAlign w:val="center"/>
                </w:tcPr>
                <w:p w14:paraId="26B65ACA">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Ansi="宋体" w:cs="宋体"/>
                      <w:color w:val="auto"/>
                      <w:szCs w:val="21"/>
                      <w:lang w:bidi="ar"/>
                    </w:rPr>
                  </w:pPr>
                  <w:r>
                    <w:rPr>
                      <w:rFonts w:hint="eastAsia" w:hAnsi="宋体" w:cs="宋体"/>
                      <w:color w:val="auto"/>
                      <w:szCs w:val="21"/>
                      <w:lang w:bidi="ar"/>
                    </w:rPr>
                    <w:t>固态</w:t>
                  </w:r>
                </w:p>
              </w:tc>
              <w:tc>
                <w:tcPr>
                  <w:tcW w:w="394" w:type="pct"/>
                  <w:tcBorders>
                    <w:tl2br w:val="nil"/>
                    <w:tr2bl w:val="nil"/>
                  </w:tcBorders>
                  <w:shd w:val="clear" w:color="auto" w:fill="auto"/>
                  <w:vAlign w:val="center"/>
                </w:tcPr>
                <w:p w14:paraId="33757FF8">
                  <w:pPr>
                    <w:keepNext w:val="0"/>
                    <w:keepLines w:val="0"/>
                    <w:pageBreakBefore w:val="0"/>
                    <w:tabs>
                      <w:tab w:val="left" w:pos="277"/>
                      <w:tab w:val="left" w:pos="600"/>
                      <w:tab w:val="left" w:pos="780"/>
                      <w:tab w:val="left" w:pos="2517"/>
                    </w:tabs>
                    <w:kinsoku/>
                    <w:wordWrap/>
                    <w:overflowPunct/>
                    <w:topLinePunct w:val="0"/>
                    <w:autoSpaceDE/>
                    <w:autoSpaceDN/>
                    <w:bidi w:val="0"/>
                    <w:adjustRightInd w:val="0"/>
                    <w:snapToGrid w:val="0"/>
                    <w:spacing w:beforeAutospacing="0" w:afterAutospacing="0"/>
                    <w:ind w:firstLine="0"/>
                    <w:jc w:val="center"/>
                    <w:textAlignment w:val="baseline"/>
                    <w:rPr>
                      <w:rFonts w:cs="宋体"/>
                      <w:color w:val="auto"/>
                      <w:kern w:val="0"/>
                      <w:szCs w:val="21"/>
                      <w:lang w:bidi="ar"/>
                    </w:rPr>
                  </w:pPr>
                  <w:r>
                    <w:rPr>
                      <w:rFonts w:hint="eastAsia" w:cs="宋体"/>
                      <w:color w:val="auto"/>
                      <w:kern w:val="0"/>
                      <w:szCs w:val="21"/>
                      <w:lang w:bidi="ar"/>
                    </w:rPr>
                    <w:t>杂质</w:t>
                  </w:r>
                </w:p>
              </w:tc>
              <w:tc>
                <w:tcPr>
                  <w:tcW w:w="280" w:type="pct"/>
                  <w:vMerge w:val="continue"/>
                  <w:tcBorders>
                    <w:tl2br w:val="nil"/>
                    <w:tr2bl w:val="nil"/>
                  </w:tcBorders>
                  <w:shd w:val="clear" w:color="auto" w:fill="auto"/>
                  <w:vAlign w:val="center"/>
                </w:tcPr>
                <w:p w14:paraId="49886DBA">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p>
              </w:tc>
              <w:tc>
                <w:tcPr>
                  <w:tcW w:w="241" w:type="pct"/>
                  <w:tcBorders>
                    <w:tl2br w:val="nil"/>
                    <w:tr2bl w:val="nil"/>
                  </w:tcBorders>
                  <w:shd w:val="clear" w:color="auto" w:fill="auto"/>
                  <w:vAlign w:val="center"/>
                </w:tcPr>
                <w:p w14:paraId="183D15BC">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T/C</w:t>
                  </w:r>
                </w:p>
              </w:tc>
              <w:tc>
                <w:tcPr>
                  <w:tcW w:w="331" w:type="pct"/>
                  <w:tcBorders>
                    <w:tl2br w:val="nil"/>
                    <w:tr2bl w:val="nil"/>
                  </w:tcBorders>
                  <w:shd w:val="clear" w:color="auto" w:fill="auto"/>
                  <w:vAlign w:val="center"/>
                </w:tcPr>
                <w:p w14:paraId="08C52710">
                  <w:pPr>
                    <w:keepNext w:val="0"/>
                    <w:keepLines w:val="0"/>
                    <w:pageBreakBefore w:val="0"/>
                    <w:widowControl/>
                    <w:kinsoku/>
                    <w:wordWrap/>
                    <w:overflowPunct/>
                    <w:topLinePunct w:val="0"/>
                    <w:autoSpaceDE/>
                    <w:autoSpaceDN/>
                    <w:bidi w:val="0"/>
                    <w:adjustRightInd w:val="0"/>
                    <w:snapToGrid w:val="0"/>
                    <w:spacing w:beforeAutospacing="0" w:afterAutospacing="0"/>
                    <w:ind w:left="-105" w:leftChars="-50" w:right="-105" w:rightChars="-50" w:firstLine="0"/>
                    <w:jc w:val="center"/>
                    <w:rPr>
                      <w:color w:val="auto"/>
                      <w:kern w:val="0"/>
                      <w:szCs w:val="21"/>
                    </w:rPr>
                  </w:pPr>
                  <w:r>
                    <w:rPr>
                      <w:rFonts w:hint="eastAsia"/>
                      <w:color w:val="auto"/>
                      <w:kern w:val="0"/>
                      <w:szCs w:val="21"/>
                    </w:rPr>
                    <w:t>HW49</w:t>
                  </w:r>
                </w:p>
              </w:tc>
              <w:tc>
                <w:tcPr>
                  <w:tcW w:w="672" w:type="pct"/>
                  <w:tcBorders>
                    <w:tl2br w:val="nil"/>
                    <w:tr2bl w:val="nil"/>
                  </w:tcBorders>
                  <w:shd w:val="clear" w:color="auto" w:fill="auto"/>
                  <w:vAlign w:val="center"/>
                </w:tcPr>
                <w:p w14:paraId="0979BF3D">
                  <w:pPr>
                    <w:keepNext w:val="0"/>
                    <w:keepLines w:val="0"/>
                    <w:pageBreakBefore w:val="0"/>
                    <w:widowControl/>
                    <w:kinsoku/>
                    <w:wordWrap/>
                    <w:overflowPunct/>
                    <w:topLinePunct w:val="0"/>
                    <w:autoSpaceDE/>
                    <w:autoSpaceDN/>
                    <w:bidi w:val="0"/>
                    <w:adjustRightInd w:val="0"/>
                    <w:snapToGrid w:val="0"/>
                    <w:spacing w:beforeAutospacing="0" w:afterAutospacing="0"/>
                    <w:ind w:left="-105" w:leftChars="-50" w:right="-105" w:rightChars="-50" w:firstLine="0"/>
                    <w:jc w:val="center"/>
                    <w:rPr>
                      <w:color w:val="auto"/>
                      <w:kern w:val="0"/>
                      <w:szCs w:val="21"/>
                    </w:rPr>
                  </w:pPr>
                  <w:r>
                    <w:rPr>
                      <w:rFonts w:hint="eastAsia"/>
                      <w:color w:val="auto"/>
                      <w:kern w:val="0"/>
                      <w:szCs w:val="21"/>
                    </w:rPr>
                    <w:t>900-039-49</w:t>
                  </w:r>
                </w:p>
              </w:tc>
              <w:tc>
                <w:tcPr>
                  <w:tcW w:w="317" w:type="pct"/>
                  <w:tcBorders>
                    <w:tl2br w:val="nil"/>
                    <w:tr2bl w:val="nil"/>
                  </w:tcBorders>
                  <w:shd w:val="clear" w:color="auto" w:fill="auto"/>
                  <w:vAlign w:val="center"/>
                </w:tcPr>
                <w:p w14:paraId="2C81491A">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int="eastAsia" w:eastAsia="宋体"/>
                      <w:color w:val="auto"/>
                      <w:szCs w:val="21"/>
                      <w:lang w:eastAsia="zh-CN" w:bidi="ar"/>
                    </w:rPr>
                  </w:pPr>
                  <w:r>
                    <w:rPr>
                      <w:rFonts w:hint="eastAsia"/>
                      <w:color w:val="auto"/>
                      <w:szCs w:val="21"/>
                      <w:lang w:eastAsia="zh-CN" w:bidi="ar"/>
                    </w:rPr>
                    <w:t>0.7591</w:t>
                  </w:r>
                </w:p>
              </w:tc>
              <w:tc>
                <w:tcPr>
                  <w:tcW w:w="364" w:type="pct"/>
                  <w:vMerge w:val="continue"/>
                  <w:tcBorders>
                    <w:tl2br w:val="nil"/>
                    <w:tr2bl w:val="nil"/>
                  </w:tcBorders>
                  <w:shd w:val="clear" w:color="auto" w:fill="auto"/>
                  <w:vAlign w:val="center"/>
                </w:tcPr>
                <w:p w14:paraId="31DD3394">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p>
              </w:tc>
              <w:tc>
                <w:tcPr>
                  <w:tcW w:w="128" w:type="pct"/>
                  <w:tcBorders>
                    <w:tl2br w:val="nil"/>
                    <w:tr2bl w:val="nil"/>
                  </w:tcBorders>
                  <w:shd w:val="clear" w:color="auto" w:fill="auto"/>
                  <w:vAlign w:val="center"/>
                </w:tcPr>
                <w:p w14:paraId="24AB6996">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0</w:t>
                  </w:r>
                </w:p>
              </w:tc>
            </w:tr>
            <w:tr w14:paraId="4BFA61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7" w:hRule="atLeast"/>
                <w:jc w:val="center"/>
              </w:trPr>
              <w:tc>
                <w:tcPr>
                  <w:tcW w:w="140" w:type="pct"/>
                  <w:tcBorders>
                    <w:tl2br w:val="nil"/>
                    <w:tr2bl w:val="nil"/>
                  </w:tcBorders>
                  <w:shd w:val="clear" w:color="auto" w:fill="auto"/>
                  <w:vAlign w:val="center"/>
                </w:tcPr>
                <w:p w14:paraId="710CB845">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13</w:t>
                  </w:r>
                </w:p>
              </w:tc>
              <w:tc>
                <w:tcPr>
                  <w:tcW w:w="667" w:type="pct"/>
                  <w:tcBorders>
                    <w:tl2br w:val="nil"/>
                    <w:tr2bl w:val="nil"/>
                  </w:tcBorders>
                  <w:shd w:val="clear" w:color="auto" w:fill="auto"/>
                  <w:vAlign w:val="center"/>
                </w:tcPr>
                <w:p w14:paraId="39961F5D">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bCs/>
                      <w:color w:val="auto"/>
                      <w:szCs w:val="21"/>
                    </w:rPr>
                  </w:pPr>
                  <w:r>
                    <w:rPr>
                      <w:rFonts w:hint="eastAsia" w:hAnsi="宋体" w:cs="宋体"/>
                      <w:bCs/>
                      <w:color w:val="auto"/>
                      <w:szCs w:val="21"/>
                      <w:lang w:bidi="ar"/>
                    </w:rPr>
                    <w:t>生活垃圾</w:t>
                  </w:r>
                </w:p>
              </w:tc>
              <w:tc>
                <w:tcPr>
                  <w:tcW w:w="459" w:type="pct"/>
                  <w:vMerge w:val="restart"/>
                  <w:tcBorders>
                    <w:tl2br w:val="nil"/>
                    <w:tr2bl w:val="nil"/>
                  </w:tcBorders>
                  <w:shd w:val="clear" w:color="auto" w:fill="auto"/>
                  <w:vAlign w:val="center"/>
                </w:tcPr>
                <w:p w14:paraId="7511AA0C">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生活垃圾</w:t>
                  </w:r>
                </w:p>
              </w:tc>
              <w:tc>
                <w:tcPr>
                  <w:tcW w:w="669" w:type="pct"/>
                  <w:tcBorders>
                    <w:tl2br w:val="nil"/>
                    <w:tr2bl w:val="nil"/>
                  </w:tcBorders>
                  <w:shd w:val="clear" w:color="auto" w:fill="auto"/>
                  <w:vAlign w:val="center"/>
                </w:tcPr>
                <w:p w14:paraId="6A910E92">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s="宋体"/>
                      <w:color w:val="auto"/>
                      <w:szCs w:val="21"/>
                      <w:lang w:bidi="ar"/>
                    </w:rPr>
                    <w:t>职工生活</w:t>
                  </w:r>
                </w:p>
              </w:tc>
              <w:tc>
                <w:tcPr>
                  <w:tcW w:w="332" w:type="pct"/>
                  <w:tcBorders>
                    <w:tl2br w:val="nil"/>
                    <w:tr2bl w:val="nil"/>
                  </w:tcBorders>
                  <w:shd w:val="clear" w:color="auto" w:fill="auto"/>
                  <w:vAlign w:val="center"/>
                </w:tcPr>
                <w:p w14:paraId="167A0F7E">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firstLineChars="0"/>
                    <w:jc w:val="center"/>
                    <w:rPr>
                      <w:rFonts w:ascii="Times New Roman" w:hAnsi="Times New Roman" w:eastAsia="宋体" w:cs="Times New Roman"/>
                      <w:color w:val="auto"/>
                      <w:kern w:val="2"/>
                      <w:sz w:val="21"/>
                      <w:szCs w:val="21"/>
                      <w:lang w:val="en-US" w:eastAsia="zh-CN" w:bidi="ar-SA"/>
                    </w:rPr>
                  </w:pPr>
                  <w:r>
                    <w:rPr>
                      <w:rFonts w:hint="eastAsia" w:hAnsi="宋体" w:cs="宋体"/>
                      <w:color w:val="auto"/>
                      <w:szCs w:val="21"/>
                      <w:lang w:bidi="ar"/>
                    </w:rPr>
                    <w:t>固态</w:t>
                  </w:r>
                </w:p>
              </w:tc>
              <w:tc>
                <w:tcPr>
                  <w:tcW w:w="394" w:type="pct"/>
                  <w:tcBorders>
                    <w:tl2br w:val="nil"/>
                    <w:tr2bl w:val="nil"/>
                  </w:tcBorders>
                  <w:shd w:val="clear" w:color="auto" w:fill="auto"/>
                  <w:vAlign w:val="center"/>
                </w:tcPr>
                <w:p w14:paraId="784AD125">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beforeAutospacing="0" w:afterAutospacing="0"/>
                    <w:ind w:firstLine="0" w:firstLineChars="0"/>
                    <w:jc w:val="center"/>
                    <w:textAlignment w:val="baseline"/>
                    <w:rPr>
                      <w:rFonts w:ascii="Times New Roman" w:hAnsi="Times New Roman" w:eastAsia="宋体" w:cs="Times New Roman"/>
                      <w:color w:val="auto"/>
                      <w:kern w:val="2"/>
                      <w:sz w:val="21"/>
                      <w:szCs w:val="21"/>
                      <w:lang w:val="en-US" w:eastAsia="zh-CN" w:bidi="ar-SA"/>
                    </w:rPr>
                  </w:pPr>
                  <w:r>
                    <w:rPr>
                      <w:rFonts w:hint="eastAsia" w:cs="宋体"/>
                      <w:color w:val="auto"/>
                      <w:kern w:val="0"/>
                      <w:szCs w:val="21"/>
                      <w:lang w:bidi="ar"/>
                    </w:rPr>
                    <w:t>瓜皮果屑</w:t>
                  </w:r>
                </w:p>
              </w:tc>
              <w:tc>
                <w:tcPr>
                  <w:tcW w:w="280" w:type="pct"/>
                  <w:tcBorders>
                    <w:tl2br w:val="nil"/>
                    <w:tr2bl w:val="nil"/>
                  </w:tcBorders>
                  <w:shd w:val="clear" w:color="auto" w:fill="auto"/>
                  <w:vAlign w:val="center"/>
                </w:tcPr>
                <w:p w14:paraId="4CA0C425">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w:t>
                  </w:r>
                </w:p>
              </w:tc>
              <w:tc>
                <w:tcPr>
                  <w:tcW w:w="241" w:type="pct"/>
                  <w:tcBorders>
                    <w:tl2br w:val="nil"/>
                    <w:tr2bl w:val="nil"/>
                  </w:tcBorders>
                  <w:shd w:val="clear" w:color="auto" w:fill="auto"/>
                  <w:vAlign w:val="center"/>
                </w:tcPr>
                <w:p w14:paraId="6051887F">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w:t>
                  </w:r>
                </w:p>
              </w:tc>
              <w:tc>
                <w:tcPr>
                  <w:tcW w:w="331" w:type="pct"/>
                  <w:tcBorders>
                    <w:tl2br w:val="nil"/>
                    <w:tr2bl w:val="nil"/>
                  </w:tcBorders>
                  <w:shd w:val="clear" w:color="auto" w:fill="auto"/>
                  <w:vAlign w:val="center"/>
                </w:tcPr>
                <w:p w14:paraId="26DFF172">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bCs/>
                      <w:color w:val="auto"/>
                      <w:szCs w:val="21"/>
                      <w:lang w:bidi="ar"/>
                    </w:rPr>
                  </w:pPr>
                  <w:r>
                    <w:rPr>
                      <w:bCs/>
                      <w:color w:val="auto"/>
                      <w:szCs w:val="21"/>
                      <w:lang w:bidi="ar"/>
                    </w:rPr>
                    <w:t>SW61</w:t>
                  </w:r>
                </w:p>
              </w:tc>
              <w:tc>
                <w:tcPr>
                  <w:tcW w:w="672" w:type="pct"/>
                  <w:tcBorders>
                    <w:tl2br w:val="nil"/>
                    <w:tr2bl w:val="nil"/>
                  </w:tcBorders>
                  <w:shd w:val="clear" w:color="auto" w:fill="auto"/>
                  <w:vAlign w:val="center"/>
                </w:tcPr>
                <w:p w14:paraId="4AB32198">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bCs/>
                      <w:color w:val="auto"/>
                      <w:szCs w:val="21"/>
                      <w:lang w:bidi="ar"/>
                    </w:rPr>
                    <w:t>900-002-S61</w:t>
                  </w:r>
                </w:p>
              </w:tc>
              <w:tc>
                <w:tcPr>
                  <w:tcW w:w="317" w:type="pct"/>
                  <w:tcBorders>
                    <w:tl2br w:val="nil"/>
                    <w:tr2bl w:val="nil"/>
                  </w:tcBorders>
                  <w:shd w:val="clear" w:color="auto" w:fill="auto"/>
                  <w:vAlign w:val="center"/>
                </w:tcPr>
                <w:p w14:paraId="3A813BAA">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Cs w:val="21"/>
                    </w:rPr>
                    <w:t>15</w:t>
                  </w:r>
                </w:p>
              </w:tc>
              <w:tc>
                <w:tcPr>
                  <w:tcW w:w="364" w:type="pct"/>
                  <w:vMerge w:val="restart"/>
                  <w:tcBorders>
                    <w:tl2br w:val="nil"/>
                    <w:tr2bl w:val="nil"/>
                  </w:tcBorders>
                  <w:shd w:val="clear" w:color="auto" w:fill="auto"/>
                  <w:vAlign w:val="center"/>
                </w:tcPr>
                <w:p w14:paraId="4F432E6B">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olor w:val="auto"/>
                      <w:szCs w:val="21"/>
                    </w:rPr>
                    <w:t>委托环卫部门清运</w:t>
                  </w:r>
                </w:p>
              </w:tc>
              <w:tc>
                <w:tcPr>
                  <w:tcW w:w="128" w:type="pct"/>
                  <w:tcBorders>
                    <w:tl2br w:val="nil"/>
                    <w:tr2bl w:val="nil"/>
                  </w:tcBorders>
                  <w:shd w:val="clear" w:color="auto" w:fill="auto"/>
                  <w:vAlign w:val="center"/>
                </w:tcPr>
                <w:p w14:paraId="26C02AA0">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0</w:t>
                  </w:r>
                </w:p>
              </w:tc>
            </w:tr>
            <w:tr w14:paraId="5DC905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7" w:hRule="atLeast"/>
                <w:jc w:val="center"/>
              </w:trPr>
              <w:tc>
                <w:tcPr>
                  <w:tcW w:w="140" w:type="pct"/>
                  <w:tcBorders>
                    <w:tl2br w:val="nil"/>
                    <w:tr2bl w:val="nil"/>
                  </w:tcBorders>
                  <w:shd w:val="clear" w:color="auto" w:fill="auto"/>
                  <w:vAlign w:val="center"/>
                </w:tcPr>
                <w:p w14:paraId="6250480B">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14</w:t>
                  </w:r>
                </w:p>
              </w:tc>
              <w:tc>
                <w:tcPr>
                  <w:tcW w:w="667" w:type="pct"/>
                  <w:tcBorders>
                    <w:tl2br w:val="nil"/>
                    <w:tr2bl w:val="nil"/>
                  </w:tcBorders>
                  <w:shd w:val="clear" w:color="auto" w:fill="auto"/>
                  <w:vAlign w:val="center"/>
                </w:tcPr>
                <w:p w14:paraId="1DFC49A5">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bCs/>
                      <w:color w:val="auto"/>
                      <w:szCs w:val="21"/>
                    </w:rPr>
                  </w:pPr>
                  <w:r>
                    <w:rPr>
                      <w:rFonts w:hint="eastAsia" w:hAnsi="宋体" w:cs="宋体"/>
                      <w:bCs/>
                      <w:color w:val="auto"/>
                      <w:szCs w:val="21"/>
                      <w:lang w:bidi="ar"/>
                    </w:rPr>
                    <w:t>化粪池污泥</w:t>
                  </w:r>
                </w:p>
              </w:tc>
              <w:tc>
                <w:tcPr>
                  <w:tcW w:w="459" w:type="pct"/>
                  <w:vMerge w:val="continue"/>
                  <w:tcBorders>
                    <w:tl2br w:val="nil"/>
                    <w:tr2bl w:val="nil"/>
                  </w:tcBorders>
                  <w:shd w:val="clear" w:color="auto" w:fill="auto"/>
                  <w:vAlign w:val="center"/>
                </w:tcPr>
                <w:p w14:paraId="2DF6D274">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p>
              </w:tc>
              <w:tc>
                <w:tcPr>
                  <w:tcW w:w="669" w:type="pct"/>
                  <w:tcBorders>
                    <w:tl2br w:val="nil"/>
                    <w:tr2bl w:val="nil"/>
                  </w:tcBorders>
                  <w:shd w:val="clear" w:color="auto" w:fill="auto"/>
                  <w:vAlign w:val="center"/>
                </w:tcPr>
                <w:p w14:paraId="0F984977">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r>
                    <w:rPr>
                      <w:rFonts w:hint="eastAsia" w:cs="宋体"/>
                      <w:color w:val="auto"/>
                      <w:szCs w:val="21"/>
                      <w:lang w:bidi="ar"/>
                    </w:rPr>
                    <w:t>职工生活</w:t>
                  </w:r>
                </w:p>
              </w:tc>
              <w:tc>
                <w:tcPr>
                  <w:tcW w:w="332" w:type="pct"/>
                  <w:tcBorders>
                    <w:tl2br w:val="nil"/>
                    <w:tr2bl w:val="nil"/>
                  </w:tcBorders>
                  <w:shd w:val="clear" w:color="auto" w:fill="auto"/>
                  <w:vAlign w:val="center"/>
                </w:tcPr>
                <w:p w14:paraId="47C9C562">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s="宋体"/>
                      <w:color w:val="auto"/>
                      <w:szCs w:val="21"/>
                      <w:lang w:eastAsia="zh-CN" w:bidi="ar"/>
                    </w:rPr>
                    <w:t>半固</w:t>
                  </w:r>
                </w:p>
              </w:tc>
              <w:tc>
                <w:tcPr>
                  <w:tcW w:w="394" w:type="pct"/>
                  <w:tcBorders>
                    <w:tl2br w:val="nil"/>
                    <w:tr2bl w:val="nil"/>
                  </w:tcBorders>
                  <w:shd w:val="clear" w:color="auto" w:fill="auto"/>
                  <w:vAlign w:val="center"/>
                </w:tcPr>
                <w:p w14:paraId="0762178A">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beforeAutospacing="0" w:afterAutospacing="0"/>
                    <w:ind w:firstLine="0" w:firstLineChars="0"/>
                    <w:jc w:val="center"/>
                    <w:textAlignment w:val="baseline"/>
                    <w:rPr>
                      <w:rFonts w:ascii="Times New Roman" w:hAnsi="宋体" w:eastAsia="宋体" w:cs="Times New Roman"/>
                      <w:color w:val="auto"/>
                      <w:kern w:val="2"/>
                      <w:sz w:val="21"/>
                      <w:szCs w:val="21"/>
                      <w:lang w:val="en-US" w:eastAsia="zh-CN" w:bidi="ar-SA"/>
                    </w:rPr>
                  </w:pPr>
                  <w:r>
                    <w:rPr>
                      <w:rFonts w:hint="eastAsia" w:cs="宋体"/>
                      <w:color w:val="auto"/>
                      <w:kern w:val="0"/>
                      <w:szCs w:val="21"/>
                      <w:lang w:bidi="ar"/>
                    </w:rPr>
                    <w:t>污泥</w:t>
                  </w:r>
                </w:p>
              </w:tc>
              <w:tc>
                <w:tcPr>
                  <w:tcW w:w="280" w:type="pct"/>
                  <w:tcBorders>
                    <w:tl2br w:val="nil"/>
                    <w:tr2bl w:val="nil"/>
                  </w:tcBorders>
                  <w:shd w:val="clear" w:color="auto" w:fill="auto"/>
                  <w:vAlign w:val="center"/>
                </w:tcPr>
                <w:p w14:paraId="1E0D1115">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w:t>
                  </w:r>
                </w:p>
              </w:tc>
              <w:tc>
                <w:tcPr>
                  <w:tcW w:w="241" w:type="pct"/>
                  <w:tcBorders>
                    <w:tl2br w:val="nil"/>
                    <w:tr2bl w:val="nil"/>
                  </w:tcBorders>
                  <w:shd w:val="clear" w:color="auto" w:fill="auto"/>
                  <w:vAlign w:val="center"/>
                </w:tcPr>
                <w:p w14:paraId="3A5797A8">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w:t>
                  </w:r>
                </w:p>
              </w:tc>
              <w:tc>
                <w:tcPr>
                  <w:tcW w:w="331" w:type="pct"/>
                  <w:tcBorders>
                    <w:tl2br w:val="nil"/>
                    <w:tr2bl w:val="nil"/>
                  </w:tcBorders>
                  <w:shd w:val="clear" w:color="auto" w:fill="auto"/>
                  <w:vAlign w:val="center"/>
                </w:tcPr>
                <w:p w14:paraId="3AA5A1A6">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bCs/>
                      <w:color w:val="auto"/>
                      <w:szCs w:val="21"/>
                      <w:lang w:bidi="ar"/>
                    </w:rPr>
                  </w:pPr>
                  <w:r>
                    <w:rPr>
                      <w:bCs/>
                      <w:color w:val="auto"/>
                      <w:szCs w:val="21"/>
                      <w:lang w:bidi="ar"/>
                    </w:rPr>
                    <w:t>SW64</w:t>
                  </w:r>
                </w:p>
              </w:tc>
              <w:tc>
                <w:tcPr>
                  <w:tcW w:w="672" w:type="pct"/>
                  <w:tcBorders>
                    <w:tl2br w:val="nil"/>
                    <w:tr2bl w:val="nil"/>
                  </w:tcBorders>
                  <w:shd w:val="clear" w:color="auto" w:fill="auto"/>
                  <w:vAlign w:val="center"/>
                </w:tcPr>
                <w:p w14:paraId="3EC884FF">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color w:val="auto"/>
                      <w:szCs w:val="21"/>
                      <w:lang w:bidi="ar"/>
                    </w:rPr>
                    <w:t>900-002-S64</w:t>
                  </w:r>
                </w:p>
              </w:tc>
              <w:tc>
                <w:tcPr>
                  <w:tcW w:w="317" w:type="pct"/>
                  <w:tcBorders>
                    <w:tl2br w:val="nil"/>
                    <w:tr2bl w:val="nil"/>
                  </w:tcBorders>
                  <w:shd w:val="clear" w:color="auto" w:fill="auto"/>
                  <w:vAlign w:val="center"/>
                </w:tcPr>
                <w:p w14:paraId="5996BFC3">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11.4</w:t>
                  </w:r>
                </w:p>
              </w:tc>
              <w:tc>
                <w:tcPr>
                  <w:tcW w:w="364" w:type="pct"/>
                  <w:vMerge w:val="continue"/>
                  <w:tcBorders>
                    <w:tl2br w:val="nil"/>
                    <w:tr2bl w:val="nil"/>
                  </w:tcBorders>
                  <w:shd w:val="clear" w:color="auto" w:fill="auto"/>
                  <w:vAlign w:val="center"/>
                </w:tcPr>
                <w:p w14:paraId="3C9395DE">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p>
              </w:tc>
              <w:tc>
                <w:tcPr>
                  <w:tcW w:w="128" w:type="pct"/>
                  <w:tcBorders>
                    <w:tl2br w:val="nil"/>
                    <w:tr2bl w:val="nil"/>
                  </w:tcBorders>
                  <w:shd w:val="clear" w:color="auto" w:fill="auto"/>
                  <w:vAlign w:val="center"/>
                </w:tcPr>
                <w:p w14:paraId="16790DFC">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lang w:bidi="ar"/>
                    </w:rPr>
                  </w:pPr>
                  <w:r>
                    <w:rPr>
                      <w:rFonts w:hint="eastAsia"/>
                      <w:color w:val="auto"/>
                      <w:szCs w:val="21"/>
                      <w:lang w:bidi="ar"/>
                    </w:rPr>
                    <w:t>0</w:t>
                  </w:r>
                </w:p>
              </w:tc>
            </w:tr>
            <w:tr w14:paraId="7A00CE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7" w:hRule="atLeast"/>
                <w:jc w:val="center"/>
              </w:trPr>
              <w:tc>
                <w:tcPr>
                  <w:tcW w:w="140" w:type="pct"/>
                  <w:tcBorders>
                    <w:tl2br w:val="nil"/>
                    <w:tr2bl w:val="nil"/>
                  </w:tcBorders>
                  <w:shd w:val="clear" w:color="auto" w:fill="auto"/>
                  <w:vAlign w:val="center"/>
                </w:tcPr>
                <w:p w14:paraId="185D39C6">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int="default" w:eastAsia="宋体"/>
                      <w:color w:val="auto"/>
                      <w:szCs w:val="21"/>
                      <w:lang w:val="en-US" w:eastAsia="zh-CN" w:bidi="ar"/>
                    </w:rPr>
                  </w:pPr>
                  <w:r>
                    <w:rPr>
                      <w:rFonts w:hint="eastAsia"/>
                      <w:color w:val="auto"/>
                      <w:szCs w:val="21"/>
                      <w:lang w:val="en-US" w:eastAsia="zh-CN" w:bidi="ar"/>
                    </w:rPr>
                    <w:t>15</w:t>
                  </w:r>
                </w:p>
              </w:tc>
              <w:tc>
                <w:tcPr>
                  <w:tcW w:w="667" w:type="pct"/>
                  <w:tcBorders>
                    <w:tl2br w:val="nil"/>
                    <w:tr2bl w:val="nil"/>
                  </w:tcBorders>
                  <w:shd w:val="clear" w:color="auto" w:fill="auto"/>
                  <w:vAlign w:val="center"/>
                </w:tcPr>
                <w:p w14:paraId="2EC06C7A">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int="eastAsia" w:hAnsi="宋体" w:eastAsia="宋体" w:cs="宋体"/>
                      <w:bCs/>
                      <w:color w:val="auto"/>
                      <w:szCs w:val="21"/>
                      <w:lang w:eastAsia="zh-CN" w:bidi="ar"/>
                    </w:rPr>
                  </w:pPr>
                  <w:r>
                    <w:rPr>
                      <w:rFonts w:hint="eastAsia" w:hAnsi="宋体" w:cs="宋体"/>
                      <w:bCs/>
                      <w:color w:val="auto"/>
                      <w:szCs w:val="21"/>
                      <w:lang w:eastAsia="zh-CN" w:bidi="ar"/>
                    </w:rPr>
                    <w:t>厨余垃圾</w:t>
                  </w:r>
                </w:p>
              </w:tc>
              <w:tc>
                <w:tcPr>
                  <w:tcW w:w="459" w:type="pct"/>
                  <w:vMerge w:val="continue"/>
                  <w:tcBorders>
                    <w:tl2br w:val="nil"/>
                    <w:tr2bl w:val="nil"/>
                  </w:tcBorders>
                  <w:shd w:val="clear" w:color="auto" w:fill="auto"/>
                  <w:vAlign w:val="center"/>
                </w:tcPr>
                <w:p w14:paraId="5F8E8E3E">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int="eastAsia" w:eastAsia="宋体"/>
                      <w:color w:val="auto"/>
                      <w:szCs w:val="21"/>
                      <w:lang w:eastAsia="zh-CN"/>
                    </w:rPr>
                  </w:pPr>
                </w:p>
              </w:tc>
              <w:tc>
                <w:tcPr>
                  <w:tcW w:w="669" w:type="pct"/>
                  <w:tcBorders>
                    <w:tl2br w:val="nil"/>
                    <w:tr2bl w:val="nil"/>
                  </w:tcBorders>
                  <w:shd w:val="clear" w:color="auto" w:fill="auto"/>
                  <w:vAlign w:val="center"/>
                </w:tcPr>
                <w:p w14:paraId="60759613">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int="eastAsia" w:eastAsia="宋体" w:cs="宋体"/>
                      <w:color w:val="auto"/>
                      <w:szCs w:val="21"/>
                      <w:lang w:eastAsia="zh-CN" w:bidi="ar"/>
                    </w:rPr>
                  </w:pPr>
                  <w:r>
                    <w:rPr>
                      <w:rFonts w:hint="eastAsia" w:cs="宋体"/>
                      <w:color w:val="auto"/>
                      <w:szCs w:val="21"/>
                      <w:lang w:eastAsia="zh-CN" w:bidi="ar"/>
                    </w:rPr>
                    <w:t>食堂</w:t>
                  </w:r>
                </w:p>
              </w:tc>
              <w:tc>
                <w:tcPr>
                  <w:tcW w:w="332" w:type="pct"/>
                  <w:tcBorders>
                    <w:tl2br w:val="nil"/>
                    <w:tr2bl w:val="nil"/>
                  </w:tcBorders>
                  <w:shd w:val="clear" w:color="auto" w:fill="auto"/>
                  <w:vAlign w:val="center"/>
                </w:tcPr>
                <w:p w14:paraId="50614593">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firstLineChars="0"/>
                    <w:jc w:val="center"/>
                    <w:rPr>
                      <w:rFonts w:hint="eastAsia" w:ascii="Times New Roman" w:hAnsi="宋体" w:eastAsia="宋体" w:cs="宋体"/>
                      <w:color w:val="auto"/>
                      <w:kern w:val="2"/>
                      <w:sz w:val="21"/>
                      <w:szCs w:val="21"/>
                      <w:lang w:val="en-US" w:eastAsia="zh-CN" w:bidi="ar"/>
                    </w:rPr>
                  </w:pPr>
                  <w:r>
                    <w:rPr>
                      <w:rFonts w:hint="eastAsia" w:hAnsi="宋体" w:cs="宋体"/>
                      <w:color w:val="auto"/>
                      <w:szCs w:val="21"/>
                      <w:lang w:eastAsia="zh-CN" w:bidi="ar"/>
                    </w:rPr>
                    <w:t>固态</w:t>
                  </w:r>
                </w:p>
              </w:tc>
              <w:tc>
                <w:tcPr>
                  <w:tcW w:w="394" w:type="pct"/>
                  <w:tcBorders>
                    <w:tl2br w:val="nil"/>
                    <w:tr2bl w:val="nil"/>
                  </w:tcBorders>
                  <w:shd w:val="clear" w:color="auto" w:fill="auto"/>
                  <w:vAlign w:val="center"/>
                </w:tcPr>
                <w:p w14:paraId="24CC9952">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beforeAutospacing="0" w:afterAutospacing="0"/>
                    <w:ind w:firstLine="0" w:firstLineChars="0"/>
                    <w:jc w:val="center"/>
                    <w:textAlignment w:val="baseline"/>
                    <w:rPr>
                      <w:rFonts w:hint="eastAsia" w:ascii="Times New Roman" w:hAnsi="Times New Roman" w:eastAsia="宋体" w:cs="宋体"/>
                      <w:color w:val="auto"/>
                      <w:kern w:val="0"/>
                      <w:sz w:val="21"/>
                      <w:szCs w:val="21"/>
                      <w:lang w:val="en-US" w:eastAsia="zh-CN" w:bidi="ar"/>
                    </w:rPr>
                  </w:pPr>
                  <w:r>
                    <w:rPr>
                      <w:rFonts w:hint="eastAsia" w:cs="宋体"/>
                      <w:color w:val="auto"/>
                      <w:kern w:val="0"/>
                      <w:szCs w:val="21"/>
                      <w:lang w:eastAsia="zh-CN" w:bidi="ar"/>
                    </w:rPr>
                    <w:t>残羹剩饭</w:t>
                  </w:r>
                </w:p>
              </w:tc>
              <w:tc>
                <w:tcPr>
                  <w:tcW w:w="280" w:type="pct"/>
                  <w:tcBorders>
                    <w:tl2br w:val="nil"/>
                    <w:tr2bl w:val="nil"/>
                  </w:tcBorders>
                  <w:shd w:val="clear" w:color="auto" w:fill="auto"/>
                  <w:vAlign w:val="center"/>
                </w:tcPr>
                <w:p w14:paraId="186CD52F">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int="eastAsia" w:eastAsia="宋体"/>
                      <w:color w:val="auto"/>
                      <w:szCs w:val="21"/>
                      <w:lang w:val="en-US" w:eastAsia="zh-CN" w:bidi="ar"/>
                    </w:rPr>
                  </w:pPr>
                  <w:r>
                    <w:rPr>
                      <w:rFonts w:hint="eastAsia"/>
                      <w:color w:val="auto"/>
                      <w:szCs w:val="21"/>
                      <w:lang w:val="en-US" w:eastAsia="zh-CN" w:bidi="ar"/>
                    </w:rPr>
                    <w:t>/</w:t>
                  </w:r>
                </w:p>
              </w:tc>
              <w:tc>
                <w:tcPr>
                  <w:tcW w:w="241" w:type="pct"/>
                  <w:tcBorders>
                    <w:tl2br w:val="nil"/>
                    <w:tr2bl w:val="nil"/>
                  </w:tcBorders>
                  <w:shd w:val="clear" w:color="auto" w:fill="auto"/>
                  <w:vAlign w:val="center"/>
                </w:tcPr>
                <w:p w14:paraId="0D368631">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int="eastAsia" w:eastAsia="宋体"/>
                      <w:color w:val="auto"/>
                      <w:szCs w:val="21"/>
                      <w:lang w:val="en-US" w:eastAsia="zh-CN" w:bidi="ar"/>
                    </w:rPr>
                  </w:pPr>
                  <w:r>
                    <w:rPr>
                      <w:rFonts w:hint="eastAsia"/>
                      <w:color w:val="auto"/>
                      <w:szCs w:val="21"/>
                      <w:lang w:val="en-US" w:eastAsia="zh-CN" w:bidi="ar"/>
                    </w:rPr>
                    <w:t>/</w:t>
                  </w:r>
                </w:p>
              </w:tc>
              <w:tc>
                <w:tcPr>
                  <w:tcW w:w="331" w:type="pct"/>
                  <w:tcBorders>
                    <w:tl2br w:val="nil"/>
                    <w:tr2bl w:val="nil"/>
                  </w:tcBorders>
                  <w:shd w:val="clear" w:color="auto" w:fill="auto"/>
                  <w:vAlign w:val="center"/>
                </w:tcPr>
                <w:p w14:paraId="3BB7EB0A">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int="default" w:eastAsia="宋体"/>
                      <w:bCs/>
                      <w:color w:val="auto"/>
                      <w:szCs w:val="21"/>
                      <w:lang w:val="en-US" w:eastAsia="zh-CN" w:bidi="ar"/>
                    </w:rPr>
                  </w:pPr>
                  <w:r>
                    <w:rPr>
                      <w:rFonts w:hint="eastAsia"/>
                      <w:bCs/>
                      <w:color w:val="auto"/>
                      <w:szCs w:val="21"/>
                      <w:lang w:val="en-US" w:eastAsia="zh-CN" w:bidi="ar"/>
                    </w:rPr>
                    <w:t>SW61</w:t>
                  </w:r>
                </w:p>
              </w:tc>
              <w:tc>
                <w:tcPr>
                  <w:tcW w:w="672" w:type="pct"/>
                  <w:tcBorders>
                    <w:tl2br w:val="nil"/>
                    <w:tr2bl w:val="nil"/>
                  </w:tcBorders>
                  <w:shd w:val="clear" w:color="auto" w:fill="auto"/>
                  <w:vAlign w:val="center"/>
                </w:tcPr>
                <w:p w14:paraId="6B95FB76">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int="default" w:eastAsia="宋体"/>
                      <w:color w:val="auto"/>
                      <w:szCs w:val="21"/>
                      <w:lang w:val="en-US" w:eastAsia="zh-CN" w:bidi="ar"/>
                    </w:rPr>
                  </w:pPr>
                  <w:r>
                    <w:rPr>
                      <w:rFonts w:hint="eastAsia"/>
                      <w:color w:val="auto"/>
                      <w:szCs w:val="21"/>
                      <w:lang w:val="en-US" w:eastAsia="zh-CN" w:bidi="ar"/>
                    </w:rPr>
                    <w:t>900-002-S61</w:t>
                  </w:r>
                </w:p>
              </w:tc>
              <w:tc>
                <w:tcPr>
                  <w:tcW w:w="317" w:type="pct"/>
                  <w:tcBorders>
                    <w:tl2br w:val="nil"/>
                    <w:tr2bl w:val="nil"/>
                  </w:tcBorders>
                  <w:shd w:val="clear" w:color="auto" w:fill="auto"/>
                  <w:vAlign w:val="center"/>
                </w:tcPr>
                <w:p w14:paraId="64A47FE1">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3.3</w:t>
                  </w:r>
                </w:p>
              </w:tc>
              <w:tc>
                <w:tcPr>
                  <w:tcW w:w="364" w:type="pct"/>
                  <w:vMerge w:val="continue"/>
                  <w:tcBorders>
                    <w:tl2br w:val="nil"/>
                    <w:tr2bl w:val="nil"/>
                  </w:tcBorders>
                  <w:shd w:val="clear" w:color="auto" w:fill="auto"/>
                  <w:vAlign w:val="center"/>
                </w:tcPr>
                <w:p w14:paraId="44F8BE23">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p>
              </w:tc>
              <w:tc>
                <w:tcPr>
                  <w:tcW w:w="128" w:type="pct"/>
                  <w:tcBorders>
                    <w:tl2br w:val="nil"/>
                    <w:tr2bl w:val="nil"/>
                  </w:tcBorders>
                  <w:shd w:val="clear" w:color="auto" w:fill="auto"/>
                  <w:vAlign w:val="center"/>
                </w:tcPr>
                <w:p w14:paraId="406CB4C8">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int="eastAsia" w:eastAsia="宋体"/>
                      <w:color w:val="auto"/>
                      <w:szCs w:val="21"/>
                      <w:lang w:val="en-US" w:eastAsia="zh-CN" w:bidi="ar"/>
                    </w:rPr>
                  </w:pPr>
                  <w:r>
                    <w:rPr>
                      <w:rFonts w:hint="eastAsia"/>
                      <w:color w:val="auto"/>
                      <w:szCs w:val="21"/>
                      <w:lang w:val="en-US" w:eastAsia="zh-CN" w:bidi="ar"/>
                    </w:rPr>
                    <w:t>0</w:t>
                  </w:r>
                </w:p>
              </w:tc>
            </w:tr>
            <w:tr w14:paraId="2F1C56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7" w:hRule="atLeast"/>
                <w:jc w:val="center"/>
              </w:trPr>
              <w:tc>
                <w:tcPr>
                  <w:tcW w:w="140" w:type="pct"/>
                  <w:tcBorders>
                    <w:tl2br w:val="nil"/>
                    <w:tr2bl w:val="nil"/>
                  </w:tcBorders>
                  <w:shd w:val="clear" w:color="auto" w:fill="auto"/>
                  <w:vAlign w:val="center"/>
                </w:tcPr>
                <w:p w14:paraId="4BC6302B">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int="default"/>
                      <w:color w:val="auto"/>
                      <w:szCs w:val="21"/>
                      <w:lang w:val="en-US" w:eastAsia="zh-CN" w:bidi="ar"/>
                    </w:rPr>
                  </w:pPr>
                  <w:r>
                    <w:rPr>
                      <w:rFonts w:hint="eastAsia"/>
                      <w:color w:val="auto"/>
                      <w:szCs w:val="21"/>
                      <w:lang w:val="en-US" w:eastAsia="zh-CN" w:bidi="ar"/>
                    </w:rPr>
                    <w:t>16</w:t>
                  </w:r>
                </w:p>
              </w:tc>
              <w:tc>
                <w:tcPr>
                  <w:tcW w:w="667" w:type="pct"/>
                  <w:tcBorders>
                    <w:tl2br w:val="nil"/>
                    <w:tr2bl w:val="nil"/>
                  </w:tcBorders>
                  <w:shd w:val="clear" w:color="auto" w:fill="auto"/>
                  <w:vAlign w:val="center"/>
                </w:tcPr>
                <w:p w14:paraId="4FF4D87F">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int="eastAsia" w:hAnsi="宋体" w:cs="宋体"/>
                      <w:bCs/>
                      <w:color w:val="auto"/>
                      <w:szCs w:val="21"/>
                      <w:lang w:eastAsia="zh-CN" w:bidi="ar"/>
                    </w:rPr>
                  </w:pPr>
                  <w:r>
                    <w:rPr>
                      <w:rFonts w:hint="eastAsia" w:hAnsi="宋体" w:cs="宋体"/>
                      <w:bCs/>
                      <w:color w:val="auto"/>
                      <w:szCs w:val="21"/>
                      <w:lang w:eastAsia="zh-CN" w:bidi="ar"/>
                    </w:rPr>
                    <w:t>隔油池废油</w:t>
                  </w:r>
                </w:p>
              </w:tc>
              <w:tc>
                <w:tcPr>
                  <w:tcW w:w="459" w:type="pct"/>
                  <w:vMerge w:val="continue"/>
                  <w:tcBorders>
                    <w:tl2br w:val="nil"/>
                    <w:tr2bl w:val="nil"/>
                  </w:tcBorders>
                  <w:shd w:val="clear" w:color="auto" w:fill="auto"/>
                  <w:vAlign w:val="center"/>
                </w:tcPr>
                <w:p w14:paraId="7BF132D8">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int="eastAsia" w:eastAsia="宋体"/>
                      <w:color w:val="auto"/>
                      <w:szCs w:val="21"/>
                      <w:lang w:eastAsia="zh-CN"/>
                    </w:rPr>
                  </w:pPr>
                </w:p>
              </w:tc>
              <w:tc>
                <w:tcPr>
                  <w:tcW w:w="669" w:type="pct"/>
                  <w:tcBorders>
                    <w:tl2br w:val="nil"/>
                    <w:tr2bl w:val="nil"/>
                  </w:tcBorders>
                  <w:shd w:val="clear" w:color="auto" w:fill="auto"/>
                  <w:vAlign w:val="center"/>
                </w:tcPr>
                <w:p w14:paraId="3AFF21AE">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int="eastAsia" w:cs="宋体"/>
                      <w:color w:val="auto"/>
                      <w:szCs w:val="21"/>
                      <w:lang w:eastAsia="zh-CN" w:bidi="ar"/>
                    </w:rPr>
                  </w:pPr>
                  <w:r>
                    <w:rPr>
                      <w:rFonts w:hint="eastAsia" w:cs="宋体"/>
                      <w:color w:val="auto"/>
                      <w:szCs w:val="21"/>
                      <w:lang w:eastAsia="zh-CN" w:bidi="ar"/>
                    </w:rPr>
                    <w:t>隔油池</w:t>
                  </w:r>
                </w:p>
              </w:tc>
              <w:tc>
                <w:tcPr>
                  <w:tcW w:w="332" w:type="pct"/>
                  <w:tcBorders>
                    <w:tl2br w:val="nil"/>
                    <w:tr2bl w:val="nil"/>
                  </w:tcBorders>
                  <w:shd w:val="clear" w:color="auto" w:fill="auto"/>
                  <w:vAlign w:val="center"/>
                </w:tcPr>
                <w:p w14:paraId="26906E5B">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firstLineChars="0"/>
                    <w:jc w:val="center"/>
                    <w:rPr>
                      <w:rFonts w:hint="eastAsia" w:ascii="Times New Roman" w:hAnsi="宋体" w:eastAsia="宋体" w:cs="宋体"/>
                      <w:color w:val="auto"/>
                      <w:kern w:val="2"/>
                      <w:sz w:val="21"/>
                      <w:szCs w:val="21"/>
                      <w:lang w:val="en-US" w:eastAsia="zh-CN" w:bidi="ar"/>
                    </w:rPr>
                  </w:pPr>
                  <w:r>
                    <w:rPr>
                      <w:rFonts w:hint="eastAsia" w:hAnsi="宋体" w:cs="宋体"/>
                      <w:color w:val="auto"/>
                      <w:szCs w:val="21"/>
                      <w:lang w:eastAsia="zh-CN" w:bidi="ar"/>
                    </w:rPr>
                    <w:t>半固</w:t>
                  </w:r>
                </w:p>
              </w:tc>
              <w:tc>
                <w:tcPr>
                  <w:tcW w:w="394" w:type="pct"/>
                  <w:tcBorders>
                    <w:tl2br w:val="nil"/>
                    <w:tr2bl w:val="nil"/>
                  </w:tcBorders>
                  <w:shd w:val="clear" w:color="auto" w:fill="auto"/>
                  <w:vAlign w:val="center"/>
                </w:tcPr>
                <w:p w14:paraId="5E9FD373">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beforeAutospacing="0" w:afterAutospacing="0"/>
                    <w:ind w:firstLine="0" w:firstLineChars="0"/>
                    <w:jc w:val="center"/>
                    <w:textAlignment w:val="baseline"/>
                    <w:rPr>
                      <w:rFonts w:hint="eastAsia" w:ascii="Times New Roman" w:hAnsi="Times New Roman" w:eastAsia="宋体" w:cs="宋体"/>
                      <w:color w:val="auto"/>
                      <w:kern w:val="0"/>
                      <w:sz w:val="21"/>
                      <w:szCs w:val="21"/>
                      <w:lang w:val="en-US" w:eastAsia="zh-CN" w:bidi="ar"/>
                    </w:rPr>
                  </w:pPr>
                  <w:r>
                    <w:rPr>
                      <w:rFonts w:hint="eastAsia" w:cs="宋体"/>
                      <w:color w:val="auto"/>
                      <w:kern w:val="0"/>
                      <w:szCs w:val="21"/>
                      <w:lang w:eastAsia="zh-CN" w:bidi="ar"/>
                    </w:rPr>
                    <w:t>动植物油</w:t>
                  </w:r>
                </w:p>
              </w:tc>
              <w:tc>
                <w:tcPr>
                  <w:tcW w:w="280" w:type="pct"/>
                  <w:tcBorders>
                    <w:tl2br w:val="nil"/>
                    <w:tr2bl w:val="nil"/>
                  </w:tcBorders>
                  <w:shd w:val="clear" w:color="auto" w:fill="auto"/>
                  <w:vAlign w:val="center"/>
                </w:tcPr>
                <w:p w14:paraId="08AFFD18">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int="default"/>
                      <w:color w:val="auto"/>
                      <w:szCs w:val="21"/>
                      <w:lang w:val="en-US" w:eastAsia="zh-CN" w:bidi="ar"/>
                    </w:rPr>
                  </w:pPr>
                  <w:r>
                    <w:rPr>
                      <w:rFonts w:hint="eastAsia"/>
                      <w:color w:val="auto"/>
                      <w:szCs w:val="21"/>
                      <w:lang w:val="en-US" w:eastAsia="zh-CN" w:bidi="ar"/>
                    </w:rPr>
                    <w:t>/</w:t>
                  </w:r>
                </w:p>
              </w:tc>
              <w:tc>
                <w:tcPr>
                  <w:tcW w:w="241" w:type="pct"/>
                  <w:tcBorders>
                    <w:tl2br w:val="nil"/>
                    <w:tr2bl w:val="nil"/>
                  </w:tcBorders>
                  <w:shd w:val="clear" w:color="auto" w:fill="auto"/>
                  <w:vAlign w:val="center"/>
                </w:tcPr>
                <w:p w14:paraId="41568351">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int="default"/>
                      <w:color w:val="auto"/>
                      <w:szCs w:val="21"/>
                      <w:lang w:val="en-US" w:eastAsia="zh-CN" w:bidi="ar"/>
                    </w:rPr>
                  </w:pPr>
                  <w:r>
                    <w:rPr>
                      <w:rFonts w:hint="eastAsia"/>
                      <w:color w:val="auto"/>
                      <w:szCs w:val="21"/>
                      <w:lang w:val="en-US" w:eastAsia="zh-CN" w:bidi="ar"/>
                    </w:rPr>
                    <w:t>/</w:t>
                  </w:r>
                </w:p>
              </w:tc>
              <w:tc>
                <w:tcPr>
                  <w:tcW w:w="331" w:type="pct"/>
                  <w:tcBorders>
                    <w:tl2br w:val="nil"/>
                    <w:tr2bl w:val="nil"/>
                  </w:tcBorders>
                  <w:shd w:val="clear" w:color="auto" w:fill="auto"/>
                  <w:vAlign w:val="center"/>
                </w:tcPr>
                <w:p w14:paraId="11FBD17E">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SW61</w:t>
                  </w:r>
                </w:p>
              </w:tc>
              <w:tc>
                <w:tcPr>
                  <w:tcW w:w="672" w:type="pct"/>
                  <w:tcBorders>
                    <w:tl2br w:val="nil"/>
                    <w:tr2bl w:val="nil"/>
                  </w:tcBorders>
                  <w:shd w:val="clear" w:color="auto" w:fill="auto"/>
                  <w:vAlign w:val="center"/>
                </w:tcPr>
                <w:p w14:paraId="3BB8EE52">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900-002-S61</w:t>
                  </w:r>
                </w:p>
              </w:tc>
              <w:tc>
                <w:tcPr>
                  <w:tcW w:w="317" w:type="pct"/>
                  <w:tcBorders>
                    <w:tl2br w:val="nil"/>
                    <w:tr2bl w:val="nil"/>
                  </w:tcBorders>
                  <w:shd w:val="clear" w:color="auto" w:fill="auto"/>
                  <w:vAlign w:val="center"/>
                </w:tcPr>
                <w:p w14:paraId="6FB85089">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0.144</w:t>
                  </w:r>
                </w:p>
              </w:tc>
              <w:tc>
                <w:tcPr>
                  <w:tcW w:w="364" w:type="pct"/>
                  <w:vMerge w:val="continue"/>
                  <w:tcBorders>
                    <w:tl2br w:val="nil"/>
                    <w:tr2bl w:val="nil"/>
                  </w:tcBorders>
                  <w:shd w:val="clear" w:color="auto" w:fill="auto"/>
                  <w:vAlign w:val="center"/>
                </w:tcPr>
                <w:p w14:paraId="7034188D">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color w:val="auto"/>
                      <w:szCs w:val="21"/>
                    </w:rPr>
                  </w:pPr>
                </w:p>
              </w:tc>
              <w:tc>
                <w:tcPr>
                  <w:tcW w:w="128" w:type="pct"/>
                  <w:tcBorders>
                    <w:tl2br w:val="nil"/>
                    <w:tr2bl w:val="nil"/>
                  </w:tcBorders>
                  <w:shd w:val="clear" w:color="auto" w:fill="auto"/>
                  <w:vAlign w:val="center"/>
                </w:tcPr>
                <w:p w14:paraId="4A6069FA">
                  <w:pPr>
                    <w:keepNext w:val="0"/>
                    <w:keepLines w:val="0"/>
                    <w:pageBreakBefore w:val="0"/>
                    <w:kinsoku/>
                    <w:wordWrap/>
                    <w:overflowPunct/>
                    <w:topLinePunct w:val="0"/>
                    <w:autoSpaceDE/>
                    <w:autoSpaceDN/>
                    <w:bidi w:val="0"/>
                    <w:adjustRightInd w:val="0"/>
                    <w:snapToGrid w:val="0"/>
                    <w:spacing w:beforeAutospacing="0" w:afterAutospacing="0"/>
                    <w:ind w:firstLine="0"/>
                    <w:jc w:val="center"/>
                    <w:rPr>
                      <w:rFonts w:hint="default"/>
                      <w:color w:val="auto"/>
                      <w:szCs w:val="21"/>
                      <w:lang w:val="en-US" w:eastAsia="zh-CN" w:bidi="ar"/>
                    </w:rPr>
                  </w:pPr>
                  <w:r>
                    <w:rPr>
                      <w:rFonts w:hint="eastAsia"/>
                      <w:color w:val="auto"/>
                      <w:szCs w:val="21"/>
                      <w:lang w:val="en-US" w:eastAsia="zh-CN" w:bidi="ar"/>
                    </w:rPr>
                    <w:t>0</w:t>
                  </w:r>
                </w:p>
              </w:tc>
            </w:tr>
          </w:tbl>
          <w:p w14:paraId="2A64C34D">
            <w:pPr>
              <w:autoSpaceDE w:val="0"/>
              <w:autoSpaceDN w:val="0"/>
              <w:adjustRightInd w:val="0"/>
              <w:snapToGrid w:val="0"/>
              <w:spacing w:before="120" w:beforeLines="50" w:line="360" w:lineRule="auto"/>
              <w:ind w:firstLine="482" w:firstLineChars="200"/>
              <w:rPr>
                <w:b/>
                <w:color w:val="auto"/>
                <w:sz w:val="24"/>
              </w:rPr>
            </w:pPr>
            <w:r>
              <w:rPr>
                <w:b/>
                <w:color w:val="auto"/>
                <w:sz w:val="24"/>
              </w:rPr>
              <w:t>4.2</w:t>
            </w:r>
            <w:r>
              <w:rPr>
                <w:rFonts w:hint="eastAsia"/>
                <w:b/>
                <w:color w:val="auto"/>
                <w:sz w:val="24"/>
              </w:rPr>
              <w:t>环境管理要求</w:t>
            </w:r>
          </w:p>
          <w:p w14:paraId="2C1482A9">
            <w:pPr>
              <w:adjustRightInd w:val="0"/>
              <w:snapToGrid w:val="0"/>
              <w:spacing w:line="360" w:lineRule="auto"/>
              <w:ind w:firstLine="480" w:firstLineChars="200"/>
              <w:rPr>
                <w:b/>
                <w:color w:val="auto"/>
                <w:kern w:val="0"/>
                <w:sz w:val="24"/>
              </w:rPr>
            </w:pPr>
            <w:r>
              <w:rPr>
                <w:rFonts w:hint="eastAsia" w:hAnsi="宋体" w:cs="宋体"/>
                <w:color w:val="auto"/>
                <w:sz w:val="24"/>
                <w:lang w:bidi="ar"/>
              </w:rPr>
              <w:t>项目运行后的固体废弃物的环境管理，应做到以下几点：</w:t>
            </w:r>
          </w:p>
          <w:p w14:paraId="7083100D">
            <w:pPr>
              <w:adjustRightInd w:val="0"/>
              <w:snapToGrid w:val="0"/>
              <w:spacing w:line="360" w:lineRule="auto"/>
              <w:ind w:firstLine="482" w:firstLineChars="200"/>
              <w:rPr>
                <w:rFonts w:hAnsi="宋体" w:cs="宋体"/>
                <w:b/>
                <w:color w:val="auto"/>
                <w:kern w:val="0"/>
                <w:sz w:val="24"/>
                <w:lang w:bidi="ar"/>
              </w:rPr>
            </w:pPr>
            <w:r>
              <w:rPr>
                <w:rFonts w:hint="eastAsia" w:hAnsi="宋体" w:cs="宋体"/>
                <w:b/>
                <w:color w:val="auto"/>
                <w:kern w:val="0"/>
                <w:sz w:val="24"/>
                <w:lang w:bidi="ar"/>
              </w:rPr>
              <w:t>①危险废物</w:t>
            </w:r>
          </w:p>
          <w:p w14:paraId="2B0884BD">
            <w:pPr>
              <w:adjustRightInd w:val="0"/>
              <w:snapToGrid w:val="0"/>
              <w:spacing w:line="360" w:lineRule="auto"/>
              <w:ind w:firstLine="480" w:firstLineChars="200"/>
              <w:rPr>
                <w:rFonts w:hAnsi="宋体" w:cs="宋体"/>
                <w:color w:val="auto"/>
                <w:sz w:val="24"/>
                <w:lang w:bidi="ar"/>
              </w:rPr>
            </w:pPr>
            <w:r>
              <w:rPr>
                <w:rFonts w:hint="eastAsia" w:hAnsi="宋体" w:cs="宋体"/>
                <w:bCs/>
                <w:color w:val="auto"/>
                <w:kern w:val="0"/>
                <w:sz w:val="24"/>
                <w:lang w:bidi="ar"/>
              </w:rPr>
              <w:t>A.</w:t>
            </w:r>
            <w:r>
              <w:rPr>
                <w:rFonts w:hint="eastAsia" w:hAnsi="宋体" w:cs="宋体"/>
                <w:color w:val="auto"/>
                <w:sz w:val="24"/>
                <w:lang w:bidi="ar"/>
              </w:rPr>
              <w:t>收集：严格按照《危险废物收集贮存运输技术规范》（</w:t>
            </w:r>
            <w:r>
              <w:rPr>
                <w:color w:val="auto"/>
                <w:sz w:val="24"/>
                <w:lang w:bidi="ar"/>
              </w:rPr>
              <w:t>HJ025-2012</w:t>
            </w:r>
            <w:r>
              <w:rPr>
                <w:rFonts w:hint="eastAsia" w:hAnsi="宋体" w:cs="宋体"/>
                <w:color w:val="auto"/>
                <w:sz w:val="24"/>
                <w:lang w:bidi="ar"/>
              </w:rPr>
              <w:t>）收集危险废物。其收集过程可能因管理不善，导致其泄漏、飞扬，对环境空气、周边水体、地下水等造成污染，或者因包装袋标签</w:t>
            </w:r>
            <w:r>
              <w:rPr>
                <w:rFonts w:hint="eastAsia" w:hAnsi="宋体" w:cs="宋体"/>
                <w:color w:val="auto"/>
                <w:sz w:val="24"/>
                <w:lang w:eastAsia="zh-CN" w:bidi="ar"/>
              </w:rPr>
              <w:t>标识</w:t>
            </w:r>
            <w:r>
              <w:rPr>
                <w:rFonts w:hint="eastAsia" w:hAnsi="宋体" w:cs="宋体"/>
                <w:color w:val="auto"/>
                <w:sz w:val="24"/>
                <w:lang w:bidi="ar"/>
              </w:rPr>
              <w:t>不清，造成混放，带来交叉污染。</w:t>
            </w:r>
          </w:p>
          <w:p w14:paraId="568E8A69">
            <w:pPr>
              <w:adjustRightInd w:val="0"/>
              <w:snapToGrid w:val="0"/>
              <w:spacing w:line="360" w:lineRule="auto"/>
              <w:ind w:firstLine="480" w:firstLineChars="200"/>
              <w:rPr>
                <w:color w:val="auto"/>
              </w:rPr>
            </w:pPr>
            <w:r>
              <w:rPr>
                <w:color w:val="auto"/>
                <w:sz w:val="24"/>
                <w:lang w:bidi="ar"/>
              </w:rPr>
              <w:t>B.</w:t>
            </w:r>
            <w:r>
              <w:rPr>
                <w:rFonts w:hint="eastAsia" w:hAnsi="宋体"/>
                <w:color w:val="auto"/>
                <w:sz w:val="24"/>
                <w:lang w:bidi="ar"/>
              </w:rPr>
              <w:t>贮存：严格按照《危险废物贮存污染控制标准》</w:t>
            </w:r>
            <w:r>
              <w:rPr>
                <w:rFonts w:hint="eastAsia" w:hAnsi="宋体"/>
                <w:color w:val="auto"/>
                <w:sz w:val="24"/>
                <w:lang w:eastAsia="zh-CN" w:bidi="ar"/>
              </w:rPr>
              <w:t>（</w:t>
            </w:r>
            <w:r>
              <w:rPr>
                <w:color w:val="auto"/>
                <w:sz w:val="24"/>
                <w:lang w:bidi="ar"/>
              </w:rPr>
              <w:t>GB18597-2023</w:t>
            </w:r>
            <w:r>
              <w:rPr>
                <w:rFonts w:hint="eastAsia"/>
                <w:color w:val="auto"/>
                <w:sz w:val="24"/>
                <w:lang w:eastAsia="zh-CN" w:bidi="ar"/>
              </w:rPr>
              <w:t>）</w:t>
            </w:r>
            <w:r>
              <w:rPr>
                <w:rFonts w:hint="eastAsia" w:hAnsi="宋体"/>
                <w:color w:val="auto"/>
                <w:sz w:val="24"/>
                <w:lang w:bidi="ar"/>
              </w:rPr>
              <w:t>相关要求规范化设置和管理危险废物暂存仓库。</w:t>
            </w:r>
          </w:p>
          <w:p w14:paraId="789932E5">
            <w:pPr>
              <w:adjustRightInd w:val="0"/>
              <w:snapToGrid w:val="0"/>
              <w:ind w:firstLine="482"/>
              <w:jc w:val="center"/>
              <w:rPr>
                <w:b/>
                <w:color w:val="auto"/>
                <w:sz w:val="24"/>
              </w:rPr>
            </w:pPr>
            <w:r>
              <w:rPr>
                <w:rFonts w:hint="eastAsia" w:hAnsi="宋体" w:cs="宋体"/>
                <w:b/>
                <w:color w:val="auto"/>
                <w:sz w:val="24"/>
                <w:lang w:bidi="ar"/>
              </w:rPr>
              <w:t>表</w:t>
            </w:r>
            <w:r>
              <w:rPr>
                <w:b/>
                <w:color w:val="auto"/>
                <w:sz w:val="24"/>
                <w:lang w:bidi="ar"/>
              </w:rPr>
              <w:t>4-</w:t>
            </w:r>
            <w:r>
              <w:rPr>
                <w:rFonts w:hint="eastAsia"/>
                <w:b/>
                <w:color w:val="auto"/>
                <w:sz w:val="24"/>
                <w:lang w:bidi="ar"/>
              </w:rPr>
              <w:t>2</w:t>
            </w:r>
            <w:r>
              <w:rPr>
                <w:rFonts w:hint="eastAsia"/>
                <w:b/>
                <w:color w:val="auto"/>
                <w:sz w:val="24"/>
                <w:lang w:val="en-US" w:eastAsia="zh-CN" w:bidi="ar"/>
              </w:rPr>
              <w:t>2</w:t>
            </w:r>
            <w:r>
              <w:rPr>
                <w:rFonts w:hint="eastAsia" w:hAnsi="宋体" w:cs="宋体"/>
                <w:b/>
                <w:color w:val="auto"/>
                <w:sz w:val="24"/>
                <w:lang w:bidi="ar"/>
              </w:rPr>
              <w:t>厂区危险废物贮存场所（设施）基本情况表</w:t>
            </w:r>
          </w:p>
          <w:tbl>
            <w:tblPr>
              <w:tblStyle w:val="88"/>
              <w:tblW w:w="5000" w:type="pct"/>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531"/>
              <w:gridCol w:w="987"/>
              <w:gridCol w:w="1143"/>
              <w:gridCol w:w="849"/>
              <w:gridCol w:w="1282"/>
              <w:gridCol w:w="423"/>
              <w:gridCol w:w="868"/>
              <w:gridCol w:w="832"/>
              <w:gridCol w:w="705"/>
              <w:gridCol w:w="839"/>
            </w:tblGrid>
            <w:tr w14:paraId="13EE94B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3" w:type="pct"/>
                  <w:tcBorders>
                    <w:top w:val="single" w:color="auto" w:sz="12" w:space="0"/>
                    <w:left w:val="nil"/>
                    <w:bottom w:val="single" w:color="auto" w:sz="4" w:space="0"/>
                    <w:right w:val="single" w:color="auto" w:sz="4" w:space="0"/>
                  </w:tcBorders>
                  <w:shd w:val="clear" w:color="auto" w:fill="auto"/>
                  <w:vAlign w:val="center"/>
                </w:tcPr>
                <w:p w14:paraId="25D3C3B0">
                  <w:pPr>
                    <w:adjustRightInd w:val="0"/>
                    <w:snapToGrid w:val="0"/>
                    <w:jc w:val="center"/>
                    <w:rPr>
                      <w:color w:val="auto"/>
                      <w:szCs w:val="21"/>
                    </w:rPr>
                  </w:pPr>
                  <w:r>
                    <w:rPr>
                      <w:rFonts w:hint="eastAsia" w:hAnsi="宋体" w:cs="宋体"/>
                      <w:color w:val="auto"/>
                      <w:szCs w:val="21"/>
                      <w:lang w:bidi="ar"/>
                    </w:rPr>
                    <w:t>序号</w:t>
                  </w:r>
                </w:p>
              </w:tc>
              <w:tc>
                <w:tcPr>
                  <w:tcW w:w="583" w:type="pct"/>
                  <w:tcBorders>
                    <w:top w:val="single" w:color="auto" w:sz="12" w:space="0"/>
                    <w:left w:val="single" w:color="auto" w:sz="4" w:space="0"/>
                    <w:bottom w:val="single" w:color="auto" w:sz="4" w:space="0"/>
                    <w:right w:val="single" w:color="auto" w:sz="4" w:space="0"/>
                  </w:tcBorders>
                  <w:shd w:val="clear" w:color="auto" w:fill="auto"/>
                  <w:vAlign w:val="center"/>
                </w:tcPr>
                <w:p w14:paraId="47153437">
                  <w:pPr>
                    <w:adjustRightInd w:val="0"/>
                    <w:snapToGrid w:val="0"/>
                    <w:jc w:val="center"/>
                    <w:rPr>
                      <w:color w:val="auto"/>
                      <w:szCs w:val="21"/>
                    </w:rPr>
                  </w:pPr>
                  <w:r>
                    <w:rPr>
                      <w:rFonts w:hint="eastAsia" w:hAnsi="宋体" w:cs="宋体"/>
                      <w:color w:val="auto"/>
                      <w:szCs w:val="21"/>
                      <w:lang w:bidi="ar"/>
                    </w:rPr>
                    <w:t>贮存场所（设施）名称</w:t>
                  </w:r>
                </w:p>
              </w:tc>
              <w:tc>
                <w:tcPr>
                  <w:tcW w:w="675" w:type="pct"/>
                  <w:tcBorders>
                    <w:top w:val="single" w:color="auto" w:sz="12" w:space="0"/>
                    <w:left w:val="single" w:color="auto" w:sz="4" w:space="0"/>
                    <w:bottom w:val="single" w:color="auto" w:sz="4" w:space="0"/>
                    <w:right w:val="single" w:color="auto" w:sz="4" w:space="0"/>
                  </w:tcBorders>
                  <w:shd w:val="clear" w:color="auto" w:fill="auto"/>
                  <w:vAlign w:val="center"/>
                </w:tcPr>
                <w:p w14:paraId="749EF7F0">
                  <w:pPr>
                    <w:adjustRightInd w:val="0"/>
                    <w:snapToGrid w:val="0"/>
                    <w:jc w:val="center"/>
                    <w:rPr>
                      <w:color w:val="auto"/>
                      <w:szCs w:val="21"/>
                    </w:rPr>
                  </w:pPr>
                  <w:r>
                    <w:rPr>
                      <w:rFonts w:hint="eastAsia" w:hAnsi="宋体" w:cs="宋体"/>
                      <w:color w:val="auto"/>
                      <w:szCs w:val="21"/>
                      <w:lang w:bidi="ar"/>
                    </w:rPr>
                    <w:t>危险废物</w:t>
                  </w:r>
                </w:p>
                <w:p w14:paraId="3610922B">
                  <w:pPr>
                    <w:adjustRightInd w:val="0"/>
                    <w:snapToGrid w:val="0"/>
                    <w:jc w:val="center"/>
                    <w:rPr>
                      <w:color w:val="auto"/>
                      <w:szCs w:val="21"/>
                    </w:rPr>
                  </w:pPr>
                  <w:r>
                    <w:rPr>
                      <w:rFonts w:hint="eastAsia" w:hAnsi="宋体" w:cs="宋体"/>
                      <w:color w:val="auto"/>
                      <w:szCs w:val="21"/>
                      <w:lang w:bidi="ar"/>
                    </w:rPr>
                    <w:t>名称</w:t>
                  </w:r>
                </w:p>
              </w:tc>
              <w:tc>
                <w:tcPr>
                  <w:tcW w:w="501" w:type="pct"/>
                  <w:tcBorders>
                    <w:top w:val="single" w:color="auto" w:sz="12" w:space="0"/>
                    <w:left w:val="single" w:color="auto" w:sz="4" w:space="0"/>
                    <w:bottom w:val="single" w:color="auto" w:sz="4" w:space="0"/>
                    <w:right w:val="single" w:color="auto" w:sz="4" w:space="0"/>
                  </w:tcBorders>
                  <w:shd w:val="clear" w:color="auto" w:fill="auto"/>
                  <w:vAlign w:val="center"/>
                </w:tcPr>
                <w:p w14:paraId="7FEB62BD">
                  <w:pPr>
                    <w:adjustRightInd w:val="0"/>
                    <w:snapToGrid w:val="0"/>
                    <w:jc w:val="center"/>
                    <w:rPr>
                      <w:color w:val="auto"/>
                      <w:szCs w:val="21"/>
                    </w:rPr>
                  </w:pPr>
                  <w:r>
                    <w:rPr>
                      <w:rFonts w:hint="eastAsia" w:hAnsi="宋体" w:cs="宋体"/>
                      <w:color w:val="auto"/>
                      <w:szCs w:val="21"/>
                      <w:lang w:bidi="ar"/>
                    </w:rPr>
                    <w:t>危险废物类别</w:t>
                  </w:r>
                </w:p>
              </w:tc>
              <w:tc>
                <w:tcPr>
                  <w:tcW w:w="757" w:type="pct"/>
                  <w:tcBorders>
                    <w:top w:val="single" w:color="auto" w:sz="12" w:space="0"/>
                    <w:left w:val="single" w:color="auto" w:sz="4" w:space="0"/>
                    <w:bottom w:val="single" w:color="auto" w:sz="4" w:space="0"/>
                    <w:right w:val="single" w:color="auto" w:sz="4" w:space="0"/>
                  </w:tcBorders>
                  <w:shd w:val="clear" w:color="auto" w:fill="auto"/>
                  <w:vAlign w:val="center"/>
                </w:tcPr>
                <w:p w14:paraId="542F143F">
                  <w:pPr>
                    <w:adjustRightInd w:val="0"/>
                    <w:snapToGrid w:val="0"/>
                    <w:jc w:val="center"/>
                    <w:rPr>
                      <w:color w:val="auto"/>
                      <w:szCs w:val="21"/>
                    </w:rPr>
                  </w:pPr>
                  <w:r>
                    <w:rPr>
                      <w:rFonts w:hint="eastAsia" w:hAnsi="宋体" w:cs="宋体"/>
                      <w:color w:val="auto"/>
                      <w:szCs w:val="21"/>
                      <w:lang w:bidi="ar"/>
                    </w:rPr>
                    <w:t>危险废物</w:t>
                  </w:r>
                </w:p>
                <w:p w14:paraId="54ED9F4E">
                  <w:pPr>
                    <w:adjustRightInd w:val="0"/>
                    <w:snapToGrid w:val="0"/>
                    <w:jc w:val="center"/>
                    <w:rPr>
                      <w:color w:val="auto"/>
                      <w:szCs w:val="21"/>
                    </w:rPr>
                  </w:pPr>
                  <w:r>
                    <w:rPr>
                      <w:rFonts w:hint="eastAsia" w:hAnsi="宋体" w:cs="宋体"/>
                      <w:color w:val="auto"/>
                      <w:szCs w:val="21"/>
                      <w:lang w:bidi="ar"/>
                    </w:rPr>
                    <w:t>代码</w:t>
                  </w:r>
                </w:p>
              </w:tc>
              <w:tc>
                <w:tcPr>
                  <w:tcW w:w="250" w:type="pct"/>
                  <w:tcBorders>
                    <w:top w:val="single" w:color="auto" w:sz="12" w:space="0"/>
                    <w:left w:val="single" w:color="auto" w:sz="4" w:space="0"/>
                    <w:bottom w:val="single" w:color="auto" w:sz="4" w:space="0"/>
                    <w:right w:val="single" w:color="auto" w:sz="4" w:space="0"/>
                  </w:tcBorders>
                  <w:shd w:val="clear" w:color="auto" w:fill="auto"/>
                  <w:vAlign w:val="center"/>
                </w:tcPr>
                <w:p w14:paraId="2DB71035">
                  <w:pPr>
                    <w:adjustRightInd w:val="0"/>
                    <w:snapToGrid w:val="0"/>
                    <w:jc w:val="center"/>
                    <w:rPr>
                      <w:color w:val="auto"/>
                      <w:szCs w:val="21"/>
                    </w:rPr>
                  </w:pPr>
                  <w:r>
                    <w:rPr>
                      <w:rFonts w:hint="eastAsia" w:hAnsi="宋体" w:cs="宋体"/>
                      <w:color w:val="auto"/>
                      <w:szCs w:val="21"/>
                      <w:lang w:bidi="ar"/>
                    </w:rPr>
                    <w:t>位置</w:t>
                  </w:r>
                </w:p>
              </w:tc>
              <w:tc>
                <w:tcPr>
                  <w:tcW w:w="513" w:type="pct"/>
                  <w:tcBorders>
                    <w:top w:val="single" w:color="auto" w:sz="12" w:space="0"/>
                    <w:left w:val="single" w:color="auto" w:sz="4" w:space="0"/>
                    <w:bottom w:val="single" w:color="auto" w:sz="4" w:space="0"/>
                    <w:right w:val="single" w:color="auto" w:sz="4" w:space="0"/>
                  </w:tcBorders>
                  <w:shd w:val="clear" w:color="auto" w:fill="auto"/>
                  <w:vAlign w:val="center"/>
                </w:tcPr>
                <w:p w14:paraId="07CCACF2">
                  <w:pPr>
                    <w:adjustRightInd w:val="0"/>
                    <w:snapToGrid w:val="0"/>
                    <w:jc w:val="center"/>
                    <w:rPr>
                      <w:color w:val="auto"/>
                      <w:szCs w:val="21"/>
                    </w:rPr>
                  </w:pPr>
                  <w:r>
                    <w:rPr>
                      <w:rFonts w:hint="eastAsia" w:hAnsi="宋体" w:cs="宋体"/>
                      <w:color w:val="auto"/>
                      <w:szCs w:val="21"/>
                      <w:lang w:bidi="ar"/>
                    </w:rPr>
                    <w:t>占地</w:t>
                  </w:r>
                </w:p>
                <w:p w14:paraId="13C4B3E4">
                  <w:pPr>
                    <w:adjustRightInd w:val="0"/>
                    <w:snapToGrid w:val="0"/>
                    <w:jc w:val="center"/>
                    <w:rPr>
                      <w:color w:val="auto"/>
                      <w:szCs w:val="21"/>
                    </w:rPr>
                  </w:pPr>
                  <w:r>
                    <w:rPr>
                      <w:rFonts w:hint="eastAsia" w:hAnsi="宋体" w:cs="宋体"/>
                      <w:color w:val="auto"/>
                      <w:szCs w:val="21"/>
                      <w:lang w:bidi="ar"/>
                    </w:rPr>
                    <w:t>面积（</w:t>
                  </w:r>
                  <w:r>
                    <w:rPr>
                      <w:color w:val="auto"/>
                      <w:szCs w:val="21"/>
                      <w:lang w:bidi="ar"/>
                    </w:rPr>
                    <w:t>m</w:t>
                  </w:r>
                  <w:r>
                    <w:rPr>
                      <w:color w:val="auto"/>
                      <w:szCs w:val="21"/>
                      <w:vertAlign w:val="superscript"/>
                      <w:lang w:bidi="ar"/>
                    </w:rPr>
                    <w:t>2</w:t>
                  </w:r>
                  <w:r>
                    <w:rPr>
                      <w:rFonts w:hint="eastAsia" w:hAnsi="宋体" w:cs="宋体"/>
                      <w:color w:val="auto"/>
                      <w:szCs w:val="21"/>
                      <w:lang w:bidi="ar"/>
                    </w:rPr>
                    <w:t>）</w:t>
                  </w:r>
                </w:p>
              </w:tc>
              <w:tc>
                <w:tcPr>
                  <w:tcW w:w="492" w:type="pct"/>
                  <w:tcBorders>
                    <w:top w:val="single" w:color="auto" w:sz="12" w:space="0"/>
                    <w:left w:val="single" w:color="auto" w:sz="4" w:space="0"/>
                    <w:bottom w:val="single" w:color="auto" w:sz="4" w:space="0"/>
                    <w:right w:val="single" w:color="auto" w:sz="4" w:space="0"/>
                  </w:tcBorders>
                  <w:shd w:val="clear" w:color="auto" w:fill="auto"/>
                  <w:vAlign w:val="center"/>
                </w:tcPr>
                <w:p w14:paraId="07F6D6D1">
                  <w:pPr>
                    <w:adjustRightInd w:val="0"/>
                    <w:snapToGrid w:val="0"/>
                    <w:jc w:val="center"/>
                    <w:rPr>
                      <w:color w:val="auto"/>
                      <w:szCs w:val="21"/>
                    </w:rPr>
                  </w:pPr>
                  <w:r>
                    <w:rPr>
                      <w:rFonts w:hint="eastAsia" w:hAnsi="宋体" w:cs="宋体"/>
                      <w:color w:val="auto"/>
                      <w:szCs w:val="21"/>
                      <w:lang w:bidi="ar"/>
                    </w:rPr>
                    <w:t>贮存</w:t>
                  </w:r>
                </w:p>
                <w:p w14:paraId="2F37B1B4">
                  <w:pPr>
                    <w:adjustRightInd w:val="0"/>
                    <w:snapToGrid w:val="0"/>
                    <w:jc w:val="center"/>
                    <w:rPr>
                      <w:color w:val="auto"/>
                      <w:szCs w:val="21"/>
                    </w:rPr>
                  </w:pPr>
                  <w:r>
                    <w:rPr>
                      <w:rFonts w:hint="eastAsia" w:hAnsi="宋体" w:cs="宋体"/>
                      <w:color w:val="auto"/>
                      <w:szCs w:val="21"/>
                      <w:lang w:bidi="ar"/>
                    </w:rPr>
                    <w:t>方式</w:t>
                  </w:r>
                </w:p>
              </w:tc>
              <w:tc>
                <w:tcPr>
                  <w:tcW w:w="417" w:type="pct"/>
                  <w:tcBorders>
                    <w:top w:val="single" w:color="auto" w:sz="12" w:space="0"/>
                    <w:left w:val="single" w:color="auto" w:sz="4" w:space="0"/>
                    <w:bottom w:val="single" w:color="auto" w:sz="4" w:space="0"/>
                    <w:right w:val="single" w:color="auto" w:sz="4" w:space="0"/>
                  </w:tcBorders>
                  <w:shd w:val="clear" w:color="auto" w:fill="auto"/>
                  <w:vAlign w:val="center"/>
                </w:tcPr>
                <w:p w14:paraId="0B670BBE">
                  <w:pPr>
                    <w:adjustRightInd w:val="0"/>
                    <w:snapToGrid w:val="0"/>
                    <w:jc w:val="center"/>
                    <w:rPr>
                      <w:color w:val="auto"/>
                      <w:szCs w:val="21"/>
                    </w:rPr>
                  </w:pPr>
                  <w:r>
                    <w:rPr>
                      <w:rFonts w:hint="eastAsia" w:hAnsi="宋体" w:cs="宋体"/>
                      <w:color w:val="auto"/>
                      <w:szCs w:val="21"/>
                      <w:lang w:bidi="ar"/>
                    </w:rPr>
                    <w:t>贮存</w:t>
                  </w:r>
                </w:p>
                <w:p w14:paraId="70559120">
                  <w:pPr>
                    <w:adjustRightInd w:val="0"/>
                    <w:snapToGrid w:val="0"/>
                    <w:jc w:val="center"/>
                    <w:rPr>
                      <w:color w:val="auto"/>
                      <w:szCs w:val="21"/>
                    </w:rPr>
                  </w:pPr>
                  <w:r>
                    <w:rPr>
                      <w:rFonts w:hint="eastAsia" w:hAnsi="宋体" w:cs="宋体"/>
                      <w:color w:val="auto"/>
                      <w:szCs w:val="21"/>
                      <w:lang w:bidi="ar"/>
                    </w:rPr>
                    <w:t>能力</w:t>
                  </w:r>
                </w:p>
              </w:tc>
              <w:tc>
                <w:tcPr>
                  <w:tcW w:w="496" w:type="pct"/>
                  <w:tcBorders>
                    <w:top w:val="single" w:color="auto" w:sz="12" w:space="0"/>
                    <w:left w:val="single" w:color="auto" w:sz="4" w:space="0"/>
                    <w:bottom w:val="single" w:color="auto" w:sz="4" w:space="0"/>
                    <w:right w:val="nil"/>
                  </w:tcBorders>
                  <w:shd w:val="clear" w:color="auto" w:fill="auto"/>
                  <w:vAlign w:val="center"/>
                </w:tcPr>
                <w:p w14:paraId="7BCB660A">
                  <w:pPr>
                    <w:adjustRightInd w:val="0"/>
                    <w:snapToGrid w:val="0"/>
                    <w:jc w:val="center"/>
                    <w:rPr>
                      <w:color w:val="auto"/>
                      <w:szCs w:val="21"/>
                    </w:rPr>
                  </w:pPr>
                  <w:r>
                    <w:rPr>
                      <w:rFonts w:hint="eastAsia" w:hAnsi="宋体" w:cs="宋体"/>
                      <w:color w:val="auto"/>
                      <w:szCs w:val="21"/>
                      <w:lang w:bidi="ar"/>
                    </w:rPr>
                    <w:t>贮存</w:t>
                  </w:r>
                </w:p>
                <w:p w14:paraId="216D7DDC">
                  <w:pPr>
                    <w:adjustRightInd w:val="0"/>
                    <w:snapToGrid w:val="0"/>
                    <w:jc w:val="center"/>
                    <w:rPr>
                      <w:color w:val="auto"/>
                      <w:szCs w:val="21"/>
                    </w:rPr>
                  </w:pPr>
                  <w:r>
                    <w:rPr>
                      <w:rFonts w:hint="eastAsia" w:hAnsi="宋体" w:cs="宋体"/>
                      <w:color w:val="auto"/>
                      <w:szCs w:val="21"/>
                      <w:lang w:bidi="ar"/>
                    </w:rPr>
                    <w:t>周期</w:t>
                  </w:r>
                </w:p>
              </w:tc>
            </w:tr>
            <w:tr w14:paraId="25CA6E7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3" w:type="pct"/>
                  <w:tcBorders>
                    <w:top w:val="single" w:color="auto" w:sz="4" w:space="0"/>
                    <w:left w:val="nil"/>
                    <w:bottom w:val="single" w:color="auto" w:sz="4" w:space="0"/>
                    <w:right w:val="single" w:color="auto" w:sz="4" w:space="0"/>
                  </w:tcBorders>
                  <w:shd w:val="clear" w:color="auto" w:fill="auto"/>
                  <w:vAlign w:val="center"/>
                </w:tcPr>
                <w:p w14:paraId="5041270D">
                  <w:pPr>
                    <w:adjustRightInd w:val="0"/>
                    <w:snapToGrid w:val="0"/>
                    <w:jc w:val="center"/>
                    <w:rPr>
                      <w:color w:val="auto"/>
                      <w:szCs w:val="21"/>
                    </w:rPr>
                  </w:pPr>
                  <w:r>
                    <w:rPr>
                      <w:color w:val="auto"/>
                      <w:szCs w:val="21"/>
                      <w:lang w:bidi="ar"/>
                    </w:rPr>
                    <w:t>1</w:t>
                  </w:r>
                </w:p>
              </w:tc>
              <w:tc>
                <w:tcPr>
                  <w:tcW w:w="583" w:type="pct"/>
                  <w:vMerge w:val="restart"/>
                  <w:tcBorders>
                    <w:top w:val="single" w:color="auto" w:sz="4" w:space="0"/>
                    <w:left w:val="single" w:color="auto" w:sz="4" w:space="0"/>
                    <w:right w:val="single" w:color="auto" w:sz="4" w:space="0"/>
                  </w:tcBorders>
                  <w:shd w:val="clear" w:color="auto" w:fill="auto"/>
                  <w:vAlign w:val="center"/>
                </w:tcPr>
                <w:p w14:paraId="59973558">
                  <w:pPr>
                    <w:adjustRightInd w:val="0"/>
                    <w:snapToGrid w:val="0"/>
                    <w:jc w:val="center"/>
                    <w:rPr>
                      <w:color w:val="auto"/>
                      <w:szCs w:val="21"/>
                    </w:rPr>
                  </w:pPr>
                  <w:r>
                    <w:rPr>
                      <w:rFonts w:hint="eastAsia" w:hAnsi="宋体" w:cs="宋体"/>
                      <w:color w:val="auto"/>
                      <w:szCs w:val="21"/>
                      <w:lang w:bidi="ar"/>
                    </w:rPr>
                    <w:t>危废仓库</w:t>
                  </w:r>
                </w:p>
              </w:tc>
              <w:tc>
                <w:tcPr>
                  <w:tcW w:w="675" w:type="pct"/>
                  <w:tcBorders>
                    <w:top w:val="single" w:color="auto" w:sz="4" w:space="0"/>
                    <w:left w:val="single" w:color="auto" w:sz="4" w:space="0"/>
                    <w:bottom w:val="single" w:color="auto" w:sz="4" w:space="0"/>
                    <w:right w:val="single" w:color="auto" w:sz="4" w:space="0"/>
                  </w:tcBorders>
                  <w:shd w:val="clear" w:color="auto" w:fill="auto"/>
                  <w:vAlign w:val="center"/>
                </w:tcPr>
                <w:p w14:paraId="2B83BF66">
                  <w:pPr>
                    <w:adjustRightInd w:val="0"/>
                    <w:snapToGrid w:val="0"/>
                    <w:jc w:val="center"/>
                    <w:rPr>
                      <w:bCs/>
                      <w:color w:val="auto"/>
                      <w:szCs w:val="21"/>
                    </w:rPr>
                  </w:pPr>
                  <w:r>
                    <w:rPr>
                      <w:rFonts w:hint="eastAsia"/>
                      <w:bCs/>
                      <w:color w:val="auto"/>
                      <w:szCs w:val="21"/>
                    </w:rPr>
                    <w:t>废包装桶</w:t>
                  </w:r>
                </w:p>
              </w:tc>
              <w:tc>
                <w:tcPr>
                  <w:tcW w:w="501" w:type="pct"/>
                  <w:tcBorders>
                    <w:top w:val="single" w:color="auto" w:sz="4" w:space="0"/>
                    <w:left w:val="single" w:color="auto" w:sz="4" w:space="0"/>
                    <w:bottom w:val="single" w:color="auto" w:sz="4" w:space="0"/>
                    <w:right w:val="single" w:color="auto" w:sz="4" w:space="0"/>
                  </w:tcBorders>
                  <w:shd w:val="clear" w:color="auto" w:fill="auto"/>
                  <w:vAlign w:val="center"/>
                </w:tcPr>
                <w:p w14:paraId="1D37879C">
                  <w:pPr>
                    <w:widowControl/>
                    <w:adjustRightInd w:val="0"/>
                    <w:snapToGrid w:val="0"/>
                    <w:ind w:left="-105" w:leftChars="-50" w:right="-105" w:rightChars="-50"/>
                    <w:jc w:val="center"/>
                    <w:rPr>
                      <w:bCs/>
                      <w:color w:val="auto"/>
                      <w:szCs w:val="21"/>
                    </w:rPr>
                  </w:pPr>
                  <w:r>
                    <w:rPr>
                      <w:rFonts w:hint="eastAsia"/>
                      <w:color w:val="auto"/>
                      <w:kern w:val="0"/>
                      <w:szCs w:val="21"/>
                    </w:rPr>
                    <w:t>HW49</w:t>
                  </w:r>
                </w:p>
              </w:tc>
              <w:tc>
                <w:tcPr>
                  <w:tcW w:w="757" w:type="pct"/>
                  <w:tcBorders>
                    <w:top w:val="single" w:color="auto" w:sz="4" w:space="0"/>
                    <w:left w:val="single" w:color="auto" w:sz="4" w:space="0"/>
                    <w:bottom w:val="single" w:color="auto" w:sz="4" w:space="0"/>
                    <w:right w:val="single" w:color="auto" w:sz="4" w:space="0"/>
                  </w:tcBorders>
                  <w:shd w:val="clear" w:color="auto" w:fill="auto"/>
                  <w:vAlign w:val="center"/>
                </w:tcPr>
                <w:p w14:paraId="6B79A457">
                  <w:pPr>
                    <w:widowControl/>
                    <w:adjustRightInd w:val="0"/>
                    <w:snapToGrid w:val="0"/>
                    <w:ind w:left="-105" w:leftChars="-50" w:right="-105" w:rightChars="-50"/>
                    <w:jc w:val="center"/>
                    <w:rPr>
                      <w:color w:val="auto"/>
                      <w:szCs w:val="21"/>
                    </w:rPr>
                  </w:pPr>
                  <w:r>
                    <w:rPr>
                      <w:rFonts w:hint="eastAsia"/>
                      <w:color w:val="auto"/>
                      <w:kern w:val="0"/>
                      <w:szCs w:val="21"/>
                    </w:rPr>
                    <w:t>900-041-49</w:t>
                  </w:r>
                </w:p>
              </w:tc>
              <w:tc>
                <w:tcPr>
                  <w:tcW w:w="250" w:type="pct"/>
                  <w:vMerge w:val="restart"/>
                  <w:tcBorders>
                    <w:top w:val="single" w:color="auto" w:sz="4" w:space="0"/>
                    <w:left w:val="single" w:color="auto" w:sz="4" w:space="0"/>
                    <w:right w:val="single" w:color="auto" w:sz="4" w:space="0"/>
                  </w:tcBorders>
                  <w:shd w:val="clear" w:color="auto" w:fill="auto"/>
                  <w:vAlign w:val="center"/>
                </w:tcPr>
                <w:p w14:paraId="76BD0745">
                  <w:pPr>
                    <w:adjustRightInd w:val="0"/>
                    <w:snapToGrid w:val="0"/>
                    <w:jc w:val="center"/>
                    <w:rPr>
                      <w:color w:val="auto"/>
                      <w:szCs w:val="21"/>
                    </w:rPr>
                  </w:pPr>
                  <w:r>
                    <w:rPr>
                      <w:rFonts w:hint="eastAsia" w:hAnsi="宋体" w:cs="宋体"/>
                      <w:color w:val="auto"/>
                      <w:szCs w:val="21"/>
                      <w:lang w:bidi="ar"/>
                    </w:rPr>
                    <w:t>厂区西侧</w:t>
                  </w:r>
                </w:p>
              </w:tc>
              <w:tc>
                <w:tcPr>
                  <w:tcW w:w="513" w:type="pct"/>
                  <w:vMerge w:val="restart"/>
                  <w:tcBorders>
                    <w:top w:val="single" w:color="auto" w:sz="4" w:space="0"/>
                    <w:left w:val="single" w:color="auto" w:sz="4" w:space="0"/>
                    <w:right w:val="single" w:color="auto" w:sz="4" w:space="0"/>
                  </w:tcBorders>
                  <w:shd w:val="clear" w:color="auto" w:fill="auto"/>
                  <w:vAlign w:val="center"/>
                </w:tcPr>
                <w:p w14:paraId="3D9FFE01">
                  <w:pPr>
                    <w:adjustRightInd w:val="0"/>
                    <w:snapToGrid w:val="0"/>
                    <w:jc w:val="center"/>
                    <w:rPr>
                      <w:color w:val="auto"/>
                      <w:szCs w:val="21"/>
                    </w:rPr>
                  </w:pPr>
                  <w:r>
                    <w:rPr>
                      <w:color w:val="auto"/>
                      <w:szCs w:val="21"/>
                      <w:lang w:bidi="ar"/>
                    </w:rPr>
                    <w:t>10</w:t>
                  </w:r>
                </w:p>
              </w:tc>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6D6F1374">
                  <w:pPr>
                    <w:adjustRightInd w:val="0"/>
                    <w:snapToGrid w:val="0"/>
                    <w:jc w:val="center"/>
                    <w:rPr>
                      <w:color w:val="auto"/>
                      <w:szCs w:val="21"/>
                    </w:rPr>
                  </w:pPr>
                  <w:r>
                    <w:rPr>
                      <w:rFonts w:hint="eastAsia" w:hAnsi="宋体" w:cs="宋体"/>
                      <w:color w:val="auto"/>
                      <w:szCs w:val="21"/>
                      <w:lang w:bidi="ar"/>
                    </w:rPr>
                    <w:t>桶装</w:t>
                  </w:r>
                </w:p>
              </w:tc>
              <w:tc>
                <w:tcPr>
                  <w:tcW w:w="417" w:type="pct"/>
                  <w:vMerge w:val="restart"/>
                  <w:tcBorders>
                    <w:top w:val="single" w:color="auto" w:sz="4" w:space="0"/>
                    <w:left w:val="single" w:color="auto" w:sz="4" w:space="0"/>
                    <w:right w:val="single" w:color="auto" w:sz="4" w:space="0"/>
                  </w:tcBorders>
                  <w:shd w:val="clear" w:color="auto" w:fill="auto"/>
                  <w:vAlign w:val="center"/>
                </w:tcPr>
                <w:p w14:paraId="09E79F2D">
                  <w:pPr>
                    <w:adjustRightInd w:val="0"/>
                    <w:snapToGrid w:val="0"/>
                    <w:jc w:val="center"/>
                    <w:rPr>
                      <w:bCs/>
                      <w:color w:val="auto"/>
                      <w:szCs w:val="21"/>
                    </w:rPr>
                  </w:pPr>
                  <w:r>
                    <w:rPr>
                      <w:bCs/>
                      <w:color w:val="auto"/>
                      <w:szCs w:val="21"/>
                      <w:lang w:bidi="ar"/>
                    </w:rPr>
                    <w:t>10t</w:t>
                  </w:r>
                </w:p>
              </w:tc>
              <w:tc>
                <w:tcPr>
                  <w:tcW w:w="496" w:type="pct"/>
                  <w:vMerge w:val="restart"/>
                  <w:tcBorders>
                    <w:top w:val="single" w:color="auto" w:sz="4" w:space="0"/>
                    <w:left w:val="single" w:color="auto" w:sz="4" w:space="0"/>
                    <w:right w:val="nil"/>
                  </w:tcBorders>
                  <w:shd w:val="clear" w:color="auto" w:fill="auto"/>
                  <w:vAlign w:val="center"/>
                </w:tcPr>
                <w:p w14:paraId="3342150A">
                  <w:pPr>
                    <w:adjustRightInd w:val="0"/>
                    <w:snapToGrid w:val="0"/>
                    <w:jc w:val="center"/>
                    <w:rPr>
                      <w:bCs/>
                      <w:color w:val="auto"/>
                      <w:szCs w:val="21"/>
                    </w:rPr>
                  </w:pPr>
                  <w:r>
                    <w:rPr>
                      <w:bCs/>
                      <w:color w:val="auto"/>
                      <w:szCs w:val="21"/>
                      <w:lang w:bidi="ar"/>
                    </w:rPr>
                    <w:t>12</w:t>
                  </w:r>
                  <w:r>
                    <w:rPr>
                      <w:rFonts w:hint="eastAsia" w:hAnsi="宋体" w:cs="宋体"/>
                      <w:bCs/>
                      <w:color w:val="auto"/>
                      <w:szCs w:val="21"/>
                      <w:lang w:bidi="ar"/>
                    </w:rPr>
                    <w:t>个月</w:t>
                  </w:r>
                </w:p>
              </w:tc>
            </w:tr>
            <w:tr w14:paraId="2970C14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3" w:type="pct"/>
                  <w:tcBorders>
                    <w:top w:val="single" w:color="auto" w:sz="4" w:space="0"/>
                    <w:left w:val="nil"/>
                    <w:bottom w:val="single" w:color="auto" w:sz="4" w:space="0"/>
                    <w:right w:val="single" w:color="auto" w:sz="4" w:space="0"/>
                  </w:tcBorders>
                  <w:shd w:val="clear" w:color="auto" w:fill="auto"/>
                  <w:vAlign w:val="center"/>
                </w:tcPr>
                <w:p w14:paraId="4B1CC92C">
                  <w:pPr>
                    <w:adjustRightInd w:val="0"/>
                    <w:snapToGrid w:val="0"/>
                    <w:jc w:val="center"/>
                    <w:rPr>
                      <w:color w:val="auto"/>
                      <w:szCs w:val="21"/>
                    </w:rPr>
                  </w:pPr>
                  <w:r>
                    <w:rPr>
                      <w:color w:val="auto"/>
                      <w:szCs w:val="21"/>
                      <w:lang w:bidi="ar"/>
                    </w:rPr>
                    <w:t>2</w:t>
                  </w:r>
                </w:p>
              </w:tc>
              <w:tc>
                <w:tcPr>
                  <w:tcW w:w="583" w:type="pct"/>
                  <w:vMerge w:val="continue"/>
                  <w:tcBorders>
                    <w:left w:val="single" w:color="auto" w:sz="4" w:space="0"/>
                    <w:right w:val="single" w:color="auto" w:sz="4" w:space="0"/>
                  </w:tcBorders>
                  <w:shd w:val="clear" w:color="auto" w:fill="auto"/>
                  <w:vAlign w:val="center"/>
                </w:tcPr>
                <w:p w14:paraId="42369DE2">
                  <w:pPr>
                    <w:ind w:firstLine="400"/>
                    <w:rPr>
                      <w:color w:val="auto"/>
                      <w:sz w:val="20"/>
                      <w:szCs w:val="20"/>
                    </w:rPr>
                  </w:pPr>
                </w:p>
              </w:tc>
              <w:tc>
                <w:tcPr>
                  <w:tcW w:w="675" w:type="pct"/>
                  <w:tcBorders>
                    <w:top w:val="single" w:color="auto" w:sz="4" w:space="0"/>
                    <w:left w:val="single" w:color="auto" w:sz="4" w:space="0"/>
                    <w:bottom w:val="single" w:color="auto" w:sz="4" w:space="0"/>
                    <w:right w:val="single" w:color="auto" w:sz="4" w:space="0"/>
                  </w:tcBorders>
                  <w:shd w:val="clear" w:color="auto" w:fill="auto"/>
                  <w:vAlign w:val="center"/>
                </w:tcPr>
                <w:p w14:paraId="153B270E">
                  <w:pPr>
                    <w:adjustRightInd w:val="0"/>
                    <w:snapToGrid w:val="0"/>
                    <w:jc w:val="center"/>
                    <w:rPr>
                      <w:bCs/>
                      <w:color w:val="auto"/>
                      <w:szCs w:val="21"/>
                    </w:rPr>
                  </w:pPr>
                  <w:r>
                    <w:rPr>
                      <w:color w:val="auto"/>
                      <w:szCs w:val="21"/>
                    </w:rPr>
                    <w:t>废</w:t>
                  </w:r>
                  <w:r>
                    <w:rPr>
                      <w:rFonts w:hint="eastAsia"/>
                      <w:color w:val="auto"/>
                      <w:szCs w:val="21"/>
                    </w:rPr>
                    <w:t>活性炭</w:t>
                  </w:r>
                </w:p>
              </w:tc>
              <w:tc>
                <w:tcPr>
                  <w:tcW w:w="501" w:type="pct"/>
                  <w:tcBorders>
                    <w:top w:val="single" w:color="auto" w:sz="4" w:space="0"/>
                    <w:left w:val="single" w:color="auto" w:sz="4" w:space="0"/>
                    <w:bottom w:val="single" w:color="auto" w:sz="4" w:space="0"/>
                    <w:right w:val="single" w:color="auto" w:sz="4" w:space="0"/>
                  </w:tcBorders>
                  <w:shd w:val="clear" w:color="auto" w:fill="auto"/>
                  <w:vAlign w:val="center"/>
                </w:tcPr>
                <w:p w14:paraId="502921F2">
                  <w:pPr>
                    <w:widowControl/>
                    <w:adjustRightInd w:val="0"/>
                    <w:snapToGrid w:val="0"/>
                    <w:ind w:left="-105" w:leftChars="-50" w:right="-105" w:rightChars="-50"/>
                    <w:jc w:val="center"/>
                    <w:rPr>
                      <w:bCs/>
                      <w:color w:val="auto"/>
                      <w:szCs w:val="21"/>
                    </w:rPr>
                  </w:pPr>
                  <w:r>
                    <w:rPr>
                      <w:rFonts w:hint="eastAsia"/>
                      <w:color w:val="auto"/>
                      <w:kern w:val="0"/>
                      <w:szCs w:val="21"/>
                    </w:rPr>
                    <w:t>HW49</w:t>
                  </w:r>
                </w:p>
              </w:tc>
              <w:tc>
                <w:tcPr>
                  <w:tcW w:w="757" w:type="pct"/>
                  <w:tcBorders>
                    <w:top w:val="single" w:color="auto" w:sz="4" w:space="0"/>
                    <w:left w:val="single" w:color="auto" w:sz="4" w:space="0"/>
                    <w:bottom w:val="single" w:color="auto" w:sz="4" w:space="0"/>
                    <w:right w:val="single" w:color="auto" w:sz="4" w:space="0"/>
                  </w:tcBorders>
                  <w:shd w:val="clear" w:color="auto" w:fill="auto"/>
                  <w:vAlign w:val="center"/>
                </w:tcPr>
                <w:p w14:paraId="6BDD0004">
                  <w:pPr>
                    <w:widowControl/>
                    <w:adjustRightInd w:val="0"/>
                    <w:snapToGrid w:val="0"/>
                    <w:ind w:left="-105" w:leftChars="-50" w:right="-105" w:rightChars="-50"/>
                    <w:jc w:val="center"/>
                    <w:rPr>
                      <w:color w:val="auto"/>
                      <w:szCs w:val="21"/>
                    </w:rPr>
                  </w:pPr>
                  <w:r>
                    <w:rPr>
                      <w:rFonts w:hint="eastAsia"/>
                      <w:color w:val="auto"/>
                      <w:kern w:val="0"/>
                      <w:szCs w:val="21"/>
                    </w:rPr>
                    <w:t>900-039-49</w:t>
                  </w:r>
                </w:p>
              </w:tc>
              <w:tc>
                <w:tcPr>
                  <w:tcW w:w="250" w:type="pct"/>
                  <w:vMerge w:val="continue"/>
                  <w:tcBorders>
                    <w:left w:val="single" w:color="auto" w:sz="4" w:space="0"/>
                    <w:right w:val="single" w:color="auto" w:sz="4" w:space="0"/>
                  </w:tcBorders>
                  <w:shd w:val="clear" w:color="auto" w:fill="auto"/>
                  <w:vAlign w:val="center"/>
                </w:tcPr>
                <w:p w14:paraId="1A200D84">
                  <w:pPr>
                    <w:ind w:firstLine="400"/>
                    <w:rPr>
                      <w:color w:val="auto"/>
                      <w:sz w:val="20"/>
                      <w:szCs w:val="20"/>
                    </w:rPr>
                  </w:pPr>
                </w:p>
              </w:tc>
              <w:tc>
                <w:tcPr>
                  <w:tcW w:w="513" w:type="pct"/>
                  <w:vMerge w:val="continue"/>
                  <w:tcBorders>
                    <w:left w:val="single" w:color="auto" w:sz="4" w:space="0"/>
                    <w:right w:val="single" w:color="auto" w:sz="4" w:space="0"/>
                  </w:tcBorders>
                  <w:shd w:val="clear" w:color="auto" w:fill="auto"/>
                  <w:vAlign w:val="center"/>
                </w:tcPr>
                <w:p w14:paraId="02C2263C">
                  <w:pPr>
                    <w:ind w:firstLine="400"/>
                    <w:rPr>
                      <w:color w:val="auto"/>
                      <w:sz w:val="20"/>
                      <w:szCs w:val="20"/>
                    </w:rPr>
                  </w:pPr>
                </w:p>
              </w:tc>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439830A6">
                  <w:pPr>
                    <w:adjustRightInd w:val="0"/>
                    <w:snapToGrid w:val="0"/>
                    <w:jc w:val="center"/>
                    <w:rPr>
                      <w:color w:val="auto"/>
                      <w:szCs w:val="21"/>
                    </w:rPr>
                  </w:pPr>
                  <w:r>
                    <w:rPr>
                      <w:rFonts w:hint="eastAsia" w:hAnsi="宋体" w:cs="宋体"/>
                      <w:color w:val="auto"/>
                      <w:szCs w:val="21"/>
                      <w:lang w:bidi="ar"/>
                    </w:rPr>
                    <w:t>袋装</w:t>
                  </w:r>
                </w:p>
              </w:tc>
              <w:tc>
                <w:tcPr>
                  <w:tcW w:w="417" w:type="pct"/>
                  <w:vMerge w:val="continue"/>
                  <w:tcBorders>
                    <w:left w:val="single" w:color="auto" w:sz="4" w:space="0"/>
                    <w:right w:val="single" w:color="auto" w:sz="4" w:space="0"/>
                  </w:tcBorders>
                  <w:shd w:val="clear" w:color="auto" w:fill="auto"/>
                  <w:vAlign w:val="center"/>
                </w:tcPr>
                <w:p w14:paraId="1F795759">
                  <w:pPr>
                    <w:ind w:firstLine="400"/>
                    <w:rPr>
                      <w:color w:val="auto"/>
                      <w:sz w:val="20"/>
                      <w:szCs w:val="20"/>
                    </w:rPr>
                  </w:pPr>
                </w:p>
              </w:tc>
              <w:tc>
                <w:tcPr>
                  <w:tcW w:w="496" w:type="pct"/>
                  <w:vMerge w:val="continue"/>
                  <w:tcBorders>
                    <w:left w:val="single" w:color="auto" w:sz="4" w:space="0"/>
                    <w:right w:val="nil"/>
                  </w:tcBorders>
                  <w:shd w:val="clear" w:color="auto" w:fill="auto"/>
                  <w:vAlign w:val="center"/>
                </w:tcPr>
                <w:p w14:paraId="142B265D">
                  <w:pPr>
                    <w:ind w:firstLine="400"/>
                    <w:rPr>
                      <w:color w:val="auto"/>
                      <w:sz w:val="20"/>
                      <w:szCs w:val="20"/>
                    </w:rPr>
                  </w:pPr>
                </w:p>
              </w:tc>
            </w:tr>
            <w:tr w14:paraId="05FCD63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3" w:type="pct"/>
                  <w:tcBorders>
                    <w:top w:val="single" w:color="auto" w:sz="4" w:space="0"/>
                    <w:left w:val="nil"/>
                    <w:bottom w:val="single" w:color="auto" w:sz="4" w:space="0"/>
                    <w:right w:val="single" w:color="auto" w:sz="4" w:space="0"/>
                  </w:tcBorders>
                  <w:shd w:val="clear" w:color="auto" w:fill="auto"/>
                  <w:vAlign w:val="center"/>
                </w:tcPr>
                <w:p w14:paraId="2453C3BD">
                  <w:pPr>
                    <w:adjustRightInd w:val="0"/>
                    <w:snapToGrid w:val="0"/>
                    <w:jc w:val="center"/>
                    <w:rPr>
                      <w:color w:val="auto"/>
                      <w:szCs w:val="21"/>
                    </w:rPr>
                  </w:pPr>
                  <w:r>
                    <w:rPr>
                      <w:color w:val="auto"/>
                      <w:szCs w:val="21"/>
                      <w:lang w:bidi="ar"/>
                    </w:rPr>
                    <w:t>3</w:t>
                  </w:r>
                </w:p>
              </w:tc>
              <w:tc>
                <w:tcPr>
                  <w:tcW w:w="583" w:type="pct"/>
                  <w:vMerge w:val="continue"/>
                  <w:tcBorders>
                    <w:left w:val="single" w:color="auto" w:sz="4" w:space="0"/>
                    <w:right w:val="single" w:color="auto" w:sz="4" w:space="0"/>
                  </w:tcBorders>
                  <w:shd w:val="clear" w:color="auto" w:fill="auto"/>
                  <w:vAlign w:val="center"/>
                </w:tcPr>
                <w:p w14:paraId="0DB8D531">
                  <w:pPr>
                    <w:ind w:firstLine="400"/>
                    <w:rPr>
                      <w:color w:val="auto"/>
                      <w:sz w:val="20"/>
                      <w:szCs w:val="20"/>
                    </w:rPr>
                  </w:pPr>
                </w:p>
              </w:tc>
              <w:tc>
                <w:tcPr>
                  <w:tcW w:w="675" w:type="pct"/>
                  <w:tcBorders>
                    <w:top w:val="single" w:color="auto" w:sz="4" w:space="0"/>
                    <w:left w:val="single" w:color="auto" w:sz="4" w:space="0"/>
                    <w:bottom w:val="single" w:color="auto" w:sz="4" w:space="0"/>
                    <w:right w:val="single" w:color="auto" w:sz="4" w:space="0"/>
                  </w:tcBorders>
                  <w:shd w:val="clear" w:color="auto" w:fill="auto"/>
                  <w:vAlign w:val="center"/>
                </w:tcPr>
                <w:p w14:paraId="5344ADE4">
                  <w:pPr>
                    <w:adjustRightInd w:val="0"/>
                    <w:snapToGrid w:val="0"/>
                    <w:jc w:val="center"/>
                    <w:rPr>
                      <w:bCs/>
                      <w:color w:val="auto"/>
                      <w:szCs w:val="21"/>
                    </w:rPr>
                  </w:pPr>
                  <w:r>
                    <w:rPr>
                      <w:rFonts w:hint="eastAsia"/>
                      <w:color w:val="auto"/>
                      <w:szCs w:val="21"/>
                    </w:rPr>
                    <w:t>废润滑油</w:t>
                  </w:r>
                </w:p>
              </w:tc>
              <w:tc>
                <w:tcPr>
                  <w:tcW w:w="501" w:type="pct"/>
                  <w:tcBorders>
                    <w:top w:val="single" w:color="auto" w:sz="4" w:space="0"/>
                    <w:left w:val="single" w:color="auto" w:sz="4" w:space="0"/>
                    <w:bottom w:val="single" w:color="auto" w:sz="4" w:space="0"/>
                    <w:right w:val="single" w:color="auto" w:sz="4" w:space="0"/>
                  </w:tcBorders>
                  <w:shd w:val="clear" w:color="auto" w:fill="auto"/>
                  <w:vAlign w:val="center"/>
                </w:tcPr>
                <w:p w14:paraId="476057F2">
                  <w:pPr>
                    <w:adjustRightInd w:val="0"/>
                    <w:snapToGrid w:val="0"/>
                    <w:ind w:left="-105" w:leftChars="-50" w:right="-105" w:rightChars="-50"/>
                    <w:jc w:val="center"/>
                    <w:rPr>
                      <w:bCs/>
                      <w:color w:val="auto"/>
                      <w:szCs w:val="21"/>
                    </w:rPr>
                  </w:pPr>
                  <w:r>
                    <w:rPr>
                      <w:rFonts w:hint="eastAsia"/>
                      <w:color w:val="auto"/>
                      <w:kern w:val="0"/>
                      <w:szCs w:val="21"/>
                    </w:rPr>
                    <w:t>HW08</w:t>
                  </w:r>
                </w:p>
              </w:tc>
              <w:tc>
                <w:tcPr>
                  <w:tcW w:w="757" w:type="pct"/>
                  <w:tcBorders>
                    <w:top w:val="single" w:color="auto" w:sz="4" w:space="0"/>
                    <w:left w:val="single" w:color="auto" w:sz="4" w:space="0"/>
                    <w:bottom w:val="single" w:color="auto" w:sz="4" w:space="0"/>
                    <w:right w:val="single" w:color="auto" w:sz="4" w:space="0"/>
                  </w:tcBorders>
                  <w:shd w:val="clear" w:color="auto" w:fill="auto"/>
                  <w:vAlign w:val="center"/>
                </w:tcPr>
                <w:p w14:paraId="7F83100B">
                  <w:pPr>
                    <w:widowControl/>
                    <w:adjustRightInd w:val="0"/>
                    <w:snapToGrid w:val="0"/>
                    <w:ind w:left="-105" w:leftChars="-50" w:right="-105" w:rightChars="-50"/>
                    <w:jc w:val="center"/>
                    <w:rPr>
                      <w:color w:val="auto"/>
                      <w:szCs w:val="21"/>
                    </w:rPr>
                  </w:pPr>
                  <w:r>
                    <w:rPr>
                      <w:rFonts w:hint="eastAsia"/>
                      <w:color w:val="auto"/>
                      <w:kern w:val="0"/>
                      <w:szCs w:val="21"/>
                    </w:rPr>
                    <w:t>900-217-08</w:t>
                  </w:r>
                </w:p>
              </w:tc>
              <w:tc>
                <w:tcPr>
                  <w:tcW w:w="250" w:type="pct"/>
                  <w:vMerge w:val="continue"/>
                  <w:tcBorders>
                    <w:left w:val="single" w:color="auto" w:sz="4" w:space="0"/>
                    <w:right w:val="single" w:color="auto" w:sz="4" w:space="0"/>
                  </w:tcBorders>
                  <w:shd w:val="clear" w:color="auto" w:fill="auto"/>
                  <w:vAlign w:val="center"/>
                </w:tcPr>
                <w:p w14:paraId="2E621B18">
                  <w:pPr>
                    <w:ind w:firstLine="400"/>
                    <w:rPr>
                      <w:color w:val="auto"/>
                      <w:sz w:val="20"/>
                      <w:szCs w:val="20"/>
                    </w:rPr>
                  </w:pPr>
                </w:p>
              </w:tc>
              <w:tc>
                <w:tcPr>
                  <w:tcW w:w="513" w:type="pct"/>
                  <w:vMerge w:val="continue"/>
                  <w:tcBorders>
                    <w:left w:val="single" w:color="auto" w:sz="4" w:space="0"/>
                    <w:right w:val="single" w:color="auto" w:sz="4" w:space="0"/>
                  </w:tcBorders>
                  <w:shd w:val="clear" w:color="auto" w:fill="auto"/>
                  <w:vAlign w:val="center"/>
                </w:tcPr>
                <w:p w14:paraId="6657D6D4">
                  <w:pPr>
                    <w:ind w:firstLine="400"/>
                    <w:rPr>
                      <w:color w:val="auto"/>
                      <w:sz w:val="20"/>
                      <w:szCs w:val="20"/>
                    </w:rPr>
                  </w:pPr>
                </w:p>
              </w:tc>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1A4B31C5">
                  <w:pPr>
                    <w:adjustRightInd w:val="0"/>
                    <w:snapToGrid w:val="0"/>
                    <w:jc w:val="center"/>
                    <w:rPr>
                      <w:color w:val="auto"/>
                      <w:szCs w:val="21"/>
                    </w:rPr>
                  </w:pPr>
                  <w:r>
                    <w:rPr>
                      <w:rFonts w:hint="eastAsia" w:hAnsi="宋体" w:cs="宋体"/>
                      <w:color w:val="auto"/>
                      <w:szCs w:val="21"/>
                      <w:lang w:bidi="ar"/>
                    </w:rPr>
                    <w:t>桶装</w:t>
                  </w:r>
                </w:p>
              </w:tc>
              <w:tc>
                <w:tcPr>
                  <w:tcW w:w="417" w:type="pct"/>
                  <w:vMerge w:val="continue"/>
                  <w:tcBorders>
                    <w:left w:val="single" w:color="auto" w:sz="4" w:space="0"/>
                    <w:right w:val="single" w:color="auto" w:sz="4" w:space="0"/>
                  </w:tcBorders>
                  <w:shd w:val="clear" w:color="auto" w:fill="auto"/>
                  <w:vAlign w:val="center"/>
                </w:tcPr>
                <w:p w14:paraId="7C623476">
                  <w:pPr>
                    <w:ind w:firstLine="400"/>
                    <w:rPr>
                      <w:color w:val="auto"/>
                      <w:sz w:val="20"/>
                      <w:szCs w:val="20"/>
                    </w:rPr>
                  </w:pPr>
                </w:p>
              </w:tc>
              <w:tc>
                <w:tcPr>
                  <w:tcW w:w="496" w:type="pct"/>
                  <w:vMerge w:val="continue"/>
                  <w:tcBorders>
                    <w:left w:val="single" w:color="auto" w:sz="4" w:space="0"/>
                    <w:right w:val="nil"/>
                  </w:tcBorders>
                  <w:shd w:val="clear" w:color="auto" w:fill="auto"/>
                  <w:vAlign w:val="center"/>
                </w:tcPr>
                <w:p w14:paraId="3C3A3515">
                  <w:pPr>
                    <w:ind w:firstLine="400"/>
                    <w:rPr>
                      <w:color w:val="auto"/>
                      <w:sz w:val="20"/>
                      <w:szCs w:val="20"/>
                    </w:rPr>
                  </w:pPr>
                </w:p>
              </w:tc>
            </w:tr>
            <w:tr w14:paraId="78369A8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3" w:type="pct"/>
                  <w:tcBorders>
                    <w:top w:val="single" w:color="auto" w:sz="4" w:space="0"/>
                    <w:left w:val="nil"/>
                    <w:bottom w:val="single" w:color="auto" w:sz="4" w:space="0"/>
                    <w:right w:val="single" w:color="auto" w:sz="4" w:space="0"/>
                  </w:tcBorders>
                  <w:shd w:val="clear" w:color="auto" w:fill="auto"/>
                  <w:vAlign w:val="center"/>
                </w:tcPr>
                <w:p w14:paraId="46FEAD75">
                  <w:pPr>
                    <w:adjustRightInd w:val="0"/>
                    <w:snapToGrid w:val="0"/>
                    <w:jc w:val="center"/>
                    <w:rPr>
                      <w:color w:val="auto"/>
                      <w:szCs w:val="21"/>
                    </w:rPr>
                  </w:pPr>
                  <w:r>
                    <w:rPr>
                      <w:color w:val="auto"/>
                      <w:szCs w:val="21"/>
                      <w:lang w:bidi="ar"/>
                    </w:rPr>
                    <w:t>4</w:t>
                  </w:r>
                </w:p>
              </w:tc>
              <w:tc>
                <w:tcPr>
                  <w:tcW w:w="583" w:type="pct"/>
                  <w:vMerge w:val="continue"/>
                  <w:tcBorders>
                    <w:left w:val="single" w:color="auto" w:sz="4" w:space="0"/>
                    <w:right w:val="single" w:color="auto" w:sz="4" w:space="0"/>
                  </w:tcBorders>
                  <w:shd w:val="clear" w:color="auto" w:fill="auto"/>
                  <w:vAlign w:val="center"/>
                </w:tcPr>
                <w:p w14:paraId="7538EF10">
                  <w:pPr>
                    <w:ind w:firstLine="400"/>
                    <w:rPr>
                      <w:color w:val="auto"/>
                      <w:sz w:val="20"/>
                      <w:szCs w:val="20"/>
                    </w:rPr>
                  </w:pPr>
                </w:p>
              </w:tc>
              <w:tc>
                <w:tcPr>
                  <w:tcW w:w="675" w:type="pct"/>
                  <w:tcBorders>
                    <w:top w:val="single" w:color="auto" w:sz="4" w:space="0"/>
                    <w:left w:val="single" w:color="auto" w:sz="4" w:space="0"/>
                    <w:bottom w:val="single" w:color="auto" w:sz="4" w:space="0"/>
                    <w:right w:val="single" w:color="auto" w:sz="4" w:space="0"/>
                  </w:tcBorders>
                  <w:shd w:val="clear" w:color="auto" w:fill="auto"/>
                  <w:vAlign w:val="center"/>
                </w:tcPr>
                <w:p w14:paraId="06280BDF">
                  <w:pPr>
                    <w:adjustRightInd w:val="0"/>
                    <w:snapToGrid w:val="0"/>
                    <w:jc w:val="center"/>
                    <w:rPr>
                      <w:bCs/>
                      <w:color w:val="auto"/>
                      <w:szCs w:val="21"/>
                    </w:rPr>
                  </w:pPr>
                  <w:r>
                    <w:rPr>
                      <w:rFonts w:hint="eastAsia"/>
                      <w:color w:val="auto"/>
                      <w:szCs w:val="21"/>
                    </w:rPr>
                    <w:t>废切削液</w:t>
                  </w:r>
                </w:p>
              </w:tc>
              <w:tc>
                <w:tcPr>
                  <w:tcW w:w="501" w:type="pct"/>
                  <w:tcBorders>
                    <w:top w:val="single" w:color="auto" w:sz="4" w:space="0"/>
                    <w:left w:val="single" w:color="auto" w:sz="4" w:space="0"/>
                    <w:bottom w:val="single" w:color="auto" w:sz="4" w:space="0"/>
                    <w:right w:val="single" w:color="auto" w:sz="4" w:space="0"/>
                  </w:tcBorders>
                  <w:shd w:val="clear" w:color="auto" w:fill="auto"/>
                  <w:vAlign w:val="center"/>
                </w:tcPr>
                <w:p w14:paraId="4A8C41E7">
                  <w:pPr>
                    <w:adjustRightInd w:val="0"/>
                    <w:snapToGrid w:val="0"/>
                    <w:ind w:left="-105" w:leftChars="-50" w:right="-105" w:rightChars="-50"/>
                    <w:jc w:val="center"/>
                    <w:rPr>
                      <w:bCs/>
                      <w:color w:val="auto"/>
                      <w:szCs w:val="21"/>
                    </w:rPr>
                  </w:pPr>
                  <w:r>
                    <w:rPr>
                      <w:rFonts w:hint="eastAsia"/>
                      <w:color w:val="auto"/>
                      <w:kern w:val="0"/>
                      <w:szCs w:val="21"/>
                    </w:rPr>
                    <w:t>HW09</w:t>
                  </w:r>
                </w:p>
              </w:tc>
              <w:tc>
                <w:tcPr>
                  <w:tcW w:w="757" w:type="pct"/>
                  <w:tcBorders>
                    <w:top w:val="single" w:color="auto" w:sz="4" w:space="0"/>
                    <w:left w:val="single" w:color="auto" w:sz="4" w:space="0"/>
                    <w:bottom w:val="single" w:color="auto" w:sz="4" w:space="0"/>
                    <w:right w:val="single" w:color="auto" w:sz="4" w:space="0"/>
                  </w:tcBorders>
                  <w:shd w:val="clear" w:color="auto" w:fill="auto"/>
                  <w:vAlign w:val="center"/>
                </w:tcPr>
                <w:p w14:paraId="797D87C7">
                  <w:pPr>
                    <w:adjustRightInd w:val="0"/>
                    <w:snapToGrid w:val="0"/>
                    <w:ind w:left="-105" w:leftChars="-50" w:right="-105" w:rightChars="-50"/>
                    <w:jc w:val="center"/>
                    <w:rPr>
                      <w:bCs/>
                      <w:color w:val="auto"/>
                      <w:szCs w:val="21"/>
                    </w:rPr>
                  </w:pPr>
                  <w:r>
                    <w:rPr>
                      <w:rFonts w:hint="eastAsia"/>
                      <w:color w:val="auto"/>
                      <w:kern w:val="0"/>
                      <w:szCs w:val="21"/>
                    </w:rPr>
                    <w:t>900-006-09</w:t>
                  </w:r>
                </w:p>
              </w:tc>
              <w:tc>
                <w:tcPr>
                  <w:tcW w:w="250" w:type="pct"/>
                  <w:vMerge w:val="continue"/>
                  <w:tcBorders>
                    <w:left w:val="single" w:color="auto" w:sz="4" w:space="0"/>
                    <w:right w:val="single" w:color="auto" w:sz="4" w:space="0"/>
                  </w:tcBorders>
                  <w:shd w:val="clear" w:color="auto" w:fill="auto"/>
                  <w:vAlign w:val="center"/>
                </w:tcPr>
                <w:p w14:paraId="62434297">
                  <w:pPr>
                    <w:ind w:firstLine="400"/>
                    <w:rPr>
                      <w:color w:val="auto"/>
                      <w:sz w:val="20"/>
                      <w:szCs w:val="20"/>
                    </w:rPr>
                  </w:pPr>
                </w:p>
              </w:tc>
              <w:tc>
                <w:tcPr>
                  <w:tcW w:w="513" w:type="pct"/>
                  <w:vMerge w:val="continue"/>
                  <w:tcBorders>
                    <w:left w:val="single" w:color="auto" w:sz="4" w:space="0"/>
                    <w:right w:val="single" w:color="auto" w:sz="4" w:space="0"/>
                  </w:tcBorders>
                  <w:shd w:val="clear" w:color="auto" w:fill="auto"/>
                  <w:vAlign w:val="center"/>
                </w:tcPr>
                <w:p w14:paraId="2D2B302B">
                  <w:pPr>
                    <w:ind w:firstLine="400"/>
                    <w:rPr>
                      <w:color w:val="auto"/>
                      <w:sz w:val="20"/>
                      <w:szCs w:val="20"/>
                    </w:rPr>
                  </w:pPr>
                </w:p>
              </w:tc>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00A7CF23">
                  <w:pPr>
                    <w:adjustRightInd w:val="0"/>
                    <w:snapToGrid w:val="0"/>
                    <w:jc w:val="center"/>
                    <w:rPr>
                      <w:color w:val="auto"/>
                      <w:szCs w:val="21"/>
                    </w:rPr>
                  </w:pPr>
                  <w:r>
                    <w:rPr>
                      <w:rFonts w:hint="eastAsia" w:hAnsi="宋体" w:cs="宋体"/>
                      <w:color w:val="auto"/>
                      <w:szCs w:val="21"/>
                      <w:lang w:bidi="ar"/>
                    </w:rPr>
                    <w:t>桶装</w:t>
                  </w:r>
                </w:p>
              </w:tc>
              <w:tc>
                <w:tcPr>
                  <w:tcW w:w="417" w:type="pct"/>
                  <w:vMerge w:val="continue"/>
                  <w:tcBorders>
                    <w:left w:val="single" w:color="auto" w:sz="4" w:space="0"/>
                    <w:right w:val="single" w:color="auto" w:sz="4" w:space="0"/>
                  </w:tcBorders>
                  <w:shd w:val="clear" w:color="auto" w:fill="auto"/>
                  <w:vAlign w:val="center"/>
                </w:tcPr>
                <w:p w14:paraId="106EAAE2">
                  <w:pPr>
                    <w:ind w:firstLine="400"/>
                    <w:rPr>
                      <w:color w:val="auto"/>
                      <w:sz w:val="20"/>
                      <w:szCs w:val="20"/>
                    </w:rPr>
                  </w:pPr>
                </w:p>
              </w:tc>
              <w:tc>
                <w:tcPr>
                  <w:tcW w:w="496" w:type="pct"/>
                  <w:vMerge w:val="continue"/>
                  <w:tcBorders>
                    <w:left w:val="single" w:color="auto" w:sz="4" w:space="0"/>
                    <w:right w:val="nil"/>
                  </w:tcBorders>
                  <w:shd w:val="clear" w:color="auto" w:fill="auto"/>
                  <w:vAlign w:val="center"/>
                </w:tcPr>
                <w:p w14:paraId="5901A8AC">
                  <w:pPr>
                    <w:ind w:firstLine="400"/>
                    <w:rPr>
                      <w:color w:val="auto"/>
                      <w:sz w:val="20"/>
                      <w:szCs w:val="20"/>
                    </w:rPr>
                  </w:pPr>
                </w:p>
              </w:tc>
            </w:tr>
            <w:tr w14:paraId="2493272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3" w:type="pct"/>
                  <w:tcBorders>
                    <w:top w:val="single" w:color="auto" w:sz="4" w:space="0"/>
                    <w:left w:val="nil"/>
                    <w:bottom w:val="single" w:color="auto" w:sz="12" w:space="0"/>
                    <w:right w:val="single" w:color="auto" w:sz="4" w:space="0"/>
                  </w:tcBorders>
                  <w:shd w:val="clear" w:color="auto" w:fill="auto"/>
                  <w:vAlign w:val="center"/>
                </w:tcPr>
                <w:p w14:paraId="09A66856">
                  <w:pPr>
                    <w:adjustRightInd w:val="0"/>
                    <w:snapToGrid w:val="0"/>
                    <w:jc w:val="center"/>
                    <w:rPr>
                      <w:color w:val="auto"/>
                      <w:szCs w:val="21"/>
                      <w:lang w:bidi="ar"/>
                    </w:rPr>
                  </w:pPr>
                  <w:r>
                    <w:rPr>
                      <w:rFonts w:hint="eastAsia"/>
                      <w:color w:val="auto"/>
                      <w:szCs w:val="21"/>
                      <w:lang w:bidi="ar"/>
                    </w:rPr>
                    <w:t>5</w:t>
                  </w:r>
                </w:p>
              </w:tc>
              <w:tc>
                <w:tcPr>
                  <w:tcW w:w="583" w:type="pct"/>
                  <w:vMerge w:val="continue"/>
                  <w:tcBorders>
                    <w:left w:val="single" w:color="auto" w:sz="4" w:space="0"/>
                    <w:bottom w:val="single" w:color="auto" w:sz="12" w:space="0"/>
                    <w:right w:val="single" w:color="auto" w:sz="4" w:space="0"/>
                  </w:tcBorders>
                  <w:shd w:val="clear" w:color="auto" w:fill="auto"/>
                  <w:vAlign w:val="center"/>
                </w:tcPr>
                <w:p w14:paraId="0B1B6683">
                  <w:pPr>
                    <w:ind w:firstLine="400"/>
                    <w:rPr>
                      <w:color w:val="auto"/>
                      <w:sz w:val="20"/>
                      <w:szCs w:val="20"/>
                    </w:rPr>
                  </w:pPr>
                </w:p>
              </w:tc>
              <w:tc>
                <w:tcPr>
                  <w:tcW w:w="675" w:type="pct"/>
                  <w:tcBorders>
                    <w:top w:val="single" w:color="auto" w:sz="4" w:space="0"/>
                    <w:left w:val="single" w:color="auto" w:sz="4" w:space="0"/>
                    <w:bottom w:val="single" w:color="auto" w:sz="12" w:space="0"/>
                    <w:right w:val="single" w:color="auto" w:sz="4" w:space="0"/>
                  </w:tcBorders>
                  <w:shd w:val="clear" w:color="auto" w:fill="auto"/>
                  <w:vAlign w:val="center"/>
                </w:tcPr>
                <w:p w14:paraId="2F09B274">
                  <w:pPr>
                    <w:adjustRightInd w:val="0"/>
                    <w:snapToGrid w:val="0"/>
                    <w:jc w:val="center"/>
                    <w:rPr>
                      <w:color w:val="auto"/>
                      <w:szCs w:val="21"/>
                    </w:rPr>
                  </w:pPr>
                  <w:r>
                    <w:rPr>
                      <w:rFonts w:hint="eastAsia"/>
                      <w:color w:val="auto"/>
                      <w:szCs w:val="21"/>
                    </w:rPr>
                    <w:t>废过滤棉</w:t>
                  </w:r>
                </w:p>
              </w:tc>
              <w:tc>
                <w:tcPr>
                  <w:tcW w:w="501" w:type="pct"/>
                  <w:tcBorders>
                    <w:top w:val="single" w:color="auto" w:sz="4" w:space="0"/>
                    <w:left w:val="single" w:color="auto" w:sz="4" w:space="0"/>
                    <w:bottom w:val="single" w:color="auto" w:sz="12" w:space="0"/>
                    <w:right w:val="single" w:color="auto" w:sz="4" w:space="0"/>
                  </w:tcBorders>
                  <w:shd w:val="clear" w:color="auto" w:fill="auto"/>
                  <w:vAlign w:val="center"/>
                </w:tcPr>
                <w:p w14:paraId="69A359F3">
                  <w:pPr>
                    <w:adjustRightInd w:val="0"/>
                    <w:snapToGrid w:val="0"/>
                    <w:ind w:left="-105" w:leftChars="-50" w:right="-105" w:rightChars="-50"/>
                    <w:jc w:val="center"/>
                    <w:rPr>
                      <w:color w:val="auto"/>
                      <w:kern w:val="0"/>
                      <w:szCs w:val="21"/>
                    </w:rPr>
                  </w:pPr>
                  <w:r>
                    <w:rPr>
                      <w:rFonts w:hint="eastAsia"/>
                      <w:color w:val="auto"/>
                      <w:kern w:val="0"/>
                      <w:szCs w:val="21"/>
                    </w:rPr>
                    <w:t>HW49</w:t>
                  </w:r>
                </w:p>
              </w:tc>
              <w:tc>
                <w:tcPr>
                  <w:tcW w:w="757" w:type="pct"/>
                  <w:tcBorders>
                    <w:top w:val="single" w:color="auto" w:sz="4" w:space="0"/>
                    <w:left w:val="single" w:color="auto" w:sz="4" w:space="0"/>
                    <w:bottom w:val="single" w:color="auto" w:sz="12" w:space="0"/>
                    <w:right w:val="single" w:color="auto" w:sz="4" w:space="0"/>
                  </w:tcBorders>
                  <w:shd w:val="clear" w:color="auto" w:fill="auto"/>
                  <w:vAlign w:val="center"/>
                </w:tcPr>
                <w:p w14:paraId="64F509AD">
                  <w:pPr>
                    <w:adjustRightInd w:val="0"/>
                    <w:snapToGrid w:val="0"/>
                    <w:ind w:left="-105" w:leftChars="-50" w:right="-105" w:rightChars="-50"/>
                    <w:jc w:val="center"/>
                    <w:rPr>
                      <w:color w:val="auto"/>
                      <w:kern w:val="0"/>
                      <w:szCs w:val="21"/>
                    </w:rPr>
                  </w:pPr>
                  <w:r>
                    <w:rPr>
                      <w:rFonts w:hint="eastAsia"/>
                      <w:color w:val="auto"/>
                      <w:kern w:val="0"/>
                      <w:szCs w:val="21"/>
                    </w:rPr>
                    <w:t>900-039-49</w:t>
                  </w:r>
                </w:p>
              </w:tc>
              <w:tc>
                <w:tcPr>
                  <w:tcW w:w="250" w:type="pct"/>
                  <w:vMerge w:val="continue"/>
                  <w:tcBorders>
                    <w:left w:val="single" w:color="auto" w:sz="4" w:space="0"/>
                    <w:bottom w:val="single" w:color="auto" w:sz="12" w:space="0"/>
                    <w:right w:val="single" w:color="auto" w:sz="4" w:space="0"/>
                  </w:tcBorders>
                  <w:shd w:val="clear" w:color="auto" w:fill="auto"/>
                  <w:vAlign w:val="center"/>
                </w:tcPr>
                <w:p w14:paraId="2B987C9E">
                  <w:pPr>
                    <w:ind w:firstLine="400"/>
                    <w:rPr>
                      <w:color w:val="auto"/>
                      <w:sz w:val="20"/>
                      <w:szCs w:val="20"/>
                    </w:rPr>
                  </w:pPr>
                </w:p>
              </w:tc>
              <w:tc>
                <w:tcPr>
                  <w:tcW w:w="513" w:type="pct"/>
                  <w:vMerge w:val="continue"/>
                  <w:tcBorders>
                    <w:left w:val="single" w:color="auto" w:sz="4" w:space="0"/>
                    <w:bottom w:val="single" w:color="auto" w:sz="12" w:space="0"/>
                    <w:right w:val="single" w:color="auto" w:sz="4" w:space="0"/>
                  </w:tcBorders>
                  <w:shd w:val="clear" w:color="auto" w:fill="auto"/>
                  <w:vAlign w:val="center"/>
                </w:tcPr>
                <w:p w14:paraId="1AAE987C">
                  <w:pPr>
                    <w:ind w:firstLine="400"/>
                    <w:rPr>
                      <w:color w:val="auto"/>
                      <w:sz w:val="20"/>
                      <w:szCs w:val="20"/>
                    </w:rPr>
                  </w:pPr>
                </w:p>
              </w:tc>
              <w:tc>
                <w:tcPr>
                  <w:tcW w:w="492" w:type="pct"/>
                  <w:tcBorders>
                    <w:top w:val="single" w:color="auto" w:sz="4" w:space="0"/>
                    <w:left w:val="single" w:color="auto" w:sz="4" w:space="0"/>
                    <w:bottom w:val="single" w:color="auto" w:sz="12" w:space="0"/>
                    <w:right w:val="single" w:color="auto" w:sz="4" w:space="0"/>
                  </w:tcBorders>
                  <w:shd w:val="clear" w:color="auto" w:fill="auto"/>
                  <w:vAlign w:val="center"/>
                </w:tcPr>
                <w:p w14:paraId="32A99B80">
                  <w:pPr>
                    <w:adjustRightInd w:val="0"/>
                    <w:snapToGrid w:val="0"/>
                    <w:jc w:val="center"/>
                    <w:rPr>
                      <w:rFonts w:hAnsi="宋体" w:cs="宋体"/>
                      <w:color w:val="auto"/>
                      <w:szCs w:val="21"/>
                      <w:lang w:bidi="ar"/>
                    </w:rPr>
                  </w:pPr>
                  <w:r>
                    <w:rPr>
                      <w:rFonts w:hint="eastAsia" w:hAnsi="宋体" w:cs="宋体"/>
                      <w:color w:val="auto"/>
                      <w:szCs w:val="21"/>
                      <w:lang w:bidi="ar"/>
                    </w:rPr>
                    <w:t>袋装</w:t>
                  </w:r>
                </w:p>
              </w:tc>
              <w:tc>
                <w:tcPr>
                  <w:tcW w:w="417" w:type="pct"/>
                  <w:vMerge w:val="continue"/>
                  <w:tcBorders>
                    <w:left w:val="single" w:color="auto" w:sz="4" w:space="0"/>
                    <w:bottom w:val="single" w:color="auto" w:sz="12" w:space="0"/>
                    <w:right w:val="single" w:color="auto" w:sz="4" w:space="0"/>
                  </w:tcBorders>
                  <w:shd w:val="clear" w:color="auto" w:fill="auto"/>
                  <w:vAlign w:val="center"/>
                </w:tcPr>
                <w:p w14:paraId="120FF529">
                  <w:pPr>
                    <w:ind w:firstLine="400"/>
                    <w:rPr>
                      <w:color w:val="auto"/>
                      <w:sz w:val="20"/>
                      <w:szCs w:val="20"/>
                    </w:rPr>
                  </w:pPr>
                </w:p>
              </w:tc>
              <w:tc>
                <w:tcPr>
                  <w:tcW w:w="496" w:type="pct"/>
                  <w:vMerge w:val="continue"/>
                  <w:tcBorders>
                    <w:left w:val="single" w:color="auto" w:sz="4" w:space="0"/>
                    <w:bottom w:val="single" w:color="auto" w:sz="12" w:space="0"/>
                    <w:right w:val="nil"/>
                  </w:tcBorders>
                  <w:shd w:val="clear" w:color="auto" w:fill="auto"/>
                  <w:vAlign w:val="center"/>
                </w:tcPr>
                <w:p w14:paraId="4CC853EB">
                  <w:pPr>
                    <w:ind w:firstLine="400"/>
                    <w:rPr>
                      <w:color w:val="auto"/>
                      <w:sz w:val="20"/>
                      <w:szCs w:val="20"/>
                    </w:rPr>
                  </w:pPr>
                </w:p>
              </w:tc>
            </w:tr>
          </w:tbl>
          <w:p w14:paraId="087312BB">
            <w:pPr>
              <w:adjustRightInd w:val="0"/>
              <w:snapToGrid w:val="0"/>
              <w:spacing w:before="120" w:beforeLines="50" w:line="360" w:lineRule="auto"/>
              <w:ind w:firstLine="480" w:firstLineChars="200"/>
              <w:rPr>
                <w:color w:val="auto"/>
                <w:sz w:val="24"/>
              </w:rPr>
            </w:pPr>
            <w:r>
              <w:rPr>
                <w:rFonts w:hint="eastAsia" w:hAnsi="宋体"/>
                <w:color w:val="auto"/>
                <w:sz w:val="24"/>
                <w:lang w:bidi="ar"/>
              </w:rPr>
              <w:t>项目新建</w:t>
            </w:r>
            <w:r>
              <w:rPr>
                <w:color w:val="auto"/>
                <w:sz w:val="24"/>
                <w:lang w:bidi="ar"/>
              </w:rPr>
              <w:t>10m</w:t>
            </w:r>
            <w:r>
              <w:rPr>
                <w:color w:val="auto"/>
                <w:sz w:val="24"/>
                <w:vertAlign w:val="superscript"/>
                <w:lang w:bidi="ar"/>
              </w:rPr>
              <w:t>2</w:t>
            </w:r>
            <w:r>
              <w:rPr>
                <w:rFonts w:hint="eastAsia" w:hAnsi="宋体"/>
                <w:color w:val="auto"/>
                <w:sz w:val="24"/>
                <w:lang w:bidi="ar"/>
              </w:rPr>
              <w:t>危废仓库，最大暂存量为</w:t>
            </w:r>
            <w:r>
              <w:rPr>
                <w:color w:val="auto"/>
                <w:sz w:val="24"/>
                <w:lang w:bidi="ar"/>
              </w:rPr>
              <w:t>10</w:t>
            </w:r>
            <w:r>
              <w:rPr>
                <w:rFonts w:hint="eastAsia" w:hAnsi="宋体"/>
                <w:color w:val="auto"/>
                <w:sz w:val="24"/>
                <w:lang w:bidi="ar"/>
              </w:rPr>
              <w:t>吨，建设项目产生的危险废物为废包装桶、废活性炭、废润滑油、废切削液、废过滤棉，产生量为</w:t>
            </w:r>
            <w:r>
              <w:rPr>
                <w:rFonts w:hint="eastAsia"/>
                <w:color w:val="auto"/>
                <w:sz w:val="24"/>
                <w:lang w:val="en-US" w:eastAsia="zh-CN" w:bidi="ar"/>
              </w:rPr>
              <w:t>2.438</w:t>
            </w:r>
            <w:r>
              <w:rPr>
                <w:color w:val="auto"/>
                <w:sz w:val="24"/>
                <w:lang w:bidi="ar"/>
              </w:rPr>
              <w:t>t/a</w:t>
            </w:r>
            <w:r>
              <w:rPr>
                <w:rFonts w:hint="eastAsia" w:hAnsi="宋体"/>
                <w:color w:val="auto"/>
                <w:sz w:val="24"/>
                <w:lang w:bidi="ar"/>
              </w:rPr>
              <w:t>，贮存周期为</w:t>
            </w:r>
            <w:r>
              <w:rPr>
                <w:color w:val="auto"/>
                <w:sz w:val="24"/>
                <w:lang w:bidi="ar"/>
              </w:rPr>
              <w:t>12</w:t>
            </w:r>
            <w:r>
              <w:rPr>
                <w:rFonts w:hint="eastAsia" w:hAnsi="宋体"/>
                <w:color w:val="auto"/>
                <w:sz w:val="24"/>
                <w:lang w:bidi="ar"/>
              </w:rPr>
              <w:t>个月，贮存需求面积为</w:t>
            </w:r>
            <w:r>
              <w:rPr>
                <w:rFonts w:hint="eastAsia" w:hAnsi="宋体"/>
                <w:color w:val="auto"/>
                <w:sz w:val="24"/>
                <w:lang w:val="en-US" w:eastAsia="zh-CN" w:bidi="ar"/>
              </w:rPr>
              <w:t>2.5</w:t>
            </w:r>
            <w:r>
              <w:rPr>
                <w:color w:val="auto"/>
                <w:sz w:val="24"/>
                <w:lang w:bidi="ar"/>
              </w:rPr>
              <w:t>m</w:t>
            </w:r>
            <w:r>
              <w:rPr>
                <w:color w:val="auto"/>
                <w:sz w:val="24"/>
                <w:vertAlign w:val="superscript"/>
                <w:lang w:bidi="ar"/>
              </w:rPr>
              <w:t>2</w:t>
            </w:r>
            <w:r>
              <w:rPr>
                <w:rFonts w:hint="eastAsia" w:hAnsi="宋体"/>
                <w:color w:val="auto"/>
                <w:sz w:val="24"/>
                <w:lang w:bidi="ar"/>
              </w:rPr>
              <w:t>，则危废仓库满足建设项目危险废物暂存需要。</w:t>
            </w:r>
          </w:p>
          <w:p w14:paraId="565E1B58">
            <w:pPr>
              <w:adjustRightInd w:val="0"/>
              <w:snapToGrid w:val="0"/>
              <w:spacing w:line="360" w:lineRule="auto"/>
              <w:ind w:firstLine="480" w:firstLineChars="200"/>
              <w:jc w:val="left"/>
              <w:rPr>
                <w:color w:val="auto"/>
                <w:sz w:val="24"/>
              </w:rPr>
            </w:pPr>
            <w:r>
              <w:rPr>
                <w:rFonts w:hint="eastAsia" w:hAnsi="宋体" w:cs="宋体"/>
                <w:color w:val="auto"/>
                <w:sz w:val="24"/>
                <w:lang w:bidi="ar"/>
              </w:rPr>
              <w:t>项目危废仓库在储存危险废物过程中，如果防风措施不到位，可能随风扬散，将对环境空气造成影响，比较严重的情况，可能对周边居民造成影响。如果防雨措施不到位、防渗不满足要求，将导致危废中所带污染物通过下渗对周边地表水、地下水、土壤带来污染。</w:t>
            </w:r>
          </w:p>
          <w:p w14:paraId="0C739BFD">
            <w:pPr>
              <w:adjustRightInd w:val="0"/>
              <w:snapToGrid w:val="0"/>
              <w:spacing w:line="360" w:lineRule="auto"/>
              <w:ind w:firstLine="480" w:firstLineChars="200"/>
              <w:jc w:val="left"/>
              <w:rPr>
                <w:color w:val="auto"/>
                <w:sz w:val="24"/>
              </w:rPr>
            </w:pPr>
            <w:r>
              <w:rPr>
                <w:color w:val="auto"/>
                <w:sz w:val="24"/>
                <w:lang w:bidi="ar"/>
              </w:rPr>
              <w:t>C.</w:t>
            </w:r>
            <w:r>
              <w:rPr>
                <w:rFonts w:hint="eastAsia" w:hAnsi="宋体" w:cs="宋体"/>
                <w:color w:val="auto"/>
                <w:sz w:val="24"/>
                <w:lang w:bidi="ar"/>
              </w:rPr>
              <w:t>运输：建设项目危险废物在厂区内的运输应严格按照《危险废物收集贮存运输技术规范》（</w:t>
            </w:r>
            <w:r>
              <w:rPr>
                <w:color w:val="auto"/>
                <w:sz w:val="24"/>
                <w:lang w:bidi="ar"/>
              </w:rPr>
              <w:t>HJ2025-2012</w:t>
            </w:r>
            <w:r>
              <w:rPr>
                <w:rFonts w:hint="eastAsia" w:hAnsi="宋体" w:cs="宋体"/>
                <w:color w:val="auto"/>
                <w:sz w:val="24"/>
                <w:lang w:bidi="ar"/>
              </w:rPr>
              <w:t>）进行，委托处置转移过程的运输由取得交通运输部门颁发的危险货物运输资质的专业运输公司按规范进行，做到密闭遮盖运输，车厢底层设置防渗漏垫层，防止在运输途中散漏或雨水的淋洗。</w:t>
            </w:r>
          </w:p>
          <w:p w14:paraId="34FE90F1">
            <w:pPr>
              <w:adjustRightInd w:val="0"/>
              <w:snapToGrid w:val="0"/>
              <w:spacing w:line="360" w:lineRule="auto"/>
              <w:ind w:firstLine="480" w:firstLineChars="200"/>
              <w:jc w:val="left"/>
              <w:rPr>
                <w:color w:val="auto"/>
                <w:sz w:val="24"/>
              </w:rPr>
            </w:pPr>
            <w:r>
              <w:rPr>
                <w:rFonts w:hint="eastAsia" w:hAnsi="宋体" w:cs="宋体"/>
                <w:color w:val="auto"/>
                <w:sz w:val="24"/>
                <w:lang w:bidi="ar"/>
              </w:rPr>
              <w:t>危险废物在企业内部的转移是指在危险废物产生节点根据危险废物的种类、数量、危险特性、物理形态、运输要求等因素确定包装形式，并将其集中到适当的包装容器中，运至厂内危废暂存场所暂存，运输过程主要注意以下要点：</w:t>
            </w:r>
          </w:p>
          <w:p w14:paraId="245F1D0D">
            <w:pPr>
              <w:adjustRightInd w:val="0"/>
              <w:snapToGrid w:val="0"/>
              <w:spacing w:line="360" w:lineRule="auto"/>
              <w:ind w:firstLine="480" w:firstLineChars="200"/>
              <w:jc w:val="left"/>
              <w:rPr>
                <w:color w:val="auto"/>
                <w:sz w:val="24"/>
              </w:rPr>
            </w:pPr>
            <w:r>
              <w:rPr>
                <w:color w:val="auto"/>
                <w:sz w:val="24"/>
                <w:lang w:bidi="ar"/>
              </w:rPr>
              <w:t>a.</w:t>
            </w:r>
            <w:r>
              <w:rPr>
                <w:rFonts w:hint="eastAsia" w:hAnsi="宋体" w:cs="宋体"/>
                <w:color w:val="auto"/>
                <w:sz w:val="24"/>
                <w:lang w:bidi="ar"/>
              </w:rPr>
              <w:t>应采用专用的工具，参照《危险废物收集贮存运输技术规范》（</w:t>
            </w:r>
            <w:r>
              <w:rPr>
                <w:color w:val="auto"/>
                <w:sz w:val="24"/>
                <w:lang w:bidi="ar"/>
              </w:rPr>
              <w:t>HJ2025-2012</w:t>
            </w:r>
            <w:r>
              <w:rPr>
                <w:rFonts w:hint="eastAsia" w:hAnsi="宋体" w:cs="宋体"/>
                <w:color w:val="auto"/>
                <w:sz w:val="24"/>
                <w:lang w:bidi="ar"/>
              </w:rPr>
              <w:t>）附录</w:t>
            </w:r>
            <w:r>
              <w:rPr>
                <w:color w:val="auto"/>
                <w:sz w:val="24"/>
                <w:lang w:bidi="ar"/>
              </w:rPr>
              <w:t>B</w:t>
            </w:r>
            <w:r>
              <w:rPr>
                <w:rFonts w:hint="eastAsia" w:hAnsi="宋体" w:cs="宋体"/>
                <w:color w:val="auto"/>
                <w:sz w:val="24"/>
                <w:lang w:bidi="ar"/>
              </w:rPr>
              <w:t>填写《危险废物厂内转运记录表》；</w:t>
            </w:r>
          </w:p>
          <w:p w14:paraId="0AFDABE0">
            <w:pPr>
              <w:adjustRightInd w:val="0"/>
              <w:snapToGrid w:val="0"/>
              <w:spacing w:line="360" w:lineRule="auto"/>
              <w:ind w:firstLine="480" w:firstLineChars="200"/>
              <w:jc w:val="left"/>
              <w:rPr>
                <w:rFonts w:hAnsi="宋体" w:cs="宋体"/>
                <w:color w:val="auto"/>
                <w:sz w:val="24"/>
                <w:lang w:bidi="ar"/>
              </w:rPr>
            </w:pPr>
            <w:r>
              <w:rPr>
                <w:color w:val="auto"/>
                <w:sz w:val="24"/>
                <w:lang w:bidi="ar"/>
              </w:rPr>
              <w:t>b.</w:t>
            </w:r>
            <w:r>
              <w:rPr>
                <w:rFonts w:hint="eastAsia" w:hAnsi="宋体" w:cs="宋体"/>
                <w:color w:val="auto"/>
                <w:sz w:val="24"/>
                <w:lang w:bidi="ar"/>
              </w:rPr>
              <w:t>危险废物内部转运结束后，应对转运路线进行检查和清理，确保无危险废物遗失在转运路线上，并对转运工具进行清洗；</w:t>
            </w:r>
          </w:p>
          <w:p w14:paraId="0AD0A2B1">
            <w:pPr>
              <w:adjustRightInd w:val="0"/>
              <w:snapToGrid w:val="0"/>
              <w:spacing w:line="360" w:lineRule="auto"/>
              <w:ind w:firstLine="480" w:firstLineChars="200"/>
              <w:jc w:val="left"/>
              <w:rPr>
                <w:color w:val="auto"/>
              </w:rPr>
            </w:pPr>
            <w:r>
              <w:rPr>
                <w:color w:val="auto"/>
                <w:sz w:val="24"/>
                <w:lang w:bidi="ar"/>
              </w:rPr>
              <w:t>c.</w:t>
            </w:r>
            <w:r>
              <w:rPr>
                <w:rFonts w:hint="eastAsia" w:hAnsi="宋体"/>
                <w:color w:val="auto"/>
                <w:sz w:val="24"/>
                <w:lang w:bidi="ar"/>
              </w:rPr>
              <w:t>处置：本项目废包装桶、废活性炭、废过滤棉、废润滑油、废切削液委托有资质单位安全处置。现淮安市有多家有资质处理危险废物企业，淮安华昌固废处置有限公司及淮安华科环保科技有限公司等公司可处理建设项目生产中产生的危废，且有效期内仍有余量。建设单位应该在项目营运前尽快与危险废物处理资质单位取得联系，并签订相应的危废处置协议。</w:t>
            </w:r>
          </w:p>
          <w:p w14:paraId="35929E45">
            <w:pPr>
              <w:adjustRightInd w:val="0"/>
              <w:snapToGrid w:val="0"/>
              <w:spacing w:line="360" w:lineRule="auto"/>
              <w:ind w:firstLine="482" w:firstLineChars="200"/>
              <w:rPr>
                <w:b/>
                <w:color w:val="auto"/>
                <w:kern w:val="0"/>
                <w:sz w:val="24"/>
              </w:rPr>
            </w:pPr>
            <w:r>
              <w:rPr>
                <w:rFonts w:hint="eastAsia" w:hAnsi="宋体" w:cs="宋体"/>
                <w:b/>
                <w:color w:val="auto"/>
                <w:kern w:val="0"/>
                <w:sz w:val="24"/>
                <w:lang w:bidi="ar"/>
              </w:rPr>
              <w:t>②一般固体废物</w:t>
            </w:r>
          </w:p>
          <w:p w14:paraId="03CF040E">
            <w:pPr>
              <w:adjustRightInd w:val="0"/>
              <w:snapToGrid w:val="0"/>
              <w:spacing w:line="360" w:lineRule="auto"/>
              <w:ind w:firstLine="480" w:firstLineChars="200"/>
              <w:rPr>
                <w:color w:val="auto"/>
                <w:sz w:val="24"/>
              </w:rPr>
            </w:pPr>
            <w:r>
              <w:rPr>
                <w:color w:val="auto"/>
                <w:sz w:val="24"/>
                <w:lang w:bidi="ar"/>
              </w:rPr>
              <w:t>A.</w:t>
            </w:r>
            <w:r>
              <w:rPr>
                <w:rFonts w:hint="eastAsia" w:hAnsi="宋体" w:cs="宋体"/>
                <w:color w:val="auto"/>
                <w:sz w:val="24"/>
                <w:lang w:bidi="ar"/>
              </w:rPr>
              <w:t>在厂区西侧设置一般固废仓库（</w:t>
            </w:r>
            <w:r>
              <w:rPr>
                <w:rFonts w:hint="eastAsia"/>
                <w:color w:val="auto"/>
                <w:sz w:val="24"/>
                <w:lang w:bidi="ar"/>
              </w:rPr>
              <w:t>5</w:t>
            </w:r>
            <w:r>
              <w:rPr>
                <w:color w:val="auto"/>
                <w:sz w:val="24"/>
                <w:lang w:bidi="ar"/>
              </w:rPr>
              <w:t>0m</w:t>
            </w:r>
            <w:r>
              <w:rPr>
                <w:color w:val="auto"/>
                <w:sz w:val="24"/>
                <w:vertAlign w:val="superscript"/>
                <w:lang w:bidi="ar"/>
              </w:rPr>
              <w:t>2</w:t>
            </w:r>
            <w:r>
              <w:rPr>
                <w:rFonts w:hint="eastAsia" w:hAnsi="宋体" w:cs="宋体"/>
                <w:color w:val="auto"/>
                <w:sz w:val="24"/>
                <w:lang w:bidi="ar"/>
              </w:rPr>
              <w:t>），并采取防渗漏、防雨淋、防扬尘等环保措施，设置环境保护图形标志，各类固废分类收集，暂存场所设置符合《一般工业固体废物贮存和填埋污染控制标准》（</w:t>
            </w:r>
            <w:r>
              <w:rPr>
                <w:color w:val="auto"/>
                <w:sz w:val="24"/>
                <w:lang w:bidi="ar"/>
              </w:rPr>
              <w:t>GB18599-2020</w:t>
            </w:r>
            <w:r>
              <w:rPr>
                <w:rFonts w:hint="eastAsia" w:hAnsi="宋体" w:cs="宋体"/>
                <w:color w:val="auto"/>
                <w:sz w:val="24"/>
                <w:lang w:bidi="ar"/>
              </w:rPr>
              <w:t>）的规定。</w:t>
            </w:r>
          </w:p>
          <w:p w14:paraId="1656C1F0">
            <w:pPr>
              <w:adjustRightInd w:val="0"/>
              <w:snapToGrid w:val="0"/>
              <w:spacing w:line="360" w:lineRule="auto"/>
              <w:ind w:firstLine="480" w:firstLineChars="200"/>
              <w:rPr>
                <w:rFonts w:hAnsi="宋体" w:cs="宋体"/>
                <w:color w:val="auto"/>
                <w:sz w:val="24"/>
                <w:lang w:bidi="ar"/>
              </w:rPr>
            </w:pPr>
            <w:r>
              <w:rPr>
                <w:color w:val="auto"/>
                <w:sz w:val="24"/>
                <w:lang w:bidi="ar"/>
              </w:rPr>
              <w:t>B.</w:t>
            </w:r>
            <w:r>
              <w:rPr>
                <w:rFonts w:hint="eastAsia" w:hAnsi="宋体" w:cs="宋体"/>
                <w:color w:val="auto"/>
                <w:sz w:val="24"/>
                <w:lang w:bidi="ar"/>
              </w:rPr>
              <w:t>严格固废转移过程，避免撒漏，及时清扫转移过程中撒漏的固废，避免固体废物中污染物通过雨水转移至水环境，造成二次污染。</w:t>
            </w:r>
          </w:p>
          <w:p w14:paraId="2049D62B">
            <w:pPr>
              <w:adjustRightInd w:val="0"/>
              <w:snapToGrid w:val="0"/>
              <w:spacing w:line="360" w:lineRule="auto"/>
              <w:ind w:firstLine="480" w:firstLineChars="200"/>
              <w:rPr>
                <w:color w:val="auto"/>
              </w:rPr>
            </w:pPr>
            <w:r>
              <w:rPr>
                <w:color w:val="auto"/>
                <w:sz w:val="24"/>
                <w:lang w:bidi="ar"/>
              </w:rPr>
              <w:t>C.</w:t>
            </w:r>
            <w:r>
              <w:rPr>
                <w:rFonts w:hint="eastAsia" w:hAnsi="宋体"/>
                <w:color w:val="auto"/>
                <w:sz w:val="24"/>
                <w:lang w:bidi="ar"/>
              </w:rPr>
              <w:t>一般固废交由合法、合规的单位收集处理。</w:t>
            </w:r>
          </w:p>
          <w:p w14:paraId="4D141502">
            <w:pPr>
              <w:adjustRightInd w:val="0"/>
              <w:snapToGrid w:val="0"/>
              <w:spacing w:line="360" w:lineRule="auto"/>
              <w:ind w:firstLine="482" w:firstLineChars="200"/>
              <w:rPr>
                <w:b/>
                <w:color w:val="auto"/>
                <w:kern w:val="0"/>
                <w:sz w:val="24"/>
              </w:rPr>
            </w:pPr>
            <w:r>
              <w:rPr>
                <w:rFonts w:hint="eastAsia" w:hAnsi="宋体" w:cs="宋体"/>
                <w:b/>
                <w:color w:val="auto"/>
                <w:kern w:val="0"/>
                <w:sz w:val="24"/>
                <w:lang w:bidi="ar"/>
              </w:rPr>
              <w:t>③日常管理</w:t>
            </w:r>
          </w:p>
          <w:p w14:paraId="15CE897E">
            <w:pPr>
              <w:adjustRightInd w:val="0"/>
              <w:snapToGrid w:val="0"/>
              <w:spacing w:line="360" w:lineRule="auto"/>
              <w:ind w:firstLine="480" w:firstLineChars="200"/>
              <w:rPr>
                <w:color w:val="auto"/>
                <w:sz w:val="24"/>
              </w:rPr>
            </w:pPr>
            <w:r>
              <w:rPr>
                <w:color w:val="auto"/>
                <w:sz w:val="24"/>
                <w:lang w:bidi="ar"/>
              </w:rPr>
              <w:t>A.</w:t>
            </w:r>
            <w:r>
              <w:rPr>
                <w:rFonts w:hint="eastAsia" w:hAnsi="宋体" w:cs="宋体"/>
                <w:color w:val="auto"/>
                <w:sz w:val="24"/>
                <w:lang w:bidi="ar"/>
              </w:rPr>
              <w:t>履行申报登记制度；</w:t>
            </w:r>
          </w:p>
          <w:p w14:paraId="3D8D2CB7">
            <w:pPr>
              <w:adjustRightInd w:val="0"/>
              <w:snapToGrid w:val="0"/>
              <w:spacing w:line="360" w:lineRule="auto"/>
              <w:ind w:firstLine="480" w:firstLineChars="200"/>
              <w:rPr>
                <w:color w:val="auto"/>
                <w:sz w:val="24"/>
              </w:rPr>
            </w:pPr>
            <w:r>
              <w:rPr>
                <w:color w:val="auto"/>
                <w:sz w:val="24"/>
                <w:lang w:bidi="ar"/>
              </w:rPr>
              <w:t>B.</w:t>
            </w:r>
            <w:r>
              <w:rPr>
                <w:rFonts w:hint="eastAsia" w:hAnsi="宋体" w:cs="宋体"/>
                <w:color w:val="auto"/>
                <w:sz w:val="24"/>
                <w:lang w:bidi="ar"/>
              </w:rPr>
              <w:t>建立台账管理制度，企业须做好危险废物情况的记录，记录上需注明危险废物的名称、来源、数量、特性和包装容器的类别；</w:t>
            </w:r>
          </w:p>
          <w:p w14:paraId="570DE1FB">
            <w:pPr>
              <w:adjustRightInd w:val="0"/>
              <w:snapToGrid w:val="0"/>
              <w:spacing w:line="360" w:lineRule="auto"/>
              <w:ind w:firstLine="480" w:firstLineChars="200"/>
              <w:rPr>
                <w:color w:val="auto"/>
                <w:sz w:val="24"/>
              </w:rPr>
            </w:pPr>
            <w:r>
              <w:rPr>
                <w:color w:val="auto"/>
                <w:sz w:val="24"/>
                <w:lang w:bidi="ar"/>
              </w:rPr>
              <w:t>C.</w:t>
            </w:r>
            <w:r>
              <w:rPr>
                <w:rFonts w:hint="eastAsia" w:hAnsi="宋体" w:cs="宋体"/>
                <w:color w:val="auto"/>
                <w:sz w:val="24"/>
                <w:lang w:bidi="ar"/>
              </w:rPr>
              <w:t>委托处置应执行报批和转移联单等制度；</w:t>
            </w:r>
          </w:p>
          <w:p w14:paraId="37E2321D">
            <w:pPr>
              <w:adjustRightInd w:val="0"/>
              <w:snapToGrid w:val="0"/>
              <w:spacing w:line="360" w:lineRule="auto"/>
              <w:ind w:firstLine="480" w:firstLineChars="200"/>
              <w:rPr>
                <w:color w:val="auto"/>
                <w:sz w:val="24"/>
              </w:rPr>
            </w:pPr>
            <w:r>
              <w:rPr>
                <w:color w:val="auto"/>
                <w:sz w:val="24"/>
                <w:lang w:bidi="ar"/>
              </w:rPr>
              <w:t>D.</w:t>
            </w:r>
            <w:r>
              <w:rPr>
                <w:rFonts w:hint="eastAsia" w:hAnsi="宋体" w:cs="宋体"/>
                <w:color w:val="auto"/>
                <w:sz w:val="24"/>
                <w:lang w:bidi="ar"/>
              </w:rPr>
              <w:t>定期对暂存的危险废物包装容器及贮存设施进行检查，及早发现破损，及时采取措施清理更换；</w:t>
            </w:r>
          </w:p>
          <w:p w14:paraId="778EBB38">
            <w:pPr>
              <w:adjustRightInd w:val="0"/>
              <w:snapToGrid w:val="0"/>
              <w:spacing w:line="360" w:lineRule="auto"/>
              <w:ind w:firstLine="480" w:firstLineChars="200"/>
              <w:rPr>
                <w:rFonts w:hAnsi="宋体" w:cs="宋体"/>
                <w:color w:val="auto"/>
                <w:sz w:val="24"/>
                <w:lang w:bidi="ar"/>
              </w:rPr>
            </w:pPr>
            <w:r>
              <w:rPr>
                <w:color w:val="auto"/>
                <w:sz w:val="24"/>
                <w:lang w:bidi="ar"/>
              </w:rPr>
              <w:t>E.</w:t>
            </w:r>
            <w:r>
              <w:rPr>
                <w:rFonts w:hint="eastAsia" w:hAnsi="宋体" w:cs="宋体"/>
                <w:color w:val="auto"/>
                <w:sz w:val="24"/>
                <w:lang w:bidi="ar"/>
              </w:rPr>
              <w:t>直接从事收集、贮存、运输、利用、处置危险废物的人员，应当接受专业培训，经考核合格，方可从事该项工作。</w:t>
            </w:r>
          </w:p>
          <w:p w14:paraId="0D598B2B">
            <w:pPr>
              <w:adjustRightInd w:val="0"/>
              <w:snapToGrid w:val="0"/>
              <w:spacing w:line="360" w:lineRule="auto"/>
              <w:ind w:firstLine="480" w:firstLineChars="200"/>
              <w:rPr>
                <w:color w:val="auto"/>
              </w:rPr>
            </w:pPr>
            <w:r>
              <w:rPr>
                <w:color w:val="auto"/>
                <w:sz w:val="24"/>
                <w:lang w:bidi="ar"/>
              </w:rPr>
              <w:t>F.</w:t>
            </w:r>
            <w:r>
              <w:rPr>
                <w:rFonts w:hint="eastAsia" w:hAnsi="宋体"/>
                <w:color w:val="auto"/>
                <w:sz w:val="24"/>
                <w:lang w:bidi="ar"/>
              </w:rPr>
              <w:t>固废贮存（处置）场所规范化设置。贮存场所设置符合《环境保护图形标志</w:t>
            </w:r>
            <w:r>
              <w:rPr>
                <w:rFonts w:hint="eastAsia" w:hAnsi="宋体"/>
                <w:color w:val="auto"/>
                <w:sz w:val="24"/>
                <w:lang w:eastAsia="zh-CN" w:bidi="ar"/>
              </w:rPr>
              <w:t>－</w:t>
            </w:r>
            <w:r>
              <w:rPr>
                <w:rFonts w:hint="eastAsia" w:hAnsi="宋体"/>
                <w:color w:val="auto"/>
                <w:sz w:val="24"/>
                <w:lang w:bidi="ar"/>
              </w:rPr>
              <w:t>固体废物贮存（处置）场》（</w:t>
            </w:r>
            <w:r>
              <w:rPr>
                <w:color w:val="auto"/>
                <w:sz w:val="24"/>
                <w:lang w:bidi="ar"/>
              </w:rPr>
              <w:t>GB15562.2-1995</w:t>
            </w:r>
            <w:r>
              <w:rPr>
                <w:rFonts w:hint="eastAsia" w:hAnsi="宋体"/>
                <w:color w:val="auto"/>
                <w:sz w:val="24"/>
                <w:lang w:bidi="ar"/>
              </w:rPr>
              <w:t>）及省生态环境厅关于印发《江苏省固体废物全过程环境监管工作意见》的通知（苏环办</w:t>
            </w:r>
            <w:r>
              <w:rPr>
                <w:rFonts w:hint="eastAsia" w:hAnsi="宋体"/>
                <w:color w:val="auto"/>
                <w:sz w:val="24"/>
                <w:lang w:eastAsia="zh-CN" w:bidi="ar"/>
              </w:rPr>
              <w:t>〔2024〕16号</w:t>
            </w:r>
            <w:r>
              <w:rPr>
                <w:rFonts w:hint="eastAsia" w:hAnsi="宋体"/>
                <w:color w:val="auto"/>
                <w:sz w:val="24"/>
                <w:lang w:bidi="ar"/>
              </w:rPr>
              <w:t>）、《危险废物识别标志设置技术规范》（</w:t>
            </w:r>
            <w:r>
              <w:rPr>
                <w:color w:val="auto"/>
                <w:sz w:val="24"/>
                <w:lang w:bidi="ar"/>
              </w:rPr>
              <w:t>HJ1276-2022</w:t>
            </w:r>
            <w:r>
              <w:rPr>
                <w:rFonts w:hint="eastAsia" w:hAnsi="宋体"/>
                <w:color w:val="auto"/>
                <w:sz w:val="24"/>
                <w:lang w:bidi="ar"/>
              </w:rPr>
              <w:t>）的专用警示标识，且在危废暂存仓库内外安装监控视频。</w:t>
            </w:r>
          </w:p>
          <w:p w14:paraId="6DB58016">
            <w:pPr>
              <w:adjustRightInd w:val="0"/>
              <w:snapToGrid w:val="0"/>
              <w:ind w:firstLine="482" w:firstLineChars="200"/>
              <w:jc w:val="center"/>
              <w:rPr>
                <w:b/>
                <w:color w:val="auto"/>
                <w:sz w:val="24"/>
              </w:rPr>
            </w:pPr>
            <w:r>
              <w:rPr>
                <w:rFonts w:hint="eastAsia" w:hAnsi="宋体" w:cs="宋体"/>
                <w:b/>
                <w:color w:val="auto"/>
                <w:sz w:val="24"/>
                <w:lang w:bidi="ar"/>
              </w:rPr>
              <w:t>表</w:t>
            </w:r>
            <w:r>
              <w:rPr>
                <w:b/>
                <w:color w:val="auto"/>
                <w:sz w:val="24"/>
                <w:lang w:bidi="ar"/>
              </w:rPr>
              <w:t>4-</w:t>
            </w:r>
            <w:r>
              <w:rPr>
                <w:rFonts w:hint="eastAsia"/>
                <w:b/>
                <w:color w:val="auto"/>
                <w:sz w:val="24"/>
                <w:lang w:bidi="ar"/>
              </w:rPr>
              <w:t>2</w:t>
            </w:r>
            <w:r>
              <w:rPr>
                <w:rFonts w:hint="eastAsia"/>
                <w:b/>
                <w:color w:val="auto"/>
                <w:sz w:val="24"/>
                <w:lang w:val="en-US" w:eastAsia="zh-CN" w:bidi="ar"/>
              </w:rPr>
              <w:t>3</w:t>
            </w:r>
            <w:r>
              <w:rPr>
                <w:rFonts w:hint="eastAsia" w:hAnsi="宋体" w:cs="宋体"/>
                <w:b/>
                <w:color w:val="auto"/>
                <w:sz w:val="24"/>
                <w:lang w:bidi="ar"/>
              </w:rPr>
              <w:t>与苏环办</w:t>
            </w:r>
            <w:r>
              <w:rPr>
                <w:rFonts w:hint="eastAsia" w:hAnsi="宋体" w:cs="宋体"/>
                <w:b/>
                <w:color w:val="auto"/>
                <w:sz w:val="24"/>
                <w:lang w:eastAsia="zh-CN" w:bidi="ar"/>
              </w:rPr>
              <w:t>〔2024〕16号</w:t>
            </w:r>
            <w:r>
              <w:rPr>
                <w:rFonts w:hint="eastAsia" w:hAnsi="宋体" w:cs="宋体"/>
                <w:b/>
                <w:color w:val="auto"/>
                <w:sz w:val="24"/>
                <w:lang w:bidi="ar"/>
              </w:rPr>
              <w:t>符合性分析</w:t>
            </w:r>
          </w:p>
          <w:tbl>
            <w:tblPr>
              <w:tblStyle w:val="8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0" w:type="dxa"/>
                <w:bottom w:w="0" w:type="dxa"/>
                <w:right w:w="0" w:type="dxa"/>
              </w:tblCellMar>
            </w:tblPr>
            <w:tblGrid>
              <w:gridCol w:w="284"/>
              <w:gridCol w:w="5344"/>
              <w:gridCol w:w="2281"/>
              <w:gridCol w:w="550"/>
            </w:tblGrid>
            <w:tr w14:paraId="5F2FC24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8" w:type="pct"/>
                  <w:tcBorders>
                    <w:top w:val="single" w:color="auto" w:sz="12" w:space="0"/>
                    <w:left w:val="nil"/>
                    <w:bottom w:val="single" w:color="auto" w:sz="4" w:space="0"/>
                    <w:right w:val="single" w:color="auto" w:sz="4" w:space="0"/>
                  </w:tcBorders>
                  <w:shd w:val="clear" w:color="auto" w:fill="auto"/>
                  <w:vAlign w:val="center"/>
                </w:tcPr>
                <w:p w14:paraId="36A7B14C">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auto"/>
                      <w:szCs w:val="21"/>
                    </w:rPr>
                  </w:pPr>
                  <w:r>
                    <w:rPr>
                      <w:rFonts w:hint="eastAsia" w:hAnsi="宋体" w:cs="宋体"/>
                      <w:b/>
                      <w:color w:val="auto"/>
                      <w:szCs w:val="21"/>
                      <w:lang w:bidi="ar"/>
                    </w:rPr>
                    <w:t>序号</w:t>
                  </w:r>
                </w:p>
              </w:tc>
              <w:tc>
                <w:tcPr>
                  <w:tcW w:w="3157" w:type="pct"/>
                  <w:tcBorders>
                    <w:top w:val="single" w:color="auto" w:sz="12" w:space="0"/>
                    <w:left w:val="single" w:color="auto" w:sz="4" w:space="0"/>
                    <w:bottom w:val="single" w:color="auto" w:sz="4" w:space="0"/>
                    <w:right w:val="single" w:color="auto" w:sz="4" w:space="0"/>
                  </w:tcBorders>
                  <w:shd w:val="clear" w:color="auto" w:fill="auto"/>
                  <w:vAlign w:val="center"/>
                </w:tcPr>
                <w:p w14:paraId="7426C0AC">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auto"/>
                      <w:szCs w:val="21"/>
                    </w:rPr>
                  </w:pPr>
                  <w:r>
                    <w:rPr>
                      <w:rFonts w:hint="eastAsia" w:hAnsi="宋体" w:cs="宋体"/>
                      <w:b/>
                      <w:color w:val="auto"/>
                      <w:szCs w:val="21"/>
                      <w:lang w:bidi="ar"/>
                    </w:rPr>
                    <w:t>文件内容</w:t>
                  </w:r>
                </w:p>
              </w:tc>
              <w:tc>
                <w:tcPr>
                  <w:tcW w:w="1347" w:type="pct"/>
                  <w:tcBorders>
                    <w:top w:val="single" w:color="auto" w:sz="12" w:space="0"/>
                    <w:left w:val="single" w:color="auto" w:sz="4" w:space="0"/>
                    <w:bottom w:val="single" w:color="auto" w:sz="4" w:space="0"/>
                    <w:right w:val="single" w:color="auto" w:sz="4" w:space="0"/>
                  </w:tcBorders>
                  <w:shd w:val="clear" w:color="auto" w:fill="auto"/>
                  <w:vAlign w:val="center"/>
                </w:tcPr>
                <w:p w14:paraId="7D9CE649">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auto"/>
                      <w:szCs w:val="21"/>
                    </w:rPr>
                  </w:pPr>
                  <w:r>
                    <w:rPr>
                      <w:rFonts w:hint="eastAsia" w:hAnsi="宋体" w:cs="宋体"/>
                      <w:b/>
                      <w:color w:val="auto"/>
                      <w:szCs w:val="21"/>
                      <w:lang w:bidi="ar"/>
                    </w:rPr>
                    <w:t>项目情况</w:t>
                  </w:r>
                </w:p>
              </w:tc>
              <w:tc>
                <w:tcPr>
                  <w:tcW w:w="325" w:type="pct"/>
                  <w:tcBorders>
                    <w:top w:val="single" w:color="auto" w:sz="12" w:space="0"/>
                    <w:left w:val="single" w:color="auto" w:sz="4" w:space="0"/>
                    <w:bottom w:val="single" w:color="auto" w:sz="4" w:space="0"/>
                    <w:right w:val="nil"/>
                  </w:tcBorders>
                  <w:shd w:val="clear" w:color="auto" w:fill="auto"/>
                  <w:vAlign w:val="center"/>
                </w:tcPr>
                <w:p w14:paraId="1C17669B">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auto"/>
                      <w:szCs w:val="21"/>
                    </w:rPr>
                  </w:pPr>
                  <w:r>
                    <w:rPr>
                      <w:rFonts w:hint="eastAsia" w:hAnsi="宋体" w:cs="宋体"/>
                      <w:b/>
                      <w:color w:val="auto"/>
                      <w:szCs w:val="21"/>
                      <w:lang w:bidi="ar"/>
                    </w:rPr>
                    <w:t>符合情况</w:t>
                  </w:r>
                </w:p>
              </w:tc>
            </w:tr>
            <w:tr w14:paraId="6A893F6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168" w:type="pct"/>
                  <w:tcBorders>
                    <w:top w:val="single" w:color="auto" w:sz="4" w:space="0"/>
                    <w:left w:val="nil"/>
                    <w:bottom w:val="single" w:color="auto" w:sz="4" w:space="0"/>
                    <w:right w:val="single" w:color="auto" w:sz="4" w:space="0"/>
                  </w:tcBorders>
                  <w:shd w:val="clear" w:color="auto" w:fill="auto"/>
                  <w:vAlign w:val="center"/>
                </w:tcPr>
                <w:p w14:paraId="56D88FC9">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lang w:bidi="ar"/>
                    </w:rPr>
                    <w:t>1</w:t>
                  </w:r>
                </w:p>
              </w:tc>
              <w:tc>
                <w:tcPr>
                  <w:tcW w:w="3157" w:type="pct"/>
                  <w:tcBorders>
                    <w:top w:val="single" w:color="auto" w:sz="4" w:space="0"/>
                    <w:left w:val="single" w:color="auto" w:sz="4" w:space="0"/>
                    <w:bottom w:val="single" w:color="auto" w:sz="4" w:space="0"/>
                    <w:right w:val="single" w:color="auto" w:sz="4" w:space="0"/>
                  </w:tcBorders>
                  <w:shd w:val="clear" w:color="auto" w:fill="auto"/>
                  <w:vAlign w:val="center"/>
                </w:tcPr>
                <w:p w14:paraId="3FE594EB">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b/>
                      <w:color w:val="auto"/>
                      <w:szCs w:val="21"/>
                      <w:lang w:bidi="ar"/>
                    </w:rPr>
                    <w:t>2.</w:t>
                  </w:r>
                  <w:r>
                    <w:rPr>
                      <w:rFonts w:hint="eastAsia" w:cs="宋体"/>
                      <w:b/>
                      <w:color w:val="auto"/>
                      <w:szCs w:val="21"/>
                      <w:lang w:bidi="ar"/>
                    </w:rPr>
                    <w:t>规范项目环评审批。</w:t>
                  </w:r>
                  <w:r>
                    <w:rPr>
                      <w:rFonts w:hint="eastAsia" w:cs="宋体"/>
                      <w:color w:val="auto"/>
                      <w:szCs w:val="21"/>
                      <w:lang w:bidi="ar"/>
                    </w:rPr>
                    <w:t>建设项目环评要评价产生的固体废物种类、数量、来源和属性，论述贮存、转移和利用处置方式合规性、合理性，提出切实可行的污染防治对策措施。所有产物要按照以下五类属性给予明确并规范表述：目标产物（产品、副产品）鉴别属于产品（符合国家、地方或行业标准）、可定向用于特定用途按产品管理（如符合团体标准）、一般固体废物和危险废物。不得将不符合</w:t>
                  </w:r>
                  <w:r>
                    <w:rPr>
                      <w:color w:val="auto"/>
                      <w:szCs w:val="21"/>
                      <w:lang w:bidi="ar"/>
                    </w:rPr>
                    <w:t>GB34330</w:t>
                  </w:r>
                  <w:r>
                    <w:rPr>
                      <w:rFonts w:hint="eastAsia" w:cs="宋体"/>
                      <w:color w:val="auto"/>
                      <w:szCs w:val="21"/>
                      <w:lang w:bidi="ar"/>
                    </w:rPr>
                    <w:t>、</w:t>
                  </w:r>
                  <w:r>
                    <w:rPr>
                      <w:color w:val="auto"/>
                      <w:szCs w:val="21"/>
                      <w:lang w:bidi="ar"/>
                    </w:rPr>
                    <w:t>HJ1091</w:t>
                  </w:r>
                  <w:r>
                    <w:rPr>
                      <w:rFonts w:hint="eastAsia" w:cs="宋体"/>
                      <w:color w:val="auto"/>
                      <w:szCs w:val="21"/>
                      <w:lang w:bidi="ar"/>
                    </w:rPr>
                    <w:t>等标准的产物认定为“再生产品”，不得出现“中间产物”“再生产物”等不规范表述，严禁以“副产品”名义逃避监管。不能排除危险特性的固体废物，须在环评文件中明确具体鉴别方案，鉴别前按危险废物管理，鉴别后根据结论按一般固废或危险废物管理。危险废物经营单位项目环评审批要点要与危险废物经营许可审查要求衔接一致。</w:t>
                  </w:r>
                </w:p>
              </w:tc>
              <w:tc>
                <w:tcPr>
                  <w:tcW w:w="1347" w:type="pct"/>
                  <w:tcBorders>
                    <w:top w:val="single" w:color="auto" w:sz="4" w:space="0"/>
                    <w:left w:val="single" w:color="auto" w:sz="4" w:space="0"/>
                    <w:bottom w:val="single" w:color="auto" w:sz="4" w:space="0"/>
                    <w:right w:val="single" w:color="auto" w:sz="4" w:space="0"/>
                  </w:tcBorders>
                  <w:shd w:val="clear" w:color="auto" w:fill="auto"/>
                  <w:vAlign w:val="center"/>
                </w:tcPr>
                <w:p w14:paraId="48CED9E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hAnsi="宋体" w:cs="宋体"/>
                      <w:color w:val="auto"/>
                      <w:szCs w:val="21"/>
                      <w:lang w:bidi="ar"/>
                    </w:rPr>
                    <w:t>本次评价已按照《固体废物鉴别标准通则》（</w:t>
                  </w:r>
                  <w:r>
                    <w:rPr>
                      <w:rFonts w:hAnsi="宋体"/>
                      <w:color w:val="auto"/>
                      <w:szCs w:val="21"/>
                      <w:lang w:bidi="ar"/>
                    </w:rPr>
                    <w:t>GB34330-2017</w:t>
                  </w:r>
                  <w:r>
                    <w:rPr>
                      <w:rFonts w:hint="eastAsia" w:hAnsi="宋体" w:cs="宋体"/>
                      <w:color w:val="auto"/>
                      <w:szCs w:val="21"/>
                      <w:lang w:bidi="ar"/>
                    </w:rPr>
                    <w:t>）、《国家危险废物名录（2025年版）</w:t>
                  </w:r>
                  <w:r>
                    <w:rPr>
                      <w:rFonts w:hint="eastAsia" w:hAnsi="宋体" w:cs="宋体"/>
                      <w:color w:val="auto"/>
                      <w:szCs w:val="21"/>
                      <w:lang w:eastAsia="zh-CN" w:bidi="ar"/>
                    </w:rPr>
                    <w:t>》《</w:t>
                  </w:r>
                  <w:r>
                    <w:rPr>
                      <w:rFonts w:hint="eastAsia" w:hAnsi="宋体" w:cs="宋体"/>
                      <w:color w:val="auto"/>
                      <w:szCs w:val="21"/>
                      <w:lang w:bidi="ar"/>
                    </w:rPr>
                    <w:t>危险废物鉴别标准通则》（</w:t>
                  </w:r>
                  <w:r>
                    <w:rPr>
                      <w:rFonts w:hAnsi="宋体"/>
                      <w:color w:val="auto"/>
                      <w:szCs w:val="21"/>
                      <w:lang w:bidi="ar"/>
                    </w:rPr>
                    <w:t>GB5085.7-2019</w:t>
                  </w:r>
                  <w:r>
                    <w:rPr>
                      <w:rFonts w:hint="eastAsia" w:hAnsi="宋体" w:cs="宋体"/>
                      <w:color w:val="auto"/>
                      <w:szCs w:val="21"/>
                      <w:lang w:bidi="ar"/>
                    </w:rPr>
                    <w:t>）等文件对固体废物进行判别，并明确了固废的种类、数量、来源和属性，本项目危险废物暂存于危废仓库，定期委托有资质单位安全处置；一般固废暂存于一般固废仓库，定期外售综合利用或厂家回收。</w:t>
                  </w:r>
                </w:p>
              </w:tc>
              <w:tc>
                <w:tcPr>
                  <w:tcW w:w="325" w:type="pct"/>
                  <w:tcBorders>
                    <w:top w:val="single" w:color="auto" w:sz="4" w:space="0"/>
                    <w:left w:val="single" w:color="auto" w:sz="4" w:space="0"/>
                    <w:bottom w:val="single" w:color="auto" w:sz="4" w:space="0"/>
                    <w:right w:val="nil"/>
                  </w:tcBorders>
                  <w:shd w:val="clear" w:color="auto" w:fill="auto"/>
                  <w:vAlign w:val="center"/>
                </w:tcPr>
                <w:p w14:paraId="23168A1D">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hAnsi="宋体" w:cs="宋体"/>
                      <w:color w:val="auto"/>
                      <w:szCs w:val="21"/>
                      <w:lang w:bidi="ar"/>
                    </w:rPr>
                    <w:t>符合</w:t>
                  </w:r>
                </w:p>
              </w:tc>
            </w:tr>
            <w:tr w14:paraId="0BFF645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168" w:type="pct"/>
                  <w:tcBorders>
                    <w:top w:val="single" w:color="auto" w:sz="4" w:space="0"/>
                    <w:left w:val="nil"/>
                    <w:bottom w:val="single" w:color="auto" w:sz="4" w:space="0"/>
                    <w:right w:val="single" w:color="auto" w:sz="4" w:space="0"/>
                  </w:tcBorders>
                  <w:shd w:val="clear" w:color="auto" w:fill="auto"/>
                  <w:vAlign w:val="center"/>
                </w:tcPr>
                <w:p w14:paraId="5E7D3AA7">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lang w:bidi="ar"/>
                    </w:rPr>
                    <w:t>2</w:t>
                  </w:r>
                </w:p>
              </w:tc>
              <w:tc>
                <w:tcPr>
                  <w:tcW w:w="3157" w:type="pct"/>
                  <w:tcBorders>
                    <w:top w:val="single" w:color="auto" w:sz="4" w:space="0"/>
                    <w:left w:val="single" w:color="auto" w:sz="4" w:space="0"/>
                    <w:bottom w:val="single" w:color="auto" w:sz="4" w:space="0"/>
                    <w:right w:val="single" w:color="auto" w:sz="4" w:space="0"/>
                  </w:tcBorders>
                  <w:shd w:val="clear" w:color="auto" w:fill="auto"/>
                  <w:vAlign w:val="center"/>
                </w:tcPr>
                <w:p w14:paraId="2EED8FA8">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lang w:bidi="ar"/>
                    </w:rPr>
                    <w:t>3.</w:t>
                  </w:r>
                  <w:r>
                    <w:rPr>
                      <w:rFonts w:hint="eastAsia" w:cs="宋体"/>
                      <w:b/>
                      <w:color w:val="auto"/>
                      <w:szCs w:val="21"/>
                      <w:lang w:bidi="ar"/>
                    </w:rPr>
                    <w:t>落实排污许可制度。</w:t>
                  </w:r>
                  <w:r>
                    <w:rPr>
                      <w:rFonts w:hint="eastAsia" w:cs="宋体"/>
                      <w:color w:val="auto"/>
                      <w:szCs w:val="21"/>
                      <w:lang w:bidi="ar"/>
                    </w:rPr>
                    <w:t>企业要在排污许可管理系统中全面、准确申报工业固体废物产生种类，以及贮存设施和利用处置等相关情况，并对其真实性负责。实际产生、转移、贮存和利用处置情况对照项目环评发生变动的，要根据变动情况及时采取重新报批环评、纳入环境保护竣工验收等手续，并及时变更排污许可。</w:t>
                  </w:r>
                </w:p>
              </w:tc>
              <w:tc>
                <w:tcPr>
                  <w:tcW w:w="1347" w:type="pct"/>
                  <w:tcBorders>
                    <w:top w:val="single" w:color="auto" w:sz="4" w:space="0"/>
                    <w:left w:val="single" w:color="auto" w:sz="4" w:space="0"/>
                    <w:bottom w:val="single" w:color="auto" w:sz="4" w:space="0"/>
                    <w:right w:val="single" w:color="auto" w:sz="4" w:space="0"/>
                  </w:tcBorders>
                  <w:shd w:val="clear" w:color="auto" w:fill="auto"/>
                  <w:vAlign w:val="center"/>
                </w:tcPr>
                <w:p w14:paraId="44F61D51">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Ansi="宋体"/>
                      <w:color w:val="auto"/>
                      <w:szCs w:val="21"/>
                    </w:rPr>
                  </w:pPr>
                  <w:r>
                    <w:rPr>
                      <w:rFonts w:hint="eastAsia" w:hAnsi="宋体" w:cs="宋体"/>
                      <w:color w:val="auto"/>
                      <w:szCs w:val="21"/>
                      <w:lang w:bidi="ar"/>
                    </w:rPr>
                    <w:t>本项目拟按规范执行</w:t>
                  </w:r>
                </w:p>
              </w:tc>
              <w:tc>
                <w:tcPr>
                  <w:tcW w:w="325" w:type="pct"/>
                  <w:tcBorders>
                    <w:top w:val="single" w:color="auto" w:sz="4" w:space="0"/>
                    <w:left w:val="single" w:color="auto" w:sz="4" w:space="0"/>
                    <w:bottom w:val="single" w:color="auto" w:sz="4" w:space="0"/>
                    <w:right w:val="nil"/>
                  </w:tcBorders>
                  <w:shd w:val="clear" w:color="auto" w:fill="auto"/>
                  <w:vAlign w:val="center"/>
                </w:tcPr>
                <w:p w14:paraId="512A68C0">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Ansi="宋体"/>
                      <w:color w:val="auto"/>
                      <w:szCs w:val="21"/>
                    </w:rPr>
                  </w:pPr>
                  <w:r>
                    <w:rPr>
                      <w:rFonts w:hint="eastAsia" w:hAnsi="宋体" w:cs="宋体"/>
                      <w:color w:val="auto"/>
                      <w:szCs w:val="21"/>
                      <w:lang w:bidi="ar"/>
                    </w:rPr>
                    <w:t>符合</w:t>
                  </w:r>
                </w:p>
              </w:tc>
            </w:tr>
            <w:tr w14:paraId="56AEBDB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168" w:type="pct"/>
                  <w:tcBorders>
                    <w:top w:val="single" w:color="auto" w:sz="4" w:space="0"/>
                    <w:left w:val="nil"/>
                    <w:bottom w:val="single" w:color="auto" w:sz="4" w:space="0"/>
                    <w:right w:val="single" w:color="auto" w:sz="4" w:space="0"/>
                  </w:tcBorders>
                  <w:shd w:val="clear" w:color="auto" w:fill="auto"/>
                  <w:vAlign w:val="center"/>
                </w:tcPr>
                <w:p w14:paraId="645794B2">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lang w:bidi="ar"/>
                    </w:rPr>
                    <w:t>3</w:t>
                  </w:r>
                </w:p>
              </w:tc>
              <w:tc>
                <w:tcPr>
                  <w:tcW w:w="3157" w:type="pct"/>
                  <w:tcBorders>
                    <w:top w:val="single" w:color="auto" w:sz="4" w:space="0"/>
                    <w:left w:val="single" w:color="auto" w:sz="4" w:space="0"/>
                    <w:bottom w:val="single" w:color="auto" w:sz="4" w:space="0"/>
                    <w:right w:val="single" w:color="auto" w:sz="4" w:space="0"/>
                  </w:tcBorders>
                  <w:shd w:val="clear" w:color="auto" w:fill="auto"/>
                  <w:vAlign w:val="center"/>
                </w:tcPr>
                <w:p w14:paraId="4A328677">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lang w:bidi="ar"/>
                    </w:rPr>
                    <w:t>6.</w:t>
                  </w:r>
                  <w:r>
                    <w:rPr>
                      <w:rFonts w:hint="eastAsia" w:cs="宋体"/>
                      <w:b/>
                      <w:color w:val="auto"/>
                      <w:szCs w:val="21"/>
                      <w:lang w:bidi="ar"/>
                    </w:rPr>
                    <w:t>规范贮存管理要求。</w:t>
                  </w:r>
                  <w:r>
                    <w:rPr>
                      <w:rFonts w:hint="eastAsia" w:cs="宋体"/>
                      <w:color w:val="auto"/>
                      <w:szCs w:val="21"/>
                      <w:lang w:bidi="ar"/>
                    </w:rPr>
                    <w:t>根据《危险废物贮存</w:t>
                  </w:r>
                  <w:r>
                    <w:rPr>
                      <w:rFonts w:hint="eastAsia" w:cs="宋体"/>
                      <w:color w:val="auto"/>
                      <w:szCs w:val="21"/>
                      <w:lang w:eastAsia="zh-CN" w:bidi="ar"/>
                    </w:rPr>
                    <w:t>污染</w:t>
                  </w:r>
                  <w:r>
                    <w:rPr>
                      <w:rFonts w:hint="eastAsia" w:cs="宋体"/>
                      <w:color w:val="auto"/>
                      <w:szCs w:val="21"/>
                      <w:lang w:bidi="ar"/>
                    </w:rPr>
                    <w:t>控制标准》</w:t>
                  </w:r>
                  <w:r>
                    <w:rPr>
                      <w:color w:val="auto"/>
                      <w:szCs w:val="21"/>
                      <w:lang w:bidi="ar"/>
                    </w:rPr>
                    <w:t>(GB 18597-2023)</w:t>
                  </w:r>
                  <w:r>
                    <w:rPr>
                      <w:rFonts w:hint="eastAsia" w:cs="宋体"/>
                      <w:color w:val="auto"/>
                      <w:szCs w:val="21"/>
                      <w:lang w:bidi="ar"/>
                    </w:rPr>
                    <w:t>，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w:t>
                  </w:r>
                  <w:r>
                    <w:rPr>
                      <w:rFonts w:hint="eastAsia" w:cs="宋体"/>
                      <w:color w:val="auto"/>
                      <w:szCs w:val="21"/>
                      <w:lang w:eastAsia="zh-CN" w:bidi="ar"/>
                    </w:rPr>
                    <w:t>（</w:t>
                  </w:r>
                  <w:r>
                    <w:rPr>
                      <w:rFonts w:hint="eastAsia" w:cs="宋体"/>
                      <w:color w:val="auto"/>
                      <w:szCs w:val="21"/>
                      <w:lang w:bidi="ar"/>
                    </w:rPr>
                    <w:t>试行</w:t>
                  </w:r>
                  <w:r>
                    <w:rPr>
                      <w:rFonts w:hint="eastAsia" w:cs="宋体"/>
                      <w:color w:val="auto"/>
                      <w:szCs w:val="21"/>
                      <w:lang w:eastAsia="zh-CN" w:bidi="ar"/>
                    </w:rPr>
                    <w:t>）</w:t>
                  </w:r>
                  <w:r>
                    <w:rPr>
                      <w:rFonts w:hint="eastAsia" w:cs="宋体"/>
                      <w:color w:val="auto"/>
                      <w:szCs w:val="21"/>
                      <w:lang w:bidi="ar"/>
                    </w:rPr>
                    <w:t>》</w:t>
                  </w:r>
                  <w:r>
                    <w:rPr>
                      <w:rFonts w:hint="eastAsia" w:cs="宋体"/>
                      <w:color w:val="auto"/>
                      <w:szCs w:val="21"/>
                      <w:lang w:eastAsia="zh-CN" w:bidi="ar"/>
                    </w:rPr>
                    <w:t>（</w:t>
                  </w:r>
                  <w:r>
                    <w:rPr>
                      <w:rFonts w:hint="eastAsia" w:cs="宋体"/>
                      <w:color w:val="auto"/>
                      <w:szCs w:val="21"/>
                      <w:lang w:bidi="ar"/>
                    </w:rPr>
                    <w:t>苏环办</w:t>
                  </w:r>
                  <w:r>
                    <w:rPr>
                      <w:rFonts w:hint="eastAsia" w:cs="宋体"/>
                      <w:color w:val="auto"/>
                      <w:szCs w:val="21"/>
                      <w:lang w:eastAsia="zh-CN" w:bidi="ar"/>
                    </w:rPr>
                    <w:t>〔2021〕290号）</w:t>
                  </w:r>
                  <w:r>
                    <w:rPr>
                      <w:rFonts w:hint="eastAsia" w:cs="宋体"/>
                      <w:color w:val="auto"/>
                      <w:szCs w:val="21"/>
                      <w:lang w:bidi="ar"/>
                    </w:rPr>
                    <w:t>中关于贮存周期和贮存量的要求，</w:t>
                  </w:r>
                  <w:r>
                    <w:rPr>
                      <w:color w:val="auto"/>
                      <w:szCs w:val="21"/>
                      <w:lang w:bidi="ar"/>
                    </w:rPr>
                    <w:t>I</w:t>
                  </w:r>
                  <w:r>
                    <w:rPr>
                      <w:rFonts w:hint="eastAsia" w:cs="宋体"/>
                      <w:color w:val="auto"/>
                      <w:szCs w:val="21"/>
                      <w:lang w:bidi="ar"/>
                    </w:rPr>
                    <w:t>级、Ⅱ级、</w:t>
                  </w:r>
                  <w:r>
                    <w:rPr>
                      <w:rFonts w:hint="eastAsia" w:cs="宋体"/>
                      <w:color w:val="auto"/>
                      <w:szCs w:val="21"/>
                      <w:lang w:eastAsia="zh-CN" w:bidi="ar"/>
                    </w:rPr>
                    <w:t>Ⅲ</w:t>
                  </w:r>
                  <w:r>
                    <w:rPr>
                      <w:rFonts w:hint="eastAsia" w:cs="宋体"/>
                      <w:color w:val="auto"/>
                      <w:szCs w:val="21"/>
                      <w:lang w:bidi="ar"/>
                    </w:rPr>
                    <w:t>级危险废物贮存时间分别不得超过</w:t>
                  </w:r>
                  <w:r>
                    <w:rPr>
                      <w:color w:val="auto"/>
                      <w:szCs w:val="21"/>
                      <w:lang w:bidi="ar"/>
                    </w:rPr>
                    <w:t>30</w:t>
                  </w:r>
                  <w:r>
                    <w:rPr>
                      <w:rFonts w:hint="eastAsia" w:cs="宋体"/>
                      <w:color w:val="auto"/>
                      <w:szCs w:val="21"/>
                      <w:lang w:bidi="ar"/>
                    </w:rPr>
                    <w:t>天、</w:t>
                  </w:r>
                  <w:r>
                    <w:rPr>
                      <w:color w:val="auto"/>
                      <w:szCs w:val="21"/>
                      <w:lang w:bidi="ar"/>
                    </w:rPr>
                    <w:t>60</w:t>
                  </w:r>
                  <w:r>
                    <w:rPr>
                      <w:rFonts w:hint="eastAsia" w:cs="宋体"/>
                      <w:color w:val="auto"/>
                      <w:szCs w:val="21"/>
                      <w:lang w:bidi="ar"/>
                    </w:rPr>
                    <w:t>天、</w:t>
                  </w:r>
                  <w:r>
                    <w:rPr>
                      <w:color w:val="auto"/>
                      <w:szCs w:val="21"/>
                      <w:lang w:bidi="ar"/>
                    </w:rPr>
                    <w:t>90</w:t>
                  </w:r>
                  <w:r>
                    <w:rPr>
                      <w:rFonts w:hint="eastAsia" w:cs="宋体"/>
                      <w:color w:val="auto"/>
                      <w:szCs w:val="21"/>
                      <w:lang w:bidi="ar"/>
                    </w:rPr>
                    <w:t>天，最大贮存量不得超过</w:t>
                  </w:r>
                  <w:r>
                    <w:rPr>
                      <w:color w:val="auto"/>
                      <w:szCs w:val="21"/>
                      <w:lang w:bidi="ar"/>
                    </w:rPr>
                    <w:t>1</w:t>
                  </w:r>
                  <w:r>
                    <w:rPr>
                      <w:rFonts w:hint="eastAsia" w:cs="宋体"/>
                      <w:color w:val="auto"/>
                      <w:szCs w:val="21"/>
                      <w:lang w:bidi="ar"/>
                    </w:rPr>
                    <w:t>吨。</w:t>
                  </w:r>
                </w:p>
              </w:tc>
              <w:tc>
                <w:tcPr>
                  <w:tcW w:w="1347" w:type="pct"/>
                  <w:tcBorders>
                    <w:top w:val="single" w:color="auto" w:sz="4" w:space="0"/>
                    <w:left w:val="single" w:color="auto" w:sz="4" w:space="0"/>
                    <w:bottom w:val="single" w:color="auto" w:sz="4" w:space="0"/>
                    <w:right w:val="single" w:color="auto" w:sz="4" w:space="0"/>
                  </w:tcBorders>
                  <w:shd w:val="clear" w:color="auto" w:fill="auto"/>
                  <w:vAlign w:val="center"/>
                </w:tcPr>
                <w:p w14:paraId="0F3FC485">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Ansi="宋体"/>
                      <w:color w:val="auto"/>
                      <w:szCs w:val="21"/>
                    </w:rPr>
                  </w:pPr>
                  <w:r>
                    <w:rPr>
                      <w:rFonts w:hint="eastAsia" w:hAnsi="宋体" w:cs="宋体"/>
                      <w:color w:val="auto"/>
                      <w:szCs w:val="21"/>
                      <w:lang w:bidi="ar"/>
                    </w:rPr>
                    <w:t>本项目拟按照《危险废物贮存污染控制标准》（</w:t>
                  </w:r>
                  <w:r>
                    <w:rPr>
                      <w:rFonts w:hAnsi="宋体"/>
                      <w:color w:val="auto"/>
                      <w:szCs w:val="21"/>
                      <w:lang w:bidi="ar"/>
                    </w:rPr>
                    <w:t>GB18597-2023</w:t>
                  </w:r>
                  <w:r>
                    <w:rPr>
                      <w:rFonts w:hint="eastAsia" w:hAnsi="宋体" w:cs="宋体"/>
                      <w:color w:val="auto"/>
                      <w:szCs w:val="21"/>
                      <w:lang w:bidi="ar"/>
                    </w:rPr>
                    <w:t>）要求设置危废仓库，按照</w:t>
                  </w:r>
                  <w:r>
                    <w:rPr>
                      <w:rFonts w:hint="eastAsia" w:cs="宋体"/>
                      <w:color w:val="auto"/>
                      <w:szCs w:val="21"/>
                      <w:lang w:bidi="ar"/>
                    </w:rPr>
                    <w:t>《江苏省危险废物集中收集体系建设工作方案</w:t>
                  </w:r>
                  <w:r>
                    <w:rPr>
                      <w:rFonts w:hint="eastAsia" w:cs="宋体"/>
                      <w:color w:val="auto"/>
                      <w:szCs w:val="21"/>
                      <w:lang w:eastAsia="zh-CN" w:bidi="ar"/>
                    </w:rPr>
                    <w:t>（</w:t>
                  </w:r>
                  <w:r>
                    <w:rPr>
                      <w:rFonts w:hint="eastAsia" w:cs="宋体"/>
                      <w:color w:val="auto"/>
                      <w:szCs w:val="21"/>
                      <w:lang w:bidi="ar"/>
                    </w:rPr>
                    <w:t>试行</w:t>
                  </w:r>
                  <w:r>
                    <w:rPr>
                      <w:rFonts w:hint="eastAsia" w:cs="宋体"/>
                      <w:color w:val="auto"/>
                      <w:szCs w:val="21"/>
                      <w:lang w:eastAsia="zh-CN" w:bidi="ar"/>
                    </w:rPr>
                    <w:t>）</w:t>
                  </w:r>
                  <w:r>
                    <w:rPr>
                      <w:rFonts w:hint="eastAsia" w:cs="宋体"/>
                      <w:color w:val="auto"/>
                      <w:szCs w:val="21"/>
                      <w:lang w:bidi="ar"/>
                    </w:rPr>
                    <w:t>》</w:t>
                  </w:r>
                  <w:r>
                    <w:rPr>
                      <w:rFonts w:hint="eastAsia" w:cs="宋体"/>
                      <w:color w:val="auto"/>
                      <w:szCs w:val="21"/>
                      <w:lang w:eastAsia="zh-CN" w:bidi="ar"/>
                    </w:rPr>
                    <w:t>（</w:t>
                  </w:r>
                  <w:r>
                    <w:rPr>
                      <w:rFonts w:hint="eastAsia" w:cs="宋体"/>
                      <w:color w:val="auto"/>
                      <w:szCs w:val="21"/>
                      <w:lang w:bidi="ar"/>
                    </w:rPr>
                    <w:t>苏环办</w:t>
                  </w:r>
                  <w:r>
                    <w:rPr>
                      <w:rFonts w:hint="eastAsia" w:cs="宋体"/>
                      <w:color w:val="auto"/>
                      <w:szCs w:val="21"/>
                      <w:lang w:eastAsia="zh-CN" w:bidi="ar"/>
                    </w:rPr>
                    <w:t>〔2021〕290号）</w:t>
                  </w:r>
                  <w:r>
                    <w:rPr>
                      <w:rFonts w:hint="eastAsia" w:cs="宋体"/>
                      <w:color w:val="auto"/>
                      <w:szCs w:val="21"/>
                      <w:lang w:bidi="ar"/>
                    </w:rPr>
                    <w:t>要求暂存</w:t>
                  </w:r>
                  <w:r>
                    <w:rPr>
                      <w:rFonts w:hint="eastAsia" w:hAnsi="宋体" w:cs="宋体"/>
                      <w:color w:val="auto"/>
                      <w:szCs w:val="21"/>
                      <w:lang w:bidi="ar"/>
                    </w:rPr>
                    <w:t>危险废物，危险废物贮存周期不超过</w:t>
                  </w:r>
                  <w:r>
                    <w:rPr>
                      <w:rFonts w:hAnsi="宋体"/>
                      <w:color w:val="auto"/>
                      <w:szCs w:val="21"/>
                      <w:lang w:bidi="ar"/>
                    </w:rPr>
                    <w:t>1</w:t>
                  </w:r>
                  <w:r>
                    <w:rPr>
                      <w:rFonts w:hint="eastAsia" w:hAnsi="宋体" w:cs="宋体"/>
                      <w:color w:val="auto"/>
                      <w:szCs w:val="21"/>
                      <w:lang w:bidi="ar"/>
                    </w:rPr>
                    <w:t>年</w:t>
                  </w:r>
                </w:p>
              </w:tc>
              <w:tc>
                <w:tcPr>
                  <w:tcW w:w="325" w:type="pct"/>
                  <w:tcBorders>
                    <w:top w:val="single" w:color="auto" w:sz="4" w:space="0"/>
                    <w:left w:val="single" w:color="auto" w:sz="4" w:space="0"/>
                    <w:bottom w:val="single" w:color="auto" w:sz="4" w:space="0"/>
                    <w:right w:val="nil"/>
                  </w:tcBorders>
                  <w:shd w:val="clear" w:color="auto" w:fill="auto"/>
                  <w:vAlign w:val="center"/>
                </w:tcPr>
                <w:p w14:paraId="24A7A46A">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Ansi="宋体"/>
                      <w:color w:val="auto"/>
                      <w:szCs w:val="21"/>
                    </w:rPr>
                  </w:pPr>
                  <w:r>
                    <w:rPr>
                      <w:rFonts w:hint="eastAsia" w:hAnsi="宋体" w:cs="宋体"/>
                      <w:color w:val="auto"/>
                      <w:szCs w:val="21"/>
                      <w:lang w:bidi="ar"/>
                    </w:rPr>
                    <w:t>符合</w:t>
                  </w:r>
                </w:p>
              </w:tc>
            </w:tr>
            <w:tr w14:paraId="6461694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168" w:type="pct"/>
                  <w:tcBorders>
                    <w:top w:val="single" w:color="auto" w:sz="4" w:space="0"/>
                    <w:left w:val="nil"/>
                    <w:bottom w:val="single" w:color="auto" w:sz="4" w:space="0"/>
                    <w:right w:val="single" w:color="auto" w:sz="4" w:space="0"/>
                  </w:tcBorders>
                  <w:shd w:val="clear" w:color="auto" w:fill="auto"/>
                  <w:vAlign w:val="center"/>
                </w:tcPr>
                <w:p w14:paraId="7FDA5D32">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lang w:bidi="ar"/>
                    </w:rPr>
                    <w:t>4</w:t>
                  </w:r>
                </w:p>
              </w:tc>
              <w:tc>
                <w:tcPr>
                  <w:tcW w:w="3157" w:type="pct"/>
                  <w:tcBorders>
                    <w:top w:val="single" w:color="auto" w:sz="4" w:space="0"/>
                    <w:left w:val="single" w:color="auto" w:sz="4" w:space="0"/>
                    <w:bottom w:val="single" w:color="auto" w:sz="4" w:space="0"/>
                    <w:right w:val="single" w:color="auto" w:sz="4" w:space="0"/>
                  </w:tcBorders>
                  <w:shd w:val="clear" w:color="auto" w:fill="auto"/>
                  <w:vAlign w:val="center"/>
                </w:tcPr>
                <w:p w14:paraId="3E0D581F">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lang w:bidi="ar"/>
                    </w:rPr>
                    <w:t>8.</w:t>
                  </w:r>
                  <w:r>
                    <w:rPr>
                      <w:rFonts w:hint="eastAsia" w:cs="宋体"/>
                      <w:b/>
                      <w:color w:val="auto"/>
                      <w:szCs w:val="21"/>
                      <w:lang w:bidi="ar"/>
                    </w:rPr>
                    <w:t>强化转移过程管理。</w:t>
                  </w:r>
                  <w:r>
                    <w:rPr>
                      <w:rFonts w:hint="eastAsia" w:cs="宋体"/>
                      <w:color w:val="auto"/>
                      <w:szCs w:val="21"/>
                      <w:lang w:bidi="ar"/>
                    </w:rPr>
                    <w:t>全面落实危险废物转移电子联单制度，实行省内全域扫描“二维码”转移。加强与危险货物道路运输电子运单数据共享，实现运输轨迹可溯可查。危险废物产生单位须依法核实经营单位主体资格和技术能力，直接签订委托合同，并向经营单位提供相关危险废物产生工艺、具体成分，以及是否易燃易爆等信息，违法委托的，应当与造成环境污染和生态破坏的受托方承担连带责任；经营单位须按合同及包装物扫码签收危险废物，签收人、车辆信息等须拍照上传至系统，严禁“空转”二维码。积极推行一般工业固体废物转移电子联单制度，优先选择环境风险较大的污泥、矿渣等固体废物试行。</w:t>
                  </w:r>
                </w:p>
              </w:tc>
              <w:tc>
                <w:tcPr>
                  <w:tcW w:w="1347" w:type="pct"/>
                  <w:tcBorders>
                    <w:top w:val="single" w:color="auto" w:sz="4" w:space="0"/>
                    <w:left w:val="single" w:color="auto" w:sz="4" w:space="0"/>
                    <w:bottom w:val="single" w:color="auto" w:sz="4" w:space="0"/>
                    <w:right w:val="single" w:color="auto" w:sz="4" w:space="0"/>
                  </w:tcBorders>
                  <w:shd w:val="clear" w:color="auto" w:fill="auto"/>
                  <w:vAlign w:val="center"/>
                </w:tcPr>
                <w:p w14:paraId="5D9F3EF6">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Ansi="宋体"/>
                      <w:color w:val="auto"/>
                      <w:szCs w:val="21"/>
                    </w:rPr>
                  </w:pPr>
                  <w:r>
                    <w:rPr>
                      <w:rFonts w:hint="eastAsia" w:hAnsi="宋体" w:cs="宋体"/>
                      <w:color w:val="auto"/>
                      <w:szCs w:val="21"/>
                      <w:lang w:bidi="ar"/>
                    </w:rPr>
                    <w:t>本项目建成后，拟严格执行电子运单和转移联单管理制度。</w:t>
                  </w:r>
                </w:p>
              </w:tc>
              <w:tc>
                <w:tcPr>
                  <w:tcW w:w="325" w:type="pct"/>
                  <w:tcBorders>
                    <w:top w:val="single" w:color="auto" w:sz="4" w:space="0"/>
                    <w:left w:val="single" w:color="auto" w:sz="4" w:space="0"/>
                    <w:bottom w:val="single" w:color="auto" w:sz="4" w:space="0"/>
                    <w:right w:val="nil"/>
                  </w:tcBorders>
                  <w:shd w:val="clear" w:color="auto" w:fill="auto"/>
                  <w:vAlign w:val="center"/>
                </w:tcPr>
                <w:p w14:paraId="763EEA6A">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Ansi="宋体"/>
                      <w:color w:val="auto"/>
                      <w:szCs w:val="21"/>
                    </w:rPr>
                  </w:pPr>
                  <w:r>
                    <w:rPr>
                      <w:rFonts w:hint="eastAsia" w:hAnsi="宋体" w:cs="宋体"/>
                      <w:color w:val="auto"/>
                      <w:szCs w:val="21"/>
                      <w:lang w:bidi="ar"/>
                    </w:rPr>
                    <w:t>符合</w:t>
                  </w:r>
                </w:p>
              </w:tc>
            </w:tr>
            <w:tr w14:paraId="3E5E45B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168" w:type="pct"/>
                  <w:tcBorders>
                    <w:top w:val="single" w:color="auto" w:sz="4" w:space="0"/>
                    <w:left w:val="nil"/>
                    <w:bottom w:val="single" w:color="auto" w:sz="12" w:space="0"/>
                    <w:right w:val="single" w:color="auto" w:sz="4" w:space="0"/>
                  </w:tcBorders>
                  <w:shd w:val="clear" w:color="auto" w:fill="auto"/>
                  <w:vAlign w:val="center"/>
                </w:tcPr>
                <w:p w14:paraId="5C120A63">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lang w:bidi="ar"/>
                    </w:rPr>
                    <w:t>5</w:t>
                  </w:r>
                </w:p>
              </w:tc>
              <w:tc>
                <w:tcPr>
                  <w:tcW w:w="3157" w:type="pct"/>
                  <w:tcBorders>
                    <w:top w:val="single" w:color="auto" w:sz="4" w:space="0"/>
                    <w:left w:val="single" w:color="auto" w:sz="4" w:space="0"/>
                    <w:bottom w:val="single" w:color="auto" w:sz="12" w:space="0"/>
                    <w:right w:val="single" w:color="auto" w:sz="4" w:space="0"/>
                  </w:tcBorders>
                  <w:shd w:val="clear" w:color="auto" w:fill="auto"/>
                  <w:vAlign w:val="center"/>
                </w:tcPr>
                <w:p w14:paraId="6D33DA71">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lang w:bidi="ar"/>
                    </w:rPr>
                    <w:t>10.</w:t>
                  </w:r>
                  <w:r>
                    <w:rPr>
                      <w:rFonts w:hint="eastAsia" w:cs="宋体"/>
                      <w:b/>
                      <w:color w:val="auto"/>
                      <w:szCs w:val="21"/>
                      <w:lang w:bidi="ar"/>
                    </w:rPr>
                    <w:t>开展常态化规范化评估。</w:t>
                  </w:r>
                  <w:r>
                    <w:rPr>
                      <w:rFonts w:hint="eastAsia" w:cs="宋体"/>
                      <w:color w:val="auto"/>
                      <w:szCs w:val="21"/>
                      <w:lang w:bidi="ar"/>
                    </w:rPr>
                    <w:t>建立固管、环评、执法、监测等多部门联合评估机制，各设区市每年评估产废和经营单位分别不少于</w:t>
                  </w:r>
                  <w:r>
                    <w:rPr>
                      <w:color w:val="auto"/>
                      <w:szCs w:val="21"/>
                      <w:lang w:bidi="ar"/>
                    </w:rPr>
                    <w:t>80</w:t>
                  </w:r>
                  <w:r>
                    <w:rPr>
                      <w:rFonts w:hint="eastAsia" w:cs="宋体"/>
                      <w:color w:val="auto"/>
                      <w:szCs w:val="21"/>
                      <w:lang w:bidi="ar"/>
                    </w:rPr>
                    <w:t>家、</w:t>
                  </w:r>
                  <w:r>
                    <w:rPr>
                      <w:color w:val="auto"/>
                      <w:szCs w:val="21"/>
                      <w:lang w:bidi="ar"/>
                    </w:rPr>
                    <w:t>20</w:t>
                  </w:r>
                  <w:r>
                    <w:rPr>
                      <w:rFonts w:hint="eastAsia" w:cs="宋体"/>
                      <w:color w:val="auto"/>
                      <w:szCs w:val="21"/>
                      <w:lang w:bidi="ar"/>
                    </w:rPr>
                    <w:t>家。现场评估原则上应采取“四不两直”方式，重点评估许可证审查要点执行情况、新制度和标准落实情况、企业相关负责人危废管理知识掌握情况等。严格评估问题整改，形成发现问题、跟踪整改、闭环销号的工作机制，对企业标签标志台账管理不规范等问题，督促企业立行立改；对违反许可条件的经营单位，要立即启动限制接收危险废物措施；对屡查屡犯或发现超范围接收、未如实申报、账实不符、去向不明等违法违规问题，要及时移送执法部门。</w:t>
                  </w:r>
                </w:p>
              </w:tc>
              <w:tc>
                <w:tcPr>
                  <w:tcW w:w="1347" w:type="pct"/>
                  <w:tcBorders>
                    <w:top w:val="single" w:color="auto" w:sz="4" w:space="0"/>
                    <w:left w:val="single" w:color="auto" w:sz="4" w:space="0"/>
                    <w:bottom w:val="single" w:color="auto" w:sz="12" w:space="0"/>
                    <w:right w:val="single" w:color="auto" w:sz="4" w:space="0"/>
                  </w:tcBorders>
                  <w:shd w:val="clear" w:color="auto" w:fill="auto"/>
                  <w:vAlign w:val="center"/>
                </w:tcPr>
                <w:p w14:paraId="6BC4B6F4">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Ansi="宋体"/>
                      <w:color w:val="auto"/>
                      <w:szCs w:val="21"/>
                    </w:rPr>
                  </w:pPr>
                  <w:r>
                    <w:rPr>
                      <w:rFonts w:hint="eastAsia" w:hAnsi="宋体" w:cs="宋体"/>
                      <w:color w:val="auto"/>
                      <w:szCs w:val="21"/>
                      <w:lang w:bidi="ar"/>
                    </w:rPr>
                    <w:t>本项目拟按规范执行</w:t>
                  </w:r>
                </w:p>
              </w:tc>
              <w:tc>
                <w:tcPr>
                  <w:tcW w:w="325" w:type="pct"/>
                  <w:tcBorders>
                    <w:top w:val="single" w:color="auto" w:sz="4" w:space="0"/>
                    <w:left w:val="single" w:color="auto" w:sz="4" w:space="0"/>
                    <w:bottom w:val="single" w:color="auto" w:sz="12" w:space="0"/>
                    <w:right w:val="nil"/>
                  </w:tcBorders>
                  <w:shd w:val="clear" w:color="auto" w:fill="auto"/>
                  <w:vAlign w:val="center"/>
                </w:tcPr>
                <w:p w14:paraId="0BBD5371">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Ansi="宋体"/>
                      <w:color w:val="auto"/>
                      <w:szCs w:val="21"/>
                    </w:rPr>
                  </w:pPr>
                  <w:r>
                    <w:rPr>
                      <w:rFonts w:hint="eastAsia" w:hAnsi="宋体" w:cs="宋体"/>
                      <w:color w:val="auto"/>
                      <w:szCs w:val="21"/>
                      <w:lang w:bidi="ar"/>
                    </w:rPr>
                    <w:t>符合</w:t>
                  </w:r>
                </w:p>
              </w:tc>
            </w:tr>
          </w:tbl>
          <w:p w14:paraId="0427270A">
            <w:pPr>
              <w:widowControl/>
              <w:adjustRightInd w:val="0"/>
              <w:snapToGrid w:val="0"/>
              <w:spacing w:before="120" w:beforeLines="50" w:line="360" w:lineRule="auto"/>
              <w:ind w:firstLine="480" w:firstLineChars="200"/>
              <w:jc w:val="left"/>
              <w:rPr>
                <w:color w:val="auto"/>
              </w:rPr>
            </w:pPr>
            <w:r>
              <w:rPr>
                <w:rFonts w:hint="eastAsia" w:hAnsi="宋体"/>
                <w:color w:val="auto"/>
                <w:sz w:val="24"/>
                <w:lang w:bidi="ar"/>
              </w:rPr>
              <w:t>综上，项目产生的固体废物均得到了妥善处置和利用，对外环境影响可减至</w:t>
            </w:r>
            <w:r>
              <w:rPr>
                <w:rFonts w:hint="eastAsia" w:hAnsi="宋体"/>
                <w:color w:val="auto"/>
                <w:sz w:val="24"/>
                <w:lang w:eastAsia="zh-CN" w:bidi="ar"/>
              </w:rPr>
              <w:t>最低</w:t>
            </w:r>
            <w:r>
              <w:rPr>
                <w:rFonts w:hint="eastAsia" w:hAnsi="宋体"/>
                <w:color w:val="auto"/>
                <w:sz w:val="24"/>
                <w:lang w:bidi="ar"/>
              </w:rPr>
              <w:t>程度。</w:t>
            </w:r>
          </w:p>
          <w:p w14:paraId="1BEE1E8C">
            <w:pPr>
              <w:adjustRightInd w:val="0"/>
              <w:snapToGrid w:val="0"/>
              <w:spacing w:line="360" w:lineRule="auto"/>
              <w:ind w:firstLine="482" w:firstLineChars="200"/>
              <w:rPr>
                <w:b/>
                <w:color w:val="auto"/>
                <w:sz w:val="24"/>
              </w:rPr>
            </w:pPr>
            <w:r>
              <w:rPr>
                <w:b/>
                <w:color w:val="auto"/>
                <w:sz w:val="24"/>
              </w:rPr>
              <w:t>5.地下水、土壤环境影响分析</w:t>
            </w:r>
          </w:p>
          <w:p w14:paraId="3EE3E8DB">
            <w:pPr>
              <w:adjustRightInd w:val="0"/>
              <w:snapToGrid w:val="0"/>
              <w:spacing w:line="360" w:lineRule="auto"/>
              <w:ind w:firstLine="480" w:firstLineChars="200"/>
              <w:rPr>
                <w:color w:val="auto"/>
                <w:sz w:val="24"/>
              </w:rPr>
            </w:pPr>
            <w:r>
              <w:rPr>
                <w:color w:val="auto"/>
                <w:sz w:val="24"/>
              </w:rPr>
              <w:t>本项目位于</w:t>
            </w:r>
            <w:r>
              <w:rPr>
                <w:bCs/>
                <w:color w:val="auto"/>
                <w:sz w:val="24"/>
              </w:rPr>
              <w:t>江苏省淮安市</w:t>
            </w:r>
            <w:r>
              <w:rPr>
                <w:rFonts w:hint="eastAsia"/>
                <w:bCs/>
                <w:color w:val="auto"/>
                <w:sz w:val="24"/>
              </w:rPr>
              <w:t>江苏涟水经济开发区涟古路北侧、兴隆路西侧</w:t>
            </w:r>
            <w:r>
              <w:rPr>
                <w:color w:val="auto"/>
                <w:sz w:val="24"/>
              </w:rPr>
              <w:t>，排放的废气污染物主要为</w:t>
            </w:r>
            <w:r>
              <w:rPr>
                <w:rFonts w:hint="eastAsia"/>
                <w:color w:val="auto"/>
                <w:sz w:val="24"/>
              </w:rPr>
              <w:t>颗粒物、NMHC</w:t>
            </w:r>
            <w:r>
              <w:rPr>
                <w:color w:val="auto"/>
                <w:sz w:val="24"/>
              </w:rPr>
              <w:t>，不涉及重金属以及持久性挥发性有机物</w:t>
            </w:r>
            <w:r>
              <w:rPr>
                <w:rFonts w:hint="eastAsia"/>
                <w:color w:val="auto"/>
                <w:sz w:val="24"/>
              </w:rPr>
              <w:t>；食堂废水经隔油池处理与生活污水一并经化粪池处理后，接管至涟水经济开发区西区污水处理厂。</w:t>
            </w:r>
            <w:r>
              <w:rPr>
                <w:color w:val="auto"/>
                <w:sz w:val="24"/>
              </w:rPr>
              <w:t>本项目</w:t>
            </w:r>
            <w:r>
              <w:rPr>
                <w:rFonts w:hint="eastAsia"/>
                <w:color w:val="auto"/>
                <w:sz w:val="24"/>
              </w:rPr>
              <w:t>厂房内</w:t>
            </w:r>
            <w:r>
              <w:rPr>
                <w:color w:val="auto"/>
                <w:sz w:val="24"/>
              </w:rPr>
              <w:t>均采取防渗措施，周边不存在土壤环境敏感目标，不会对土壤及地下水环境产生影响</w:t>
            </w:r>
            <w:r>
              <w:rPr>
                <w:rFonts w:hint="eastAsia"/>
                <w:color w:val="auto"/>
                <w:sz w:val="24"/>
              </w:rPr>
              <w:t>。</w:t>
            </w:r>
          </w:p>
          <w:p w14:paraId="7FE95DFC">
            <w:pPr>
              <w:adjustRightInd w:val="0"/>
              <w:snapToGrid w:val="0"/>
              <w:spacing w:line="360" w:lineRule="auto"/>
              <w:ind w:firstLine="482" w:firstLineChars="200"/>
              <w:rPr>
                <w:b/>
                <w:bCs/>
                <w:color w:val="auto"/>
                <w:sz w:val="24"/>
              </w:rPr>
            </w:pPr>
            <w:r>
              <w:rPr>
                <w:b/>
                <w:bCs/>
                <w:color w:val="auto"/>
                <w:sz w:val="24"/>
              </w:rPr>
              <w:t>5.</w:t>
            </w:r>
            <w:r>
              <w:rPr>
                <w:rFonts w:hint="eastAsia"/>
                <w:b/>
                <w:bCs/>
                <w:color w:val="auto"/>
                <w:sz w:val="24"/>
              </w:rPr>
              <w:t>1污染防控措施</w:t>
            </w:r>
          </w:p>
          <w:p w14:paraId="7C2B9AC9">
            <w:pPr>
              <w:adjustRightInd w:val="0"/>
              <w:snapToGrid w:val="0"/>
              <w:spacing w:line="360" w:lineRule="auto"/>
              <w:ind w:firstLine="480" w:firstLineChars="200"/>
              <w:rPr>
                <w:color w:val="auto"/>
                <w:sz w:val="24"/>
              </w:rPr>
            </w:pPr>
            <w:r>
              <w:rPr>
                <w:rFonts w:hint="eastAsia"/>
                <w:color w:val="auto"/>
                <w:sz w:val="24"/>
              </w:rPr>
              <w:t>针对企业危险废物暂存过程，采取合理有效的工程措施可防止污染物对地下水、土壤的污染。为更好地保护地下水和土壤资源，将项目对环境的影响降至最低限度，建议采取相关措施，具体如下：</w:t>
            </w:r>
          </w:p>
          <w:p w14:paraId="6A7F1313">
            <w:pPr>
              <w:adjustRightInd w:val="0"/>
              <w:snapToGrid w:val="0"/>
              <w:spacing w:line="360" w:lineRule="auto"/>
              <w:ind w:firstLine="480" w:firstLineChars="200"/>
              <w:rPr>
                <w:color w:val="auto"/>
                <w:sz w:val="24"/>
              </w:rPr>
            </w:pPr>
            <w:r>
              <w:rPr>
                <w:rFonts w:hint="eastAsia"/>
                <w:color w:val="auto"/>
                <w:sz w:val="24"/>
              </w:rPr>
              <w:t>①源头控制</w:t>
            </w:r>
          </w:p>
          <w:p w14:paraId="23DC681C">
            <w:pPr>
              <w:adjustRightInd w:val="0"/>
              <w:snapToGrid w:val="0"/>
              <w:spacing w:line="360" w:lineRule="auto"/>
              <w:ind w:firstLine="480" w:firstLineChars="200"/>
              <w:rPr>
                <w:color w:val="auto"/>
                <w:sz w:val="24"/>
              </w:rPr>
            </w:pPr>
            <w:r>
              <w:rPr>
                <w:rFonts w:hint="eastAsia"/>
                <w:color w:val="auto"/>
                <w:sz w:val="24"/>
              </w:rPr>
              <w:t>厂区采取雨污分流、清污分流，加强企业管理，定期对废气及废水处理设施等进行维护，避免非正常工况排放。排水管道等须采取防渗措施，杜绝各类废水下渗的通道。应严格废水的管理，强调节约用水，杜绝废水“跑、冒、滴、漏”现象的发生，确保污水处理系统的正常运行。</w:t>
            </w:r>
          </w:p>
          <w:p w14:paraId="21DC52BA">
            <w:pPr>
              <w:adjustRightInd w:val="0"/>
              <w:snapToGrid w:val="0"/>
              <w:spacing w:line="360" w:lineRule="auto"/>
              <w:ind w:firstLine="480" w:firstLineChars="200"/>
              <w:rPr>
                <w:color w:val="auto"/>
                <w:sz w:val="24"/>
              </w:rPr>
            </w:pPr>
            <w:r>
              <w:rPr>
                <w:rFonts w:hint="eastAsia"/>
                <w:color w:val="auto"/>
                <w:sz w:val="24"/>
              </w:rPr>
              <w:t>②分区防渗</w:t>
            </w:r>
          </w:p>
          <w:p w14:paraId="0B38131B">
            <w:pPr>
              <w:adjustRightInd w:val="0"/>
              <w:snapToGrid w:val="0"/>
              <w:spacing w:line="360" w:lineRule="auto"/>
              <w:ind w:firstLine="480" w:firstLineChars="200"/>
              <w:rPr>
                <w:color w:val="auto"/>
                <w:sz w:val="24"/>
              </w:rPr>
            </w:pPr>
            <w:r>
              <w:rPr>
                <w:rFonts w:hint="eastAsia"/>
                <w:color w:val="auto"/>
                <w:sz w:val="24"/>
              </w:rPr>
              <w:t>结合本项目各生产设备、一般固废</w:t>
            </w:r>
            <w:r>
              <w:rPr>
                <w:rFonts w:hint="eastAsia"/>
                <w:color w:val="auto"/>
                <w:sz w:val="24"/>
                <w:lang w:eastAsia="zh-CN"/>
              </w:rPr>
              <w:t>仓库</w:t>
            </w:r>
            <w:r>
              <w:rPr>
                <w:rFonts w:hint="eastAsia"/>
                <w:color w:val="auto"/>
                <w:sz w:val="24"/>
              </w:rPr>
              <w:t>、危废</w:t>
            </w:r>
            <w:r>
              <w:rPr>
                <w:rFonts w:hint="eastAsia"/>
                <w:color w:val="auto"/>
                <w:sz w:val="24"/>
                <w:lang w:eastAsia="zh-CN"/>
              </w:rPr>
              <w:t>仓库</w:t>
            </w:r>
            <w:r>
              <w:rPr>
                <w:rFonts w:hint="eastAsia"/>
                <w:color w:val="auto"/>
                <w:sz w:val="24"/>
              </w:rPr>
              <w:t>等因素，根据场地天然包气带防污性能、污染控制难易程度和污染物特性对全厂进行分区防渗。本次评价要求建设单位采取分区防渗的措施，详见下表。</w:t>
            </w:r>
          </w:p>
          <w:p w14:paraId="7F4A107E">
            <w:pPr>
              <w:adjustRightInd w:val="0"/>
              <w:snapToGrid w:val="0"/>
              <w:ind w:firstLine="482" w:firstLineChars="200"/>
              <w:jc w:val="center"/>
              <w:rPr>
                <w:b/>
                <w:bCs/>
                <w:color w:val="auto"/>
                <w:sz w:val="24"/>
              </w:rPr>
            </w:pPr>
            <w:r>
              <w:rPr>
                <w:rFonts w:hint="eastAsia"/>
                <w:b/>
                <w:bCs/>
                <w:color w:val="auto"/>
                <w:sz w:val="24"/>
              </w:rPr>
              <w:t>表4-2</w:t>
            </w:r>
            <w:r>
              <w:rPr>
                <w:rFonts w:hint="eastAsia"/>
                <w:b/>
                <w:bCs/>
                <w:color w:val="auto"/>
                <w:sz w:val="24"/>
                <w:lang w:val="en-US" w:eastAsia="zh-CN"/>
              </w:rPr>
              <w:t>4</w:t>
            </w:r>
            <w:r>
              <w:rPr>
                <w:rFonts w:hint="eastAsia"/>
                <w:b/>
                <w:bCs/>
                <w:color w:val="auto"/>
                <w:sz w:val="24"/>
              </w:rPr>
              <w:t>全厂分区防渗方案及防渗措施表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519"/>
              <w:gridCol w:w="2717"/>
              <w:gridCol w:w="1276"/>
              <w:gridCol w:w="1845"/>
            </w:tblGrid>
            <w:tr w14:paraId="7A87E4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2" w:type="dxa"/>
                  <w:tcBorders>
                    <w:tl2br w:val="nil"/>
                    <w:tr2bl w:val="nil"/>
                  </w:tcBorders>
                  <w:vAlign w:val="center"/>
                </w:tcPr>
                <w:p w14:paraId="082E6FC4">
                  <w:pPr>
                    <w:keepNext w:val="0"/>
                    <w:keepLines w:val="0"/>
                    <w:pageBreakBefore w:val="0"/>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防渗分区</w:t>
                  </w:r>
                </w:p>
              </w:tc>
              <w:tc>
                <w:tcPr>
                  <w:tcW w:w="1519" w:type="dxa"/>
                  <w:tcBorders>
                    <w:tl2br w:val="nil"/>
                    <w:tr2bl w:val="nil"/>
                  </w:tcBorders>
                  <w:vAlign w:val="center"/>
                </w:tcPr>
                <w:p w14:paraId="470AC924">
                  <w:pPr>
                    <w:keepNext w:val="0"/>
                    <w:keepLines w:val="0"/>
                    <w:pageBreakBefore w:val="0"/>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分区位置</w:t>
                  </w:r>
                </w:p>
              </w:tc>
              <w:tc>
                <w:tcPr>
                  <w:tcW w:w="2717" w:type="dxa"/>
                  <w:tcBorders>
                    <w:tl2br w:val="nil"/>
                    <w:tr2bl w:val="nil"/>
                  </w:tcBorders>
                  <w:vAlign w:val="center"/>
                </w:tcPr>
                <w:p w14:paraId="76B1CD13">
                  <w:pPr>
                    <w:keepNext w:val="0"/>
                    <w:keepLines w:val="0"/>
                    <w:pageBreakBefore w:val="0"/>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污染物种类</w:t>
                  </w:r>
                </w:p>
              </w:tc>
              <w:tc>
                <w:tcPr>
                  <w:tcW w:w="1276" w:type="dxa"/>
                  <w:tcBorders>
                    <w:tl2br w:val="nil"/>
                    <w:tr2bl w:val="nil"/>
                  </w:tcBorders>
                  <w:vAlign w:val="center"/>
                </w:tcPr>
                <w:p w14:paraId="5DDF8D7E">
                  <w:pPr>
                    <w:keepNext w:val="0"/>
                    <w:keepLines w:val="0"/>
                    <w:pageBreakBefore w:val="0"/>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污染途径</w:t>
                  </w:r>
                </w:p>
              </w:tc>
              <w:tc>
                <w:tcPr>
                  <w:tcW w:w="1845" w:type="dxa"/>
                  <w:tcBorders>
                    <w:tl2br w:val="nil"/>
                    <w:tr2bl w:val="nil"/>
                  </w:tcBorders>
                  <w:vAlign w:val="center"/>
                </w:tcPr>
                <w:p w14:paraId="412CE491">
                  <w:pPr>
                    <w:keepNext w:val="0"/>
                    <w:keepLines w:val="0"/>
                    <w:pageBreakBefore w:val="0"/>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防渗要求</w:t>
                  </w:r>
                </w:p>
              </w:tc>
            </w:tr>
            <w:tr w14:paraId="400B53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2" w:type="dxa"/>
                  <w:vMerge w:val="restart"/>
                  <w:tcBorders>
                    <w:tl2br w:val="nil"/>
                    <w:tr2bl w:val="nil"/>
                  </w:tcBorders>
                  <w:vAlign w:val="center"/>
                </w:tcPr>
                <w:p w14:paraId="1D66C860">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重点</w:t>
                  </w:r>
                </w:p>
                <w:p w14:paraId="3F358EC9">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szCs w:val="21"/>
                    </w:rPr>
                  </w:pPr>
                  <w:r>
                    <w:rPr>
                      <w:color w:val="auto"/>
                      <w:kern w:val="0"/>
                      <w:szCs w:val="21"/>
                    </w:rPr>
                    <w:t>防渗区</w:t>
                  </w:r>
                </w:p>
              </w:tc>
              <w:tc>
                <w:tcPr>
                  <w:tcW w:w="1519" w:type="dxa"/>
                  <w:tcBorders>
                    <w:tl2br w:val="nil"/>
                    <w:tr2bl w:val="nil"/>
                  </w:tcBorders>
                  <w:vAlign w:val="center"/>
                </w:tcPr>
                <w:p w14:paraId="6E1DB314">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eastAsia" w:eastAsia="宋体"/>
                      <w:color w:val="auto"/>
                      <w:szCs w:val="21"/>
                      <w:lang w:eastAsia="zh-CN"/>
                    </w:rPr>
                  </w:pPr>
                  <w:r>
                    <w:rPr>
                      <w:color w:val="auto"/>
                      <w:kern w:val="0"/>
                      <w:szCs w:val="21"/>
                    </w:rPr>
                    <w:t>危废</w:t>
                  </w:r>
                  <w:r>
                    <w:rPr>
                      <w:rFonts w:hint="eastAsia"/>
                      <w:color w:val="auto"/>
                      <w:kern w:val="0"/>
                      <w:szCs w:val="21"/>
                      <w:lang w:eastAsia="zh-CN"/>
                    </w:rPr>
                    <w:t>仓库</w:t>
                  </w:r>
                </w:p>
              </w:tc>
              <w:tc>
                <w:tcPr>
                  <w:tcW w:w="2717" w:type="dxa"/>
                  <w:tcBorders>
                    <w:tl2br w:val="nil"/>
                    <w:tr2bl w:val="nil"/>
                  </w:tcBorders>
                  <w:vAlign w:val="center"/>
                </w:tcPr>
                <w:p w14:paraId="4789D7B1">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废润滑油、废切削液、废包装桶内遗留的物质等泄漏</w:t>
                  </w:r>
                </w:p>
              </w:tc>
              <w:tc>
                <w:tcPr>
                  <w:tcW w:w="1276" w:type="dxa"/>
                  <w:tcBorders>
                    <w:tl2br w:val="nil"/>
                    <w:tr2bl w:val="nil"/>
                  </w:tcBorders>
                  <w:vAlign w:val="center"/>
                </w:tcPr>
                <w:p w14:paraId="7A618C2E">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szCs w:val="21"/>
                    </w:rPr>
                  </w:pPr>
                  <w:r>
                    <w:rPr>
                      <w:color w:val="auto"/>
                      <w:kern w:val="0"/>
                      <w:szCs w:val="21"/>
                    </w:rPr>
                    <w:t>垂直入渗、地面漫流</w:t>
                  </w:r>
                </w:p>
              </w:tc>
              <w:tc>
                <w:tcPr>
                  <w:tcW w:w="1845" w:type="dxa"/>
                  <w:vMerge w:val="restart"/>
                  <w:tcBorders>
                    <w:tl2br w:val="nil"/>
                    <w:tr2bl w:val="nil"/>
                  </w:tcBorders>
                  <w:vAlign w:val="center"/>
                </w:tcPr>
                <w:p w14:paraId="22A94D60">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 xml:space="preserve">等效黏土防渗层 </w:t>
                  </w:r>
                  <w:r>
                    <w:rPr>
                      <w:color w:val="auto"/>
                      <w:kern w:val="0"/>
                      <w:szCs w:val="21"/>
                    </w:rPr>
                    <w:t>Mb≥6.0m</w:t>
                  </w:r>
                  <w:r>
                    <w:rPr>
                      <w:rFonts w:hint="eastAsia"/>
                      <w:color w:val="auto"/>
                      <w:kern w:val="0"/>
                      <w:szCs w:val="21"/>
                    </w:rPr>
                    <w:t>，</w:t>
                  </w:r>
                  <w:r>
                    <w:rPr>
                      <w:color w:val="auto"/>
                      <w:kern w:val="0"/>
                      <w:szCs w:val="21"/>
                    </w:rPr>
                    <w:t xml:space="preserve">K≤1 </w:t>
                  </w:r>
                </w:p>
                <w:p w14:paraId="16ED5FB1">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×10</w:t>
                  </w:r>
                  <w:r>
                    <w:rPr>
                      <w:rFonts w:hint="eastAsia"/>
                      <w:color w:val="auto"/>
                      <w:kern w:val="0"/>
                      <w:szCs w:val="21"/>
                      <w:lang w:eastAsia="zh-CN"/>
                    </w:rPr>
                    <w:t>—</w:t>
                  </w:r>
                  <w:r>
                    <w:rPr>
                      <w:color w:val="auto"/>
                      <w:kern w:val="0"/>
                      <w:szCs w:val="21"/>
                      <w:vertAlign w:val="superscript"/>
                    </w:rPr>
                    <w:t>7</w:t>
                  </w:r>
                  <w:r>
                    <w:rPr>
                      <w:color w:val="auto"/>
                      <w:kern w:val="0"/>
                      <w:szCs w:val="21"/>
                    </w:rPr>
                    <w:t>cm/s</w:t>
                  </w:r>
                  <w:r>
                    <w:rPr>
                      <w:rFonts w:hint="eastAsia"/>
                      <w:color w:val="auto"/>
                      <w:kern w:val="0"/>
                      <w:szCs w:val="21"/>
                    </w:rPr>
                    <w:t>；或参照</w:t>
                  </w:r>
                  <w:r>
                    <w:rPr>
                      <w:color w:val="auto"/>
                      <w:kern w:val="0"/>
                      <w:szCs w:val="21"/>
                    </w:rPr>
                    <w:t>GB18598</w:t>
                  </w:r>
                  <w:r>
                    <w:rPr>
                      <w:rFonts w:hint="eastAsia"/>
                      <w:color w:val="auto"/>
                      <w:kern w:val="0"/>
                      <w:szCs w:val="21"/>
                    </w:rPr>
                    <w:t>执行</w:t>
                  </w:r>
                </w:p>
              </w:tc>
            </w:tr>
            <w:tr w14:paraId="6A2E1E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2" w:type="dxa"/>
                  <w:vMerge w:val="continue"/>
                  <w:tcBorders>
                    <w:tl2br w:val="nil"/>
                    <w:tr2bl w:val="nil"/>
                  </w:tcBorders>
                  <w:vAlign w:val="center"/>
                </w:tcPr>
                <w:p w14:paraId="6846FC7E">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1519" w:type="dxa"/>
                  <w:tcBorders>
                    <w:tl2br w:val="nil"/>
                    <w:tr2bl w:val="nil"/>
                  </w:tcBorders>
                  <w:vAlign w:val="center"/>
                </w:tcPr>
                <w:p w14:paraId="3D205694">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szCs w:val="21"/>
                    </w:rPr>
                  </w:pPr>
                  <w:r>
                    <w:rPr>
                      <w:color w:val="auto"/>
                      <w:kern w:val="0"/>
                      <w:szCs w:val="21"/>
                    </w:rPr>
                    <w:t>液态原料贮存区</w:t>
                  </w:r>
                </w:p>
              </w:tc>
              <w:tc>
                <w:tcPr>
                  <w:tcW w:w="2717" w:type="dxa"/>
                  <w:tcBorders>
                    <w:tl2br w:val="nil"/>
                    <w:tr2bl w:val="nil"/>
                  </w:tcBorders>
                  <w:vAlign w:val="center"/>
                </w:tcPr>
                <w:p w14:paraId="2B55BEA4">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润滑油、切削液、</w:t>
                  </w:r>
                  <w:r>
                    <w:rPr>
                      <w:color w:val="auto"/>
                      <w:szCs w:val="21"/>
                    </w:rPr>
                    <w:t>环氧树脂绝缘漆</w:t>
                  </w:r>
                  <w:r>
                    <w:rPr>
                      <w:rFonts w:hint="eastAsia"/>
                      <w:color w:val="auto"/>
                      <w:szCs w:val="21"/>
                    </w:rPr>
                    <w:t>、</w:t>
                  </w:r>
                  <w:r>
                    <w:rPr>
                      <w:color w:val="auto"/>
                      <w:szCs w:val="21"/>
                    </w:rPr>
                    <w:t>水性丙烯酸聚氨酯面漆</w:t>
                  </w:r>
                  <w:r>
                    <w:rPr>
                      <w:rFonts w:hint="eastAsia"/>
                      <w:color w:val="auto"/>
                      <w:szCs w:val="21"/>
                    </w:rPr>
                    <w:t>等泄漏</w:t>
                  </w:r>
                </w:p>
              </w:tc>
              <w:tc>
                <w:tcPr>
                  <w:tcW w:w="1276" w:type="dxa"/>
                  <w:tcBorders>
                    <w:tl2br w:val="nil"/>
                    <w:tr2bl w:val="nil"/>
                  </w:tcBorders>
                  <w:vAlign w:val="center"/>
                </w:tcPr>
                <w:p w14:paraId="7CF2C236">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szCs w:val="21"/>
                    </w:rPr>
                  </w:pPr>
                  <w:r>
                    <w:rPr>
                      <w:color w:val="auto"/>
                      <w:kern w:val="0"/>
                      <w:szCs w:val="21"/>
                    </w:rPr>
                    <w:t>垂直入渗、地面漫流</w:t>
                  </w:r>
                </w:p>
              </w:tc>
              <w:tc>
                <w:tcPr>
                  <w:tcW w:w="1845" w:type="dxa"/>
                  <w:vMerge w:val="continue"/>
                  <w:tcBorders>
                    <w:tl2br w:val="nil"/>
                    <w:tr2bl w:val="nil"/>
                  </w:tcBorders>
                  <w:vAlign w:val="center"/>
                </w:tcPr>
                <w:p w14:paraId="7F902C27">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p>
              </w:tc>
            </w:tr>
            <w:tr w14:paraId="61092A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2" w:type="dxa"/>
                  <w:vMerge w:val="restart"/>
                  <w:tcBorders>
                    <w:tl2br w:val="nil"/>
                    <w:tr2bl w:val="nil"/>
                  </w:tcBorders>
                  <w:vAlign w:val="center"/>
                </w:tcPr>
                <w:p w14:paraId="1228DA20">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一般</w:t>
                  </w:r>
                </w:p>
                <w:p w14:paraId="3BF83A23">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szCs w:val="21"/>
                    </w:rPr>
                  </w:pPr>
                  <w:r>
                    <w:rPr>
                      <w:color w:val="auto"/>
                      <w:kern w:val="0"/>
                      <w:szCs w:val="21"/>
                    </w:rPr>
                    <w:t>防渗区</w:t>
                  </w:r>
                </w:p>
              </w:tc>
              <w:tc>
                <w:tcPr>
                  <w:tcW w:w="1519" w:type="dxa"/>
                  <w:tcBorders>
                    <w:tl2br w:val="nil"/>
                    <w:tr2bl w:val="nil"/>
                  </w:tcBorders>
                  <w:vAlign w:val="center"/>
                </w:tcPr>
                <w:p w14:paraId="45AC6681">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szCs w:val="21"/>
                    </w:rPr>
                  </w:pPr>
                  <w:r>
                    <w:rPr>
                      <w:color w:val="auto"/>
                      <w:kern w:val="0"/>
                      <w:szCs w:val="21"/>
                    </w:rPr>
                    <w:t>生产车间</w:t>
                  </w:r>
                </w:p>
              </w:tc>
              <w:tc>
                <w:tcPr>
                  <w:tcW w:w="2717" w:type="dxa"/>
                  <w:tcBorders>
                    <w:tl2br w:val="nil"/>
                    <w:tr2bl w:val="nil"/>
                  </w:tcBorders>
                  <w:vAlign w:val="center"/>
                </w:tcPr>
                <w:p w14:paraId="50965A78">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润滑油、切削液、</w:t>
                  </w:r>
                  <w:r>
                    <w:rPr>
                      <w:color w:val="auto"/>
                      <w:szCs w:val="21"/>
                    </w:rPr>
                    <w:t>环氧树脂绝缘漆</w:t>
                  </w:r>
                  <w:r>
                    <w:rPr>
                      <w:rFonts w:hint="eastAsia"/>
                      <w:color w:val="auto"/>
                      <w:szCs w:val="21"/>
                    </w:rPr>
                    <w:t>、</w:t>
                  </w:r>
                  <w:r>
                    <w:rPr>
                      <w:color w:val="auto"/>
                      <w:szCs w:val="21"/>
                    </w:rPr>
                    <w:t>水性丙烯酸聚氨酯面漆</w:t>
                  </w:r>
                  <w:r>
                    <w:rPr>
                      <w:rFonts w:hint="eastAsia"/>
                      <w:color w:val="auto"/>
                      <w:szCs w:val="21"/>
                    </w:rPr>
                    <w:t>等泄漏</w:t>
                  </w:r>
                </w:p>
              </w:tc>
              <w:tc>
                <w:tcPr>
                  <w:tcW w:w="1276" w:type="dxa"/>
                  <w:tcBorders>
                    <w:tl2br w:val="nil"/>
                    <w:tr2bl w:val="nil"/>
                  </w:tcBorders>
                  <w:vAlign w:val="center"/>
                </w:tcPr>
                <w:p w14:paraId="27B618F2">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szCs w:val="21"/>
                    </w:rPr>
                  </w:pPr>
                  <w:r>
                    <w:rPr>
                      <w:color w:val="auto"/>
                      <w:kern w:val="0"/>
                      <w:szCs w:val="21"/>
                    </w:rPr>
                    <w:t>垂直入渗、地面漫流</w:t>
                  </w:r>
                </w:p>
              </w:tc>
              <w:tc>
                <w:tcPr>
                  <w:tcW w:w="1845" w:type="dxa"/>
                  <w:vMerge w:val="restart"/>
                  <w:tcBorders>
                    <w:tl2br w:val="nil"/>
                    <w:tr2bl w:val="nil"/>
                  </w:tcBorders>
                  <w:vAlign w:val="center"/>
                </w:tcPr>
                <w:p w14:paraId="0E062261">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 xml:space="preserve">等效黏土防渗层 </w:t>
                  </w:r>
                  <w:r>
                    <w:rPr>
                      <w:color w:val="auto"/>
                      <w:kern w:val="0"/>
                      <w:szCs w:val="21"/>
                    </w:rPr>
                    <w:t>Mb≥1.5m</w:t>
                  </w:r>
                  <w:r>
                    <w:rPr>
                      <w:rFonts w:hint="eastAsia"/>
                      <w:color w:val="auto"/>
                      <w:kern w:val="0"/>
                      <w:szCs w:val="21"/>
                    </w:rPr>
                    <w:t>，</w:t>
                  </w:r>
                  <w:r>
                    <w:rPr>
                      <w:color w:val="auto"/>
                      <w:kern w:val="0"/>
                      <w:szCs w:val="21"/>
                    </w:rPr>
                    <w:t xml:space="preserve">K≤1 </w:t>
                  </w:r>
                </w:p>
                <w:p w14:paraId="560A1623">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×10</w:t>
                  </w:r>
                  <w:r>
                    <w:rPr>
                      <w:rFonts w:hint="eastAsia"/>
                      <w:color w:val="auto"/>
                      <w:kern w:val="0"/>
                      <w:szCs w:val="21"/>
                      <w:lang w:eastAsia="zh-CN"/>
                    </w:rPr>
                    <w:t>—</w:t>
                  </w:r>
                  <w:r>
                    <w:rPr>
                      <w:color w:val="auto"/>
                      <w:kern w:val="0"/>
                      <w:szCs w:val="21"/>
                      <w:vertAlign w:val="superscript"/>
                    </w:rPr>
                    <w:t>7</w:t>
                  </w:r>
                  <w:r>
                    <w:rPr>
                      <w:color w:val="auto"/>
                      <w:kern w:val="0"/>
                      <w:szCs w:val="21"/>
                    </w:rPr>
                    <w:t>cm/s</w:t>
                  </w:r>
                  <w:r>
                    <w:rPr>
                      <w:rFonts w:hint="eastAsia"/>
                      <w:color w:val="auto"/>
                      <w:kern w:val="0"/>
                      <w:szCs w:val="21"/>
                    </w:rPr>
                    <w:t>；或参照</w:t>
                  </w:r>
                  <w:r>
                    <w:rPr>
                      <w:color w:val="auto"/>
                      <w:kern w:val="0"/>
                      <w:szCs w:val="21"/>
                    </w:rPr>
                    <w:t>GB16889</w:t>
                  </w:r>
                  <w:r>
                    <w:rPr>
                      <w:rFonts w:hint="eastAsia"/>
                      <w:color w:val="auto"/>
                      <w:kern w:val="0"/>
                      <w:szCs w:val="21"/>
                    </w:rPr>
                    <w:t>执行</w:t>
                  </w:r>
                </w:p>
              </w:tc>
            </w:tr>
            <w:tr w14:paraId="540EA9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2" w:type="dxa"/>
                  <w:vMerge w:val="continue"/>
                  <w:tcBorders>
                    <w:tl2br w:val="nil"/>
                    <w:tr2bl w:val="nil"/>
                  </w:tcBorders>
                  <w:vAlign w:val="center"/>
                </w:tcPr>
                <w:p w14:paraId="3E5C7375">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c>
                <w:tcPr>
                  <w:tcW w:w="1519" w:type="dxa"/>
                  <w:tcBorders>
                    <w:tl2br w:val="nil"/>
                    <w:tr2bl w:val="nil"/>
                  </w:tcBorders>
                  <w:vAlign w:val="center"/>
                </w:tcPr>
                <w:p w14:paraId="59CF7806">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szCs w:val="21"/>
                    </w:rPr>
                  </w:pPr>
                  <w:r>
                    <w:rPr>
                      <w:color w:val="auto"/>
                      <w:kern w:val="0"/>
                      <w:szCs w:val="21"/>
                    </w:rPr>
                    <w:t>一般固废</w:t>
                  </w:r>
                  <w:r>
                    <w:rPr>
                      <w:rFonts w:hint="eastAsia"/>
                      <w:color w:val="auto"/>
                      <w:kern w:val="0"/>
                      <w:szCs w:val="21"/>
                      <w:lang w:eastAsia="zh-CN"/>
                    </w:rPr>
                    <w:t>仓库</w:t>
                  </w:r>
                  <w:r>
                    <w:rPr>
                      <w:color w:val="auto"/>
                      <w:kern w:val="0"/>
                      <w:szCs w:val="21"/>
                    </w:rPr>
                    <w:t>、化粪池等</w:t>
                  </w:r>
                </w:p>
              </w:tc>
              <w:tc>
                <w:tcPr>
                  <w:tcW w:w="2717" w:type="dxa"/>
                  <w:tcBorders>
                    <w:tl2br w:val="nil"/>
                    <w:tr2bl w:val="nil"/>
                  </w:tcBorders>
                  <w:vAlign w:val="center"/>
                </w:tcPr>
                <w:p w14:paraId="6D922E0F">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1276" w:type="dxa"/>
                  <w:tcBorders>
                    <w:tl2br w:val="nil"/>
                    <w:tr2bl w:val="nil"/>
                  </w:tcBorders>
                  <w:vAlign w:val="center"/>
                </w:tcPr>
                <w:p w14:paraId="17C33C8A">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szCs w:val="21"/>
                    </w:rPr>
                  </w:pPr>
                  <w:r>
                    <w:rPr>
                      <w:color w:val="auto"/>
                      <w:kern w:val="0"/>
                      <w:szCs w:val="21"/>
                    </w:rPr>
                    <w:t>垂直入渗、地面漫流</w:t>
                  </w:r>
                </w:p>
              </w:tc>
              <w:tc>
                <w:tcPr>
                  <w:tcW w:w="1845" w:type="dxa"/>
                  <w:vMerge w:val="continue"/>
                  <w:tcBorders>
                    <w:tl2br w:val="nil"/>
                    <w:tr2bl w:val="nil"/>
                  </w:tcBorders>
                  <w:vAlign w:val="center"/>
                </w:tcPr>
                <w:p w14:paraId="08CBC9BF">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p>
              </w:tc>
            </w:tr>
            <w:tr w14:paraId="340B6B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2" w:type="dxa"/>
                  <w:tcBorders>
                    <w:tl2br w:val="nil"/>
                    <w:tr2bl w:val="nil"/>
                  </w:tcBorders>
                  <w:vAlign w:val="center"/>
                </w:tcPr>
                <w:p w14:paraId="78A6BFEE">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简单</w:t>
                  </w:r>
                </w:p>
                <w:p w14:paraId="1FA543FF">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szCs w:val="21"/>
                    </w:rPr>
                  </w:pPr>
                  <w:r>
                    <w:rPr>
                      <w:color w:val="auto"/>
                      <w:kern w:val="0"/>
                      <w:szCs w:val="21"/>
                    </w:rPr>
                    <w:t>防渗区</w:t>
                  </w:r>
                </w:p>
              </w:tc>
              <w:tc>
                <w:tcPr>
                  <w:tcW w:w="1519" w:type="dxa"/>
                  <w:tcBorders>
                    <w:tl2br w:val="nil"/>
                    <w:tr2bl w:val="nil"/>
                  </w:tcBorders>
                  <w:vAlign w:val="center"/>
                </w:tcPr>
                <w:p w14:paraId="1AE92273">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szCs w:val="21"/>
                    </w:rPr>
                  </w:pPr>
                  <w:r>
                    <w:rPr>
                      <w:color w:val="auto"/>
                      <w:kern w:val="0"/>
                      <w:szCs w:val="21"/>
                    </w:rPr>
                    <w:t>办公区</w:t>
                  </w:r>
                </w:p>
              </w:tc>
              <w:tc>
                <w:tcPr>
                  <w:tcW w:w="2717" w:type="dxa"/>
                  <w:tcBorders>
                    <w:tl2br w:val="nil"/>
                    <w:tr2bl w:val="nil"/>
                  </w:tcBorders>
                  <w:vAlign w:val="center"/>
                </w:tcPr>
                <w:p w14:paraId="61A734D3">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1276" w:type="dxa"/>
                  <w:tcBorders>
                    <w:tl2br w:val="nil"/>
                    <w:tr2bl w:val="nil"/>
                  </w:tcBorders>
                  <w:vAlign w:val="center"/>
                </w:tcPr>
                <w:p w14:paraId="054EC225">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1845" w:type="dxa"/>
                  <w:tcBorders>
                    <w:tl2br w:val="nil"/>
                    <w:tr2bl w:val="nil"/>
                  </w:tcBorders>
                  <w:vAlign w:val="center"/>
                </w:tcPr>
                <w:p w14:paraId="3A7378D3">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auto"/>
                      <w:szCs w:val="21"/>
                    </w:rPr>
                  </w:pPr>
                  <w:r>
                    <w:rPr>
                      <w:color w:val="auto"/>
                      <w:kern w:val="0"/>
                      <w:szCs w:val="21"/>
                    </w:rPr>
                    <w:t>一般地面硬化</w:t>
                  </w:r>
                </w:p>
              </w:tc>
            </w:tr>
          </w:tbl>
          <w:p w14:paraId="20FCF56E">
            <w:pPr>
              <w:adjustRightInd w:val="0"/>
              <w:snapToGrid w:val="0"/>
              <w:spacing w:before="120" w:beforeLines="50" w:line="360" w:lineRule="auto"/>
              <w:ind w:firstLine="480" w:firstLineChars="200"/>
              <w:rPr>
                <w:color w:val="auto"/>
                <w:sz w:val="24"/>
              </w:rPr>
            </w:pPr>
            <w:r>
              <w:rPr>
                <w:rFonts w:hint="eastAsia"/>
                <w:color w:val="auto"/>
                <w:sz w:val="24"/>
              </w:rPr>
              <w:t>采取以上污染防治措施后，建设项目对周围地下水和土壤环境影响可得到有效控制。</w:t>
            </w:r>
          </w:p>
          <w:p w14:paraId="0719A703">
            <w:pPr>
              <w:adjustRightInd w:val="0"/>
              <w:snapToGrid w:val="0"/>
              <w:spacing w:line="360" w:lineRule="auto"/>
              <w:ind w:firstLine="482" w:firstLineChars="200"/>
              <w:rPr>
                <w:b/>
                <w:bCs/>
                <w:color w:val="auto"/>
                <w:sz w:val="24"/>
              </w:rPr>
            </w:pPr>
            <w:r>
              <w:rPr>
                <w:b/>
                <w:bCs/>
                <w:color w:val="auto"/>
                <w:sz w:val="24"/>
              </w:rPr>
              <w:t>5.</w:t>
            </w:r>
            <w:r>
              <w:rPr>
                <w:rFonts w:hint="eastAsia"/>
                <w:b/>
                <w:bCs/>
                <w:color w:val="auto"/>
                <w:sz w:val="24"/>
              </w:rPr>
              <w:t>2跟踪监测</w:t>
            </w:r>
          </w:p>
          <w:p w14:paraId="64326091">
            <w:pPr>
              <w:adjustRightInd w:val="0"/>
              <w:snapToGrid w:val="0"/>
              <w:spacing w:line="360" w:lineRule="auto"/>
              <w:ind w:firstLine="480" w:firstLineChars="200"/>
              <w:rPr>
                <w:color w:val="auto"/>
                <w:sz w:val="24"/>
              </w:rPr>
            </w:pPr>
            <w:r>
              <w:rPr>
                <w:rFonts w:hint="eastAsia"/>
                <w:color w:val="auto"/>
                <w:sz w:val="24"/>
              </w:rPr>
              <w:t>企业水性</w:t>
            </w:r>
            <w:r>
              <w:rPr>
                <w:color w:val="auto"/>
                <w:sz w:val="24"/>
              </w:rPr>
              <w:t>环氧</w:t>
            </w:r>
            <w:r>
              <w:rPr>
                <w:rFonts w:hint="eastAsia"/>
                <w:color w:val="auto"/>
                <w:sz w:val="24"/>
              </w:rPr>
              <w:t>绝缘</w:t>
            </w:r>
            <w:r>
              <w:rPr>
                <w:color w:val="auto"/>
                <w:sz w:val="24"/>
              </w:rPr>
              <w:t>树脂</w:t>
            </w:r>
            <w:r>
              <w:rPr>
                <w:rFonts w:hint="eastAsia"/>
                <w:color w:val="auto"/>
                <w:sz w:val="24"/>
              </w:rPr>
              <w:t>、</w:t>
            </w:r>
            <w:r>
              <w:rPr>
                <w:color w:val="auto"/>
                <w:sz w:val="24"/>
              </w:rPr>
              <w:t>水性丙烯酸聚氨酯面漆</w:t>
            </w:r>
            <w:r>
              <w:rPr>
                <w:rFonts w:hint="eastAsia"/>
                <w:color w:val="auto"/>
                <w:sz w:val="24"/>
              </w:rPr>
              <w:t>、切削液、润滑油、废润滑油、废切削液采用密闭桶装，废活性炭采用密闭袋装、废包装桶密闭贮存于危险废物暂存场所，企业危险废物暂存场所进行防渗防漏设计防止洒落地面的污染物渗入地下，并把滞留在地面的污染物收集起来，难以污染地下水及土壤，因此企业不需要进行地下水、土壤跟踪监测。</w:t>
            </w:r>
          </w:p>
          <w:p w14:paraId="54133225">
            <w:pPr>
              <w:adjustRightInd w:val="0"/>
              <w:snapToGrid w:val="0"/>
              <w:spacing w:line="360" w:lineRule="auto"/>
              <w:ind w:firstLine="482" w:firstLineChars="200"/>
              <w:rPr>
                <w:b/>
                <w:color w:val="auto"/>
                <w:sz w:val="24"/>
              </w:rPr>
            </w:pPr>
            <w:bookmarkStart w:id="36" w:name="_Toc53512848"/>
            <w:r>
              <w:rPr>
                <w:b/>
                <w:color w:val="auto"/>
                <w:sz w:val="24"/>
              </w:rPr>
              <w:t>6.电磁辐射</w:t>
            </w:r>
          </w:p>
          <w:p w14:paraId="1B7F9A67">
            <w:pPr>
              <w:adjustRightInd w:val="0"/>
              <w:snapToGrid w:val="0"/>
              <w:spacing w:line="360" w:lineRule="auto"/>
              <w:ind w:firstLine="480" w:firstLineChars="200"/>
              <w:rPr>
                <w:color w:val="auto"/>
                <w:sz w:val="24"/>
              </w:rPr>
            </w:pPr>
            <w:r>
              <w:rPr>
                <w:color w:val="auto"/>
                <w:sz w:val="24"/>
              </w:rPr>
              <w:t>本项目不涉及电磁辐射环境影响。</w:t>
            </w:r>
            <w:bookmarkEnd w:id="36"/>
          </w:p>
          <w:p w14:paraId="01141FA9">
            <w:pPr>
              <w:adjustRightInd w:val="0"/>
              <w:snapToGrid w:val="0"/>
              <w:spacing w:line="360" w:lineRule="auto"/>
              <w:ind w:firstLine="482" w:firstLineChars="200"/>
              <w:rPr>
                <w:b/>
                <w:color w:val="auto"/>
                <w:sz w:val="24"/>
              </w:rPr>
            </w:pPr>
            <w:r>
              <w:rPr>
                <w:b/>
                <w:color w:val="auto"/>
                <w:sz w:val="24"/>
              </w:rPr>
              <w:t>7</w:t>
            </w:r>
            <w:r>
              <w:rPr>
                <w:rFonts w:hint="eastAsia"/>
                <w:b/>
                <w:color w:val="auto"/>
                <w:sz w:val="24"/>
              </w:rPr>
              <w:t>.</w:t>
            </w:r>
            <w:r>
              <w:rPr>
                <w:b/>
                <w:color w:val="auto"/>
                <w:sz w:val="24"/>
              </w:rPr>
              <w:t>环境风险分析</w:t>
            </w:r>
          </w:p>
          <w:p w14:paraId="0E34580A">
            <w:pPr>
              <w:pStyle w:val="142"/>
              <w:autoSpaceDE w:val="0"/>
              <w:autoSpaceDN w:val="0"/>
              <w:adjustRightInd w:val="0"/>
              <w:snapToGrid w:val="0"/>
              <w:spacing w:line="360" w:lineRule="auto"/>
              <w:ind w:firstLine="482"/>
              <w:rPr>
                <w:rFonts w:ascii="Times New Roman" w:hAnsi="Times New Roman" w:cs="Times New Roman"/>
                <w:b/>
                <w:color w:val="auto"/>
              </w:rPr>
            </w:pPr>
            <w:r>
              <w:rPr>
                <w:rFonts w:hint="eastAsia" w:ascii="Times New Roman" w:hAnsi="Times New Roman" w:cs="Times New Roman"/>
                <w:b/>
                <w:color w:val="auto"/>
              </w:rPr>
              <w:t>7.1</w:t>
            </w:r>
            <w:r>
              <w:rPr>
                <w:rFonts w:ascii="Times New Roman" w:hAnsi="Times New Roman" w:cs="Times New Roman"/>
                <w:b/>
                <w:color w:val="auto"/>
              </w:rPr>
              <w:t>危险物质数量及分布情况及风险潜势初判</w:t>
            </w:r>
          </w:p>
          <w:p w14:paraId="2CB79935">
            <w:pPr>
              <w:autoSpaceDE w:val="0"/>
              <w:autoSpaceDN w:val="0"/>
              <w:adjustRightInd w:val="0"/>
              <w:snapToGrid w:val="0"/>
              <w:spacing w:line="360" w:lineRule="auto"/>
              <w:ind w:firstLine="480" w:firstLineChars="200"/>
              <w:rPr>
                <w:bCs/>
                <w:color w:val="auto"/>
                <w:sz w:val="24"/>
              </w:rPr>
            </w:pPr>
            <w:r>
              <w:rPr>
                <w:rFonts w:hint="eastAsia"/>
                <w:bCs/>
                <w:color w:val="auto"/>
                <w:sz w:val="24"/>
              </w:rPr>
              <w:t>（</w:t>
            </w:r>
            <w:r>
              <w:rPr>
                <w:bCs/>
                <w:color w:val="auto"/>
                <w:sz w:val="24"/>
              </w:rPr>
              <w:t>1</w:t>
            </w:r>
            <w:r>
              <w:rPr>
                <w:rFonts w:hint="eastAsia"/>
                <w:bCs/>
                <w:color w:val="auto"/>
                <w:sz w:val="24"/>
              </w:rPr>
              <w:t>）</w:t>
            </w:r>
            <w:r>
              <w:rPr>
                <w:bCs/>
                <w:color w:val="auto"/>
                <w:sz w:val="24"/>
              </w:rPr>
              <w:t>风险源调查</w:t>
            </w:r>
          </w:p>
          <w:p w14:paraId="280E732F">
            <w:pPr>
              <w:autoSpaceDE w:val="0"/>
              <w:autoSpaceDN w:val="0"/>
              <w:adjustRightInd w:val="0"/>
              <w:snapToGrid w:val="0"/>
              <w:spacing w:line="360" w:lineRule="auto"/>
              <w:ind w:firstLine="480" w:firstLineChars="200"/>
              <w:rPr>
                <w:color w:val="auto"/>
              </w:rPr>
            </w:pPr>
            <w:r>
              <w:rPr>
                <w:rFonts w:hint="eastAsia"/>
                <w:color w:val="auto"/>
                <w:sz w:val="24"/>
              </w:rPr>
              <w:t>本项目定子组件加工过程焊接工序使用氢氧焊机进行焊接，氢氧焊机在运行过程中会产生氢气，</w:t>
            </w:r>
            <w:r>
              <w:rPr>
                <w:rFonts w:hint="eastAsia"/>
                <w:color w:val="auto"/>
                <w:sz w:val="24"/>
                <w:lang w:eastAsia="zh-CN"/>
              </w:rPr>
              <w:t>若设备发生故障，氢气未及时燃烧，富集的氢气遇明火可能会发生火灾爆炸事故，</w:t>
            </w:r>
            <w:r>
              <w:rPr>
                <w:rFonts w:hint="eastAsia"/>
                <w:color w:val="auto"/>
                <w:sz w:val="24"/>
              </w:rPr>
              <w:t>氢气《企业突发环境事件风险分级方法》（HJ941-2018）是附录A规定的易燃易爆气态物质，氢气在燃烧过程中会产生水直接排入大气环境，不会形成贮存条件，因此不予计入Q值。</w:t>
            </w:r>
          </w:p>
          <w:p w14:paraId="663276C1">
            <w:pPr>
              <w:autoSpaceDE w:val="0"/>
              <w:autoSpaceDN w:val="0"/>
              <w:adjustRightInd w:val="0"/>
              <w:snapToGrid w:val="0"/>
              <w:spacing w:line="360" w:lineRule="auto"/>
              <w:ind w:firstLine="480" w:firstLineChars="200"/>
              <w:rPr>
                <w:color w:val="auto"/>
                <w:sz w:val="24"/>
                <w:szCs w:val="24"/>
              </w:rPr>
            </w:pPr>
            <w:r>
              <w:rPr>
                <w:rFonts w:hint="eastAsia"/>
                <w:color w:val="auto"/>
                <w:sz w:val="24"/>
                <w:szCs w:val="24"/>
                <w:lang w:eastAsia="zh-CN"/>
              </w:rPr>
              <w:t>本项目食堂以天然气作为能源，天然气以城市管道的形式进入厂区范围，厂区内不设置燃气罐，食堂灶头使用的燃气通过管道输送进入厂区，在厂区范围内贮存情况是以厂界到食堂灶头输气管线中存在量为最大贮存量，</w:t>
            </w:r>
            <w:r>
              <w:rPr>
                <w:color w:val="auto"/>
                <w:sz w:val="24"/>
                <w:szCs w:val="24"/>
              </w:rPr>
              <w:t>天然气中</w:t>
            </w:r>
            <w:r>
              <w:rPr>
                <w:rFonts w:hint="eastAsia"/>
                <w:color w:val="auto"/>
                <w:sz w:val="24"/>
                <w:szCs w:val="24"/>
                <w:lang w:eastAsia="zh-CN"/>
              </w:rPr>
              <w:t>主要成分</w:t>
            </w:r>
            <w:r>
              <w:rPr>
                <w:color w:val="auto"/>
                <w:sz w:val="24"/>
                <w:szCs w:val="24"/>
              </w:rPr>
              <w:t>为甲烷，甲烷是</w:t>
            </w:r>
            <w:r>
              <w:rPr>
                <w:rStyle w:val="4052"/>
                <w:rFonts w:hint="default"/>
                <w:color w:val="auto"/>
                <w:sz w:val="24"/>
                <w:szCs w:val="24"/>
              </w:rPr>
              <w:t>《建设项目环境风险评价技术导则》（</w:t>
            </w:r>
            <w:r>
              <w:rPr>
                <w:rStyle w:val="4054"/>
                <w:color w:val="auto"/>
                <w:sz w:val="24"/>
                <w:szCs w:val="24"/>
              </w:rPr>
              <w:t>HJ169-2018</w:t>
            </w:r>
            <w:r>
              <w:rPr>
                <w:rStyle w:val="4052"/>
                <w:rFonts w:hint="default"/>
                <w:color w:val="auto"/>
                <w:sz w:val="24"/>
                <w:szCs w:val="24"/>
              </w:rPr>
              <w:t>）</w:t>
            </w:r>
            <w:r>
              <w:rPr>
                <w:color w:val="auto"/>
                <w:sz w:val="24"/>
                <w:szCs w:val="24"/>
              </w:rPr>
              <w:t>中附录B规定的风险物质；本项目在燃烧过程中会产生二氧化硫和氮氧化物，但会随着燃烧排放的废气直接排入大气环境，不会形成贮存条件，因此不予计入Q值。</w:t>
            </w:r>
          </w:p>
          <w:p w14:paraId="63C5223A">
            <w:pPr>
              <w:autoSpaceDE w:val="0"/>
              <w:autoSpaceDN w:val="0"/>
              <w:adjustRightInd w:val="0"/>
              <w:snapToGrid w:val="0"/>
              <w:spacing w:line="360" w:lineRule="auto"/>
              <w:ind w:firstLine="480" w:firstLineChars="200"/>
              <w:rPr>
                <w:rFonts w:hint="eastAsia"/>
                <w:color w:val="auto"/>
                <w:lang w:eastAsia="zh-CN"/>
              </w:rPr>
            </w:pPr>
            <w:r>
              <w:rPr>
                <w:rFonts w:hint="eastAsia"/>
                <w:color w:val="auto"/>
                <w:sz w:val="24"/>
              </w:rPr>
              <w:t>厂区内（从厂界规划红线到</w:t>
            </w:r>
            <w:r>
              <w:rPr>
                <w:rFonts w:hint="eastAsia"/>
                <w:color w:val="auto"/>
                <w:sz w:val="24"/>
                <w:lang w:eastAsia="zh-CN"/>
              </w:rPr>
              <w:t>食堂</w:t>
            </w:r>
            <w:r>
              <w:rPr>
                <w:rFonts w:hint="eastAsia"/>
                <w:color w:val="auto"/>
                <w:sz w:val="24"/>
              </w:rPr>
              <w:t>内）天然气进气管线长</w:t>
            </w:r>
            <w:r>
              <w:rPr>
                <w:rFonts w:hint="eastAsia"/>
                <w:color w:val="auto"/>
                <w:sz w:val="24"/>
                <w:lang w:val="en-US" w:eastAsia="zh-CN"/>
              </w:rPr>
              <w:t>8</w:t>
            </w:r>
            <w:r>
              <w:rPr>
                <w:rFonts w:hint="eastAsia"/>
                <w:color w:val="auto"/>
                <w:sz w:val="24"/>
              </w:rPr>
              <w:t>0m，管径DN200，则天然气厂区内储存量：0.7174*3.14*(0.2/2)</w:t>
            </w:r>
            <w:r>
              <w:rPr>
                <w:rFonts w:hint="eastAsia"/>
                <w:color w:val="auto"/>
                <w:sz w:val="24"/>
                <w:vertAlign w:val="superscript"/>
              </w:rPr>
              <w:t>2</w:t>
            </w:r>
            <w:r>
              <w:rPr>
                <w:rFonts w:hint="eastAsia"/>
                <w:color w:val="auto"/>
                <w:sz w:val="24"/>
              </w:rPr>
              <w:t>*</w:t>
            </w:r>
            <w:r>
              <w:rPr>
                <w:rFonts w:hint="eastAsia"/>
                <w:color w:val="auto"/>
                <w:sz w:val="24"/>
                <w:lang w:val="en-US" w:eastAsia="zh-CN"/>
              </w:rPr>
              <w:t>8</w:t>
            </w:r>
            <w:r>
              <w:rPr>
                <w:rFonts w:hint="eastAsia"/>
                <w:color w:val="auto"/>
                <w:sz w:val="24"/>
              </w:rPr>
              <w:t>0≈</w:t>
            </w:r>
            <w:r>
              <w:rPr>
                <w:rFonts w:hint="eastAsia"/>
                <w:color w:val="auto"/>
                <w:sz w:val="24"/>
                <w:lang w:val="en-US" w:eastAsia="zh-CN"/>
              </w:rPr>
              <w:t>1.8</w:t>
            </w:r>
            <w:r>
              <w:rPr>
                <w:rFonts w:hint="eastAsia"/>
                <w:color w:val="auto"/>
                <w:sz w:val="24"/>
              </w:rPr>
              <w:t>kg（天然气密度取0.7174kg/Nm</w:t>
            </w:r>
            <w:r>
              <w:rPr>
                <w:rFonts w:hint="eastAsia"/>
                <w:color w:val="auto"/>
                <w:sz w:val="24"/>
                <w:vertAlign w:val="superscript"/>
              </w:rPr>
              <w:t>3</w:t>
            </w:r>
            <w:r>
              <w:rPr>
                <w:rFonts w:hint="eastAsia"/>
                <w:color w:val="auto"/>
                <w:sz w:val="24"/>
              </w:rPr>
              <w:t>），天然气以甲烷</w:t>
            </w:r>
            <w:r>
              <w:rPr>
                <w:rFonts w:hint="eastAsia"/>
                <w:color w:val="auto"/>
                <w:sz w:val="24"/>
                <w:lang w:eastAsia="zh-CN"/>
              </w:rPr>
              <w:t>成分</w:t>
            </w:r>
            <w:r>
              <w:rPr>
                <w:rFonts w:hint="eastAsia"/>
                <w:color w:val="auto"/>
                <w:sz w:val="24"/>
              </w:rPr>
              <w:t>为主，占比为96.01%，则甲烷厂区内储存量：</w:t>
            </w:r>
            <w:r>
              <w:rPr>
                <w:rFonts w:hint="eastAsia"/>
                <w:color w:val="auto"/>
                <w:sz w:val="24"/>
                <w:lang w:val="en-US" w:eastAsia="zh-CN"/>
              </w:rPr>
              <w:t>1.8</w:t>
            </w:r>
            <w:r>
              <w:rPr>
                <w:rFonts w:hint="eastAsia"/>
                <w:color w:val="auto"/>
                <w:sz w:val="24"/>
              </w:rPr>
              <w:t>*96.01%≈</w:t>
            </w:r>
            <w:r>
              <w:rPr>
                <w:rFonts w:hint="eastAsia"/>
                <w:color w:val="auto"/>
                <w:sz w:val="24"/>
                <w:lang w:val="en-US" w:eastAsia="zh-CN"/>
              </w:rPr>
              <w:t>1.728</w:t>
            </w:r>
            <w:r>
              <w:rPr>
                <w:rFonts w:hint="eastAsia"/>
                <w:color w:val="auto"/>
                <w:sz w:val="24"/>
              </w:rPr>
              <w:t>kg。</w:t>
            </w:r>
          </w:p>
          <w:p w14:paraId="5F354093">
            <w:pPr>
              <w:autoSpaceDE w:val="0"/>
              <w:autoSpaceDN w:val="0"/>
              <w:adjustRightInd w:val="0"/>
              <w:snapToGrid w:val="0"/>
              <w:spacing w:line="360" w:lineRule="auto"/>
              <w:ind w:firstLine="480" w:firstLineChars="200"/>
              <w:rPr>
                <w:color w:val="auto"/>
                <w:sz w:val="24"/>
              </w:rPr>
            </w:pPr>
            <w:r>
              <w:rPr>
                <w:color w:val="auto"/>
                <w:sz w:val="24"/>
              </w:rPr>
              <w:t>本项目主要风险物质为：</w:t>
            </w:r>
            <w:r>
              <w:rPr>
                <w:rFonts w:hint="eastAsia"/>
                <w:color w:val="auto"/>
                <w:sz w:val="24"/>
              </w:rPr>
              <w:t>润滑油、废润滑油、切削液、废切削液、废活性炭、废包装桶、氢气</w:t>
            </w:r>
            <w:r>
              <w:rPr>
                <w:rFonts w:hint="eastAsia"/>
                <w:color w:val="auto"/>
                <w:sz w:val="24"/>
                <w:lang w:eastAsia="zh-CN"/>
              </w:rPr>
              <w:t>、天然气</w:t>
            </w:r>
            <w:r>
              <w:rPr>
                <w:color w:val="auto"/>
                <w:sz w:val="24"/>
              </w:rPr>
              <w:t>。</w:t>
            </w:r>
          </w:p>
          <w:p w14:paraId="7849C7C3">
            <w:pPr>
              <w:pStyle w:val="142"/>
              <w:autoSpaceDE w:val="0"/>
              <w:autoSpaceDN w:val="0"/>
              <w:adjustRightInd w:val="0"/>
              <w:snapToGrid w:val="0"/>
              <w:spacing w:line="360" w:lineRule="auto"/>
              <w:ind w:firstLine="480"/>
              <w:rPr>
                <w:rFonts w:ascii="Times New Roman" w:hAnsi="Times New Roman" w:cs="Times New Roman"/>
                <w:bCs/>
                <w:color w:val="auto"/>
              </w:rPr>
            </w:pPr>
            <w:r>
              <w:rPr>
                <w:rFonts w:hint="eastAsia"/>
                <w:bCs/>
                <w:color w:val="auto"/>
              </w:rPr>
              <w:t>①</w:t>
            </w:r>
            <w:r>
              <w:rPr>
                <w:rFonts w:ascii="Times New Roman" w:hAnsi="Times New Roman" w:cs="Times New Roman"/>
                <w:bCs/>
                <w:color w:val="auto"/>
              </w:rPr>
              <w:t>危险物质数量及分布情况</w:t>
            </w:r>
          </w:p>
          <w:p w14:paraId="0B72B5F9">
            <w:pPr>
              <w:adjustRightInd w:val="0"/>
              <w:snapToGrid w:val="0"/>
              <w:spacing w:line="360" w:lineRule="auto"/>
              <w:ind w:firstLine="480" w:firstLineChars="200"/>
              <w:rPr>
                <w:color w:val="auto"/>
                <w:sz w:val="24"/>
              </w:rPr>
            </w:pPr>
            <w:r>
              <w:rPr>
                <w:color w:val="auto"/>
                <w:sz w:val="24"/>
              </w:rPr>
              <w:t>本项目危险物质数量及分布情况见表4-</w:t>
            </w:r>
            <w:r>
              <w:rPr>
                <w:rFonts w:hint="eastAsia"/>
                <w:color w:val="auto"/>
                <w:sz w:val="24"/>
              </w:rPr>
              <w:t>2</w:t>
            </w:r>
            <w:r>
              <w:rPr>
                <w:rFonts w:hint="eastAsia"/>
                <w:color w:val="auto"/>
                <w:sz w:val="24"/>
                <w:lang w:val="en-US" w:eastAsia="zh-CN"/>
              </w:rPr>
              <w:t>5</w:t>
            </w:r>
            <w:r>
              <w:rPr>
                <w:color w:val="auto"/>
                <w:sz w:val="24"/>
              </w:rPr>
              <w:t>。</w:t>
            </w:r>
          </w:p>
          <w:p w14:paraId="6D9765A6">
            <w:pPr>
              <w:widowControl/>
              <w:shd w:val="clear" w:color="auto" w:fill="FFFFFF"/>
              <w:adjustRightInd w:val="0"/>
              <w:snapToGrid w:val="0"/>
              <w:ind w:firstLine="482" w:firstLineChars="200"/>
              <w:jc w:val="center"/>
              <w:outlineLvl w:val="9"/>
              <w:rPr>
                <w:b/>
                <w:bCs/>
                <w:color w:val="auto"/>
                <w:sz w:val="24"/>
              </w:rPr>
            </w:pPr>
            <w:r>
              <w:rPr>
                <w:b/>
                <w:bCs/>
                <w:color w:val="auto"/>
                <w:sz w:val="24"/>
              </w:rPr>
              <w:t>表4-</w:t>
            </w:r>
            <w:r>
              <w:rPr>
                <w:rFonts w:hint="eastAsia"/>
                <w:b/>
                <w:bCs/>
                <w:color w:val="auto"/>
                <w:sz w:val="24"/>
              </w:rPr>
              <w:t>2</w:t>
            </w:r>
            <w:r>
              <w:rPr>
                <w:rFonts w:hint="eastAsia"/>
                <w:b/>
                <w:bCs/>
                <w:color w:val="auto"/>
                <w:sz w:val="24"/>
                <w:lang w:val="en-US" w:eastAsia="zh-CN"/>
              </w:rPr>
              <w:t>5</w:t>
            </w:r>
            <w:r>
              <w:rPr>
                <w:b/>
                <w:bCs/>
                <w:color w:val="auto"/>
                <w:sz w:val="24"/>
              </w:rPr>
              <w:t>危险物质数量及分布情况一览表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352"/>
              <w:gridCol w:w="2100"/>
              <w:gridCol w:w="2204"/>
              <w:gridCol w:w="1803"/>
            </w:tblGrid>
            <w:tr w14:paraId="439F73E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90" w:type="pct"/>
                  <w:vAlign w:val="center"/>
                </w:tcPr>
                <w:p w14:paraId="286A7024">
                  <w:pPr>
                    <w:keepNext w:val="0"/>
                    <w:keepLines w:val="0"/>
                    <w:pageBreakBefore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名称</w:t>
                  </w:r>
                </w:p>
              </w:tc>
              <w:tc>
                <w:tcPr>
                  <w:tcW w:w="1241" w:type="pct"/>
                  <w:vAlign w:val="center"/>
                </w:tcPr>
                <w:p w14:paraId="2E7754D5">
                  <w:pPr>
                    <w:keepNext w:val="0"/>
                    <w:keepLines w:val="0"/>
                    <w:pageBreakBefore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主要规格/型号</w:t>
                  </w:r>
                </w:p>
              </w:tc>
              <w:tc>
                <w:tcPr>
                  <w:tcW w:w="1302" w:type="pct"/>
                  <w:vAlign w:val="center"/>
                </w:tcPr>
                <w:p w14:paraId="3F085BE6">
                  <w:pPr>
                    <w:keepNext w:val="0"/>
                    <w:keepLines w:val="0"/>
                    <w:pageBreakBefore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最大贮存量t</w:t>
                  </w:r>
                </w:p>
              </w:tc>
              <w:tc>
                <w:tcPr>
                  <w:tcW w:w="1065" w:type="pct"/>
                  <w:vAlign w:val="center"/>
                </w:tcPr>
                <w:p w14:paraId="042BDD6D">
                  <w:pPr>
                    <w:keepNext w:val="0"/>
                    <w:keepLines w:val="0"/>
                    <w:pageBreakBefore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分布</w:t>
                  </w:r>
                </w:p>
              </w:tc>
            </w:tr>
            <w:tr w14:paraId="2A76FB3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90" w:type="pct"/>
                  <w:vAlign w:val="center"/>
                </w:tcPr>
                <w:p w14:paraId="54A4860E">
                  <w:pPr>
                    <w:keepNext w:val="0"/>
                    <w:keepLines w:val="0"/>
                    <w:pageBreakBefore w:val="0"/>
                    <w:widowControl/>
                    <w:kinsoku/>
                    <w:wordWrap/>
                    <w:overflowPunct/>
                    <w:topLinePunct w:val="0"/>
                    <w:autoSpaceDE/>
                    <w:autoSpaceDN/>
                    <w:bidi w:val="0"/>
                    <w:adjustRightInd w:val="0"/>
                    <w:snapToGrid w:val="0"/>
                    <w:ind w:left="-105" w:leftChars="-50" w:right="-105" w:rightChars="-50" w:firstLine="0"/>
                    <w:jc w:val="center"/>
                    <w:textAlignment w:val="auto"/>
                    <w:rPr>
                      <w:color w:val="auto"/>
                      <w:kern w:val="0"/>
                      <w:szCs w:val="21"/>
                    </w:rPr>
                  </w:pPr>
                  <w:r>
                    <w:rPr>
                      <w:rFonts w:hint="eastAsia"/>
                      <w:color w:val="auto"/>
                      <w:kern w:val="0"/>
                      <w:szCs w:val="21"/>
                    </w:rPr>
                    <w:t>润滑油</w:t>
                  </w:r>
                </w:p>
              </w:tc>
              <w:tc>
                <w:tcPr>
                  <w:tcW w:w="1241" w:type="pct"/>
                  <w:vAlign w:val="center"/>
                </w:tcPr>
                <w:p w14:paraId="65AE02B7">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1302" w:type="pct"/>
                  <w:vAlign w:val="center"/>
                </w:tcPr>
                <w:p w14:paraId="1E553161">
                  <w:pPr>
                    <w:keepNext w:val="0"/>
                    <w:keepLines w:val="0"/>
                    <w:pageBreakBefore w:val="0"/>
                    <w:widowControl/>
                    <w:kinsoku/>
                    <w:wordWrap/>
                    <w:overflowPunct/>
                    <w:topLinePunct w:val="0"/>
                    <w:autoSpaceDE/>
                    <w:autoSpaceDN/>
                    <w:bidi w:val="0"/>
                    <w:adjustRightInd w:val="0"/>
                    <w:snapToGrid w:val="0"/>
                    <w:ind w:left="-105" w:leftChars="-50" w:right="-105" w:rightChars="-50" w:firstLine="0"/>
                    <w:jc w:val="center"/>
                    <w:textAlignment w:val="auto"/>
                    <w:rPr>
                      <w:rFonts w:hint="eastAsia" w:eastAsia="宋体"/>
                      <w:color w:val="auto"/>
                      <w:kern w:val="0"/>
                      <w:szCs w:val="21"/>
                      <w:lang w:eastAsia="zh-CN"/>
                    </w:rPr>
                  </w:pPr>
                  <w:r>
                    <w:rPr>
                      <w:rFonts w:hint="eastAsia"/>
                      <w:color w:val="auto"/>
                      <w:kern w:val="0"/>
                      <w:szCs w:val="21"/>
                    </w:rPr>
                    <w:t>0.</w:t>
                  </w:r>
                  <w:r>
                    <w:rPr>
                      <w:rFonts w:hint="eastAsia"/>
                      <w:color w:val="auto"/>
                      <w:kern w:val="0"/>
                      <w:szCs w:val="21"/>
                      <w:lang w:val="en-US" w:eastAsia="zh-CN"/>
                    </w:rPr>
                    <w:t>2</w:t>
                  </w:r>
                </w:p>
              </w:tc>
              <w:tc>
                <w:tcPr>
                  <w:tcW w:w="1065" w:type="pct"/>
                  <w:vMerge w:val="restart"/>
                  <w:vAlign w:val="center"/>
                </w:tcPr>
                <w:p w14:paraId="32B96F0D">
                  <w:pPr>
                    <w:keepNext w:val="0"/>
                    <w:keepLines w:val="0"/>
                    <w:pageBreakBefore w:val="0"/>
                    <w:kinsoku/>
                    <w:wordWrap/>
                    <w:overflowPunct/>
                    <w:topLinePunct w:val="0"/>
                    <w:autoSpaceDE/>
                    <w:autoSpaceDN/>
                    <w:bidi w:val="0"/>
                    <w:adjustRightInd w:val="0"/>
                    <w:snapToGrid w:val="0"/>
                    <w:ind w:firstLine="0"/>
                    <w:jc w:val="center"/>
                    <w:textAlignment w:val="auto"/>
                    <w:rPr>
                      <w:bCs/>
                      <w:color w:val="auto"/>
                      <w:szCs w:val="21"/>
                    </w:rPr>
                  </w:pPr>
                  <w:r>
                    <w:rPr>
                      <w:rFonts w:hint="eastAsia"/>
                      <w:bCs/>
                      <w:color w:val="auto"/>
                      <w:szCs w:val="21"/>
                    </w:rPr>
                    <w:t>原料库</w:t>
                  </w:r>
                </w:p>
              </w:tc>
            </w:tr>
            <w:tr w14:paraId="7D12D0C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90" w:type="pct"/>
                  <w:vAlign w:val="center"/>
                </w:tcPr>
                <w:p w14:paraId="715AC706">
                  <w:pPr>
                    <w:keepNext w:val="0"/>
                    <w:keepLines w:val="0"/>
                    <w:pageBreakBefore w:val="0"/>
                    <w:widowControl/>
                    <w:kinsoku/>
                    <w:wordWrap/>
                    <w:overflowPunct/>
                    <w:topLinePunct w:val="0"/>
                    <w:autoSpaceDE/>
                    <w:autoSpaceDN/>
                    <w:bidi w:val="0"/>
                    <w:adjustRightInd w:val="0"/>
                    <w:snapToGrid w:val="0"/>
                    <w:ind w:left="-105" w:leftChars="-50" w:right="-105" w:rightChars="-50" w:firstLine="0"/>
                    <w:jc w:val="center"/>
                    <w:textAlignment w:val="auto"/>
                    <w:rPr>
                      <w:color w:val="auto"/>
                      <w:kern w:val="0"/>
                      <w:szCs w:val="21"/>
                    </w:rPr>
                  </w:pPr>
                  <w:r>
                    <w:rPr>
                      <w:rFonts w:hint="eastAsia"/>
                      <w:color w:val="auto"/>
                      <w:kern w:val="0"/>
                      <w:szCs w:val="21"/>
                    </w:rPr>
                    <w:t>切削液</w:t>
                  </w:r>
                </w:p>
              </w:tc>
              <w:tc>
                <w:tcPr>
                  <w:tcW w:w="1241" w:type="pct"/>
                  <w:vAlign w:val="center"/>
                </w:tcPr>
                <w:p w14:paraId="2F53136A">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1302" w:type="pct"/>
                  <w:vAlign w:val="center"/>
                </w:tcPr>
                <w:p w14:paraId="7E06A375">
                  <w:pPr>
                    <w:keepNext w:val="0"/>
                    <w:keepLines w:val="0"/>
                    <w:pageBreakBefore w:val="0"/>
                    <w:widowControl/>
                    <w:kinsoku/>
                    <w:wordWrap/>
                    <w:overflowPunct/>
                    <w:topLinePunct w:val="0"/>
                    <w:autoSpaceDE/>
                    <w:autoSpaceDN/>
                    <w:bidi w:val="0"/>
                    <w:adjustRightInd w:val="0"/>
                    <w:snapToGrid w:val="0"/>
                    <w:ind w:left="-105" w:leftChars="-50" w:right="-105" w:rightChars="-50" w:firstLine="0"/>
                    <w:jc w:val="center"/>
                    <w:textAlignment w:val="auto"/>
                    <w:rPr>
                      <w:rFonts w:hint="eastAsia" w:eastAsia="宋体"/>
                      <w:color w:val="auto"/>
                      <w:kern w:val="0"/>
                      <w:szCs w:val="21"/>
                      <w:lang w:eastAsia="zh-CN"/>
                    </w:rPr>
                  </w:pPr>
                  <w:r>
                    <w:rPr>
                      <w:rFonts w:hint="eastAsia"/>
                      <w:color w:val="auto"/>
                      <w:kern w:val="0"/>
                      <w:szCs w:val="21"/>
                    </w:rPr>
                    <w:t>0.0</w:t>
                  </w:r>
                  <w:r>
                    <w:rPr>
                      <w:rFonts w:hint="eastAsia"/>
                      <w:color w:val="auto"/>
                      <w:kern w:val="0"/>
                      <w:szCs w:val="21"/>
                      <w:lang w:val="en-US" w:eastAsia="zh-CN"/>
                    </w:rPr>
                    <w:t>3</w:t>
                  </w:r>
                </w:p>
              </w:tc>
              <w:tc>
                <w:tcPr>
                  <w:tcW w:w="1065" w:type="pct"/>
                  <w:vMerge w:val="continue"/>
                  <w:vAlign w:val="center"/>
                </w:tcPr>
                <w:p w14:paraId="30C3165E">
                  <w:pPr>
                    <w:keepNext w:val="0"/>
                    <w:keepLines w:val="0"/>
                    <w:pageBreakBefore w:val="0"/>
                    <w:kinsoku/>
                    <w:wordWrap/>
                    <w:overflowPunct/>
                    <w:topLinePunct w:val="0"/>
                    <w:autoSpaceDE/>
                    <w:autoSpaceDN/>
                    <w:bidi w:val="0"/>
                    <w:adjustRightInd w:val="0"/>
                    <w:snapToGrid w:val="0"/>
                    <w:ind w:firstLine="0"/>
                    <w:jc w:val="center"/>
                    <w:textAlignment w:val="auto"/>
                    <w:rPr>
                      <w:bCs/>
                      <w:color w:val="auto"/>
                      <w:szCs w:val="21"/>
                    </w:rPr>
                  </w:pPr>
                </w:p>
              </w:tc>
            </w:tr>
            <w:tr w14:paraId="15F2C60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90" w:type="pct"/>
                  <w:vAlign w:val="center"/>
                </w:tcPr>
                <w:p w14:paraId="4ACD015C">
                  <w:pPr>
                    <w:keepNext w:val="0"/>
                    <w:keepLines w:val="0"/>
                    <w:pageBreakBefore w:val="0"/>
                    <w:widowControl/>
                    <w:kinsoku/>
                    <w:wordWrap/>
                    <w:overflowPunct/>
                    <w:topLinePunct w:val="0"/>
                    <w:autoSpaceDE/>
                    <w:autoSpaceDN/>
                    <w:bidi w:val="0"/>
                    <w:adjustRightInd w:val="0"/>
                    <w:snapToGrid w:val="0"/>
                    <w:ind w:left="-105" w:leftChars="-50" w:right="-105" w:rightChars="-50" w:firstLine="0"/>
                    <w:jc w:val="center"/>
                    <w:textAlignment w:val="auto"/>
                    <w:rPr>
                      <w:rFonts w:hint="eastAsia" w:eastAsia="宋体"/>
                      <w:color w:val="auto"/>
                      <w:kern w:val="0"/>
                      <w:szCs w:val="21"/>
                      <w:lang w:eastAsia="zh-CN"/>
                    </w:rPr>
                  </w:pPr>
                  <w:r>
                    <w:rPr>
                      <w:rFonts w:hint="eastAsia"/>
                      <w:color w:val="auto"/>
                      <w:kern w:val="0"/>
                      <w:szCs w:val="21"/>
                      <w:lang w:eastAsia="zh-CN"/>
                    </w:rPr>
                    <w:t>乙醇</w:t>
                  </w:r>
                </w:p>
              </w:tc>
              <w:tc>
                <w:tcPr>
                  <w:tcW w:w="1241" w:type="pct"/>
                  <w:vAlign w:val="center"/>
                </w:tcPr>
                <w:p w14:paraId="009494B4">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val="en-US" w:eastAsia="zh-CN"/>
                    </w:rPr>
                    <w:t>70%</w:t>
                  </w:r>
                </w:p>
              </w:tc>
              <w:tc>
                <w:tcPr>
                  <w:tcW w:w="1302" w:type="pct"/>
                  <w:vAlign w:val="center"/>
                </w:tcPr>
                <w:p w14:paraId="4A9E09D9">
                  <w:pPr>
                    <w:keepNext w:val="0"/>
                    <w:keepLines w:val="0"/>
                    <w:pageBreakBefore w:val="0"/>
                    <w:widowControl/>
                    <w:kinsoku/>
                    <w:wordWrap/>
                    <w:overflowPunct/>
                    <w:topLinePunct w:val="0"/>
                    <w:autoSpaceDE/>
                    <w:autoSpaceDN/>
                    <w:bidi w:val="0"/>
                    <w:adjustRightInd w:val="0"/>
                    <w:snapToGrid w:val="0"/>
                    <w:ind w:left="-105" w:leftChars="-50" w:right="-105" w:rightChars="-50" w:firstLine="0"/>
                    <w:jc w:val="center"/>
                    <w:textAlignment w:val="auto"/>
                    <w:rPr>
                      <w:rFonts w:hint="default" w:eastAsia="宋体"/>
                      <w:color w:val="auto"/>
                      <w:kern w:val="0"/>
                      <w:szCs w:val="21"/>
                      <w:lang w:val="en-US" w:eastAsia="zh-CN"/>
                    </w:rPr>
                  </w:pPr>
                  <w:r>
                    <w:rPr>
                      <w:rFonts w:hint="eastAsia"/>
                      <w:color w:val="auto"/>
                      <w:kern w:val="0"/>
                      <w:szCs w:val="21"/>
                      <w:lang w:val="en-US" w:eastAsia="zh-CN"/>
                    </w:rPr>
                    <w:t>0.05</w:t>
                  </w:r>
                </w:p>
              </w:tc>
              <w:tc>
                <w:tcPr>
                  <w:tcW w:w="1065" w:type="pct"/>
                  <w:vMerge w:val="continue"/>
                  <w:vAlign w:val="center"/>
                </w:tcPr>
                <w:p w14:paraId="64BF9582">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bCs/>
                      <w:color w:val="auto"/>
                      <w:szCs w:val="21"/>
                      <w:lang w:eastAsia="zh-CN"/>
                    </w:rPr>
                  </w:pPr>
                </w:p>
              </w:tc>
            </w:tr>
            <w:tr w14:paraId="571F52C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1390" w:type="pct"/>
                  <w:vAlign w:val="center"/>
                </w:tcPr>
                <w:p w14:paraId="778BEC20">
                  <w:pPr>
                    <w:keepNext w:val="0"/>
                    <w:keepLines w:val="0"/>
                    <w:pageBreakBefore w:val="0"/>
                    <w:widowControl/>
                    <w:kinsoku/>
                    <w:wordWrap/>
                    <w:overflowPunct/>
                    <w:topLinePunct w:val="0"/>
                    <w:autoSpaceDE/>
                    <w:autoSpaceDN/>
                    <w:bidi w:val="0"/>
                    <w:adjustRightInd w:val="0"/>
                    <w:snapToGrid w:val="0"/>
                    <w:ind w:left="-105" w:leftChars="-50" w:right="-105" w:rightChars="-50" w:firstLine="0"/>
                    <w:jc w:val="center"/>
                    <w:textAlignment w:val="auto"/>
                    <w:rPr>
                      <w:color w:val="auto"/>
                      <w:kern w:val="0"/>
                      <w:szCs w:val="21"/>
                    </w:rPr>
                  </w:pPr>
                  <w:r>
                    <w:rPr>
                      <w:rFonts w:hint="eastAsia"/>
                      <w:color w:val="auto"/>
                      <w:kern w:val="0"/>
                      <w:szCs w:val="21"/>
                    </w:rPr>
                    <w:t>废润滑油</w:t>
                  </w:r>
                </w:p>
              </w:tc>
              <w:tc>
                <w:tcPr>
                  <w:tcW w:w="1241" w:type="pct"/>
                  <w:vAlign w:val="center"/>
                </w:tcPr>
                <w:p w14:paraId="4CC5265E">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1302" w:type="pct"/>
                  <w:vAlign w:val="center"/>
                </w:tcPr>
                <w:p w14:paraId="7A80F674">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color w:val="auto"/>
                      <w:kern w:val="0"/>
                      <w:szCs w:val="21"/>
                      <w:lang w:eastAsia="zh-CN"/>
                    </w:rPr>
                  </w:pPr>
                  <w:r>
                    <w:rPr>
                      <w:rFonts w:hint="eastAsia"/>
                      <w:color w:val="auto"/>
                      <w:szCs w:val="21"/>
                      <w:lang w:eastAsia="zh-CN" w:bidi="ar"/>
                    </w:rPr>
                    <w:t>0.1741</w:t>
                  </w:r>
                </w:p>
              </w:tc>
              <w:tc>
                <w:tcPr>
                  <w:tcW w:w="1065" w:type="pct"/>
                  <w:vMerge w:val="restart"/>
                  <w:vAlign w:val="center"/>
                </w:tcPr>
                <w:p w14:paraId="405F6344">
                  <w:pPr>
                    <w:keepNext w:val="0"/>
                    <w:keepLines w:val="0"/>
                    <w:pageBreakBefore w:val="0"/>
                    <w:kinsoku/>
                    <w:wordWrap/>
                    <w:overflowPunct/>
                    <w:topLinePunct w:val="0"/>
                    <w:autoSpaceDE/>
                    <w:autoSpaceDN/>
                    <w:bidi w:val="0"/>
                    <w:adjustRightInd w:val="0"/>
                    <w:snapToGrid w:val="0"/>
                    <w:ind w:firstLine="0"/>
                    <w:jc w:val="center"/>
                    <w:textAlignment w:val="auto"/>
                    <w:rPr>
                      <w:bCs/>
                      <w:color w:val="auto"/>
                      <w:szCs w:val="21"/>
                    </w:rPr>
                  </w:pPr>
                  <w:r>
                    <w:rPr>
                      <w:bCs/>
                      <w:color w:val="auto"/>
                      <w:szCs w:val="21"/>
                    </w:rPr>
                    <w:t>危废仓库</w:t>
                  </w:r>
                </w:p>
              </w:tc>
            </w:tr>
            <w:tr w14:paraId="217FBEB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90" w:type="pct"/>
                  <w:vAlign w:val="center"/>
                </w:tcPr>
                <w:p w14:paraId="1E210795">
                  <w:pPr>
                    <w:keepNext w:val="0"/>
                    <w:keepLines w:val="0"/>
                    <w:pageBreakBefore w:val="0"/>
                    <w:widowControl/>
                    <w:kinsoku/>
                    <w:wordWrap/>
                    <w:overflowPunct/>
                    <w:topLinePunct w:val="0"/>
                    <w:autoSpaceDE/>
                    <w:autoSpaceDN/>
                    <w:bidi w:val="0"/>
                    <w:adjustRightInd w:val="0"/>
                    <w:snapToGrid w:val="0"/>
                    <w:ind w:left="-105" w:leftChars="-50" w:right="-105" w:rightChars="-50" w:firstLine="0"/>
                    <w:jc w:val="center"/>
                    <w:textAlignment w:val="auto"/>
                    <w:rPr>
                      <w:color w:val="auto"/>
                      <w:kern w:val="0"/>
                      <w:szCs w:val="21"/>
                    </w:rPr>
                  </w:pPr>
                  <w:r>
                    <w:rPr>
                      <w:rFonts w:hint="eastAsia"/>
                      <w:color w:val="auto"/>
                      <w:kern w:val="0"/>
                      <w:szCs w:val="21"/>
                    </w:rPr>
                    <w:t>废切削液</w:t>
                  </w:r>
                </w:p>
              </w:tc>
              <w:tc>
                <w:tcPr>
                  <w:tcW w:w="1241" w:type="pct"/>
                  <w:vAlign w:val="center"/>
                </w:tcPr>
                <w:p w14:paraId="39DA2C87">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1302" w:type="pct"/>
                  <w:vAlign w:val="center"/>
                </w:tcPr>
                <w:p w14:paraId="68A85411">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color w:val="auto"/>
                      <w:kern w:val="0"/>
                      <w:szCs w:val="21"/>
                      <w:lang w:eastAsia="zh-CN"/>
                    </w:rPr>
                  </w:pPr>
                  <w:r>
                    <w:rPr>
                      <w:rFonts w:hint="eastAsia"/>
                      <w:color w:val="auto"/>
                      <w:szCs w:val="21"/>
                      <w:lang w:eastAsia="zh-CN" w:bidi="ar"/>
                    </w:rPr>
                    <w:t>1.1924</w:t>
                  </w:r>
                </w:p>
              </w:tc>
              <w:tc>
                <w:tcPr>
                  <w:tcW w:w="1065" w:type="pct"/>
                  <w:vMerge w:val="continue"/>
                  <w:vAlign w:val="center"/>
                </w:tcPr>
                <w:p w14:paraId="7B6FEBDE">
                  <w:pPr>
                    <w:keepNext w:val="0"/>
                    <w:keepLines w:val="0"/>
                    <w:pageBreakBefore w:val="0"/>
                    <w:kinsoku/>
                    <w:wordWrap/>
                    <w:overflowPunct/>
                    <w:topLinePunct w:val="0"/>
                    <w:autoSpaceDE/>
                    <w:autoSpaceDN/>
                    <w:bidi w:val="0"/>
                    <w:adjustRightInd w:val="0"/>
                    <w:snapToGrid w:val="0"/>
                    <w:ind w:firstLine="0"/>
                    <w:jc w:val="center"/>
                    <w:textAlignment w:val="auto"/>
                    <w:rPr>
                      <w:bCs/>
                      <w:color w:val="auto"/>
                      <w:szCs w:val="21"/>
                    </w:rPr>
                  </w:pPr>
                </w:p>
              </w:tc>
            </w:tr>
            <w:tr w14:paraId="2630DCD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90" w:type="pct"/>
                  <w:vAlign w:val="center"/>
                </w:tcPr>
                <w:p w14:paraId="12EDB346">
                  <w:pPr>
                    <w:keepNext w:val="0"/>
                    <w:keepLines w:val="0"/>
                    <w:pageBreakBefore w:val="0"/>
                    <w:widowControl/>
                    <w:kinsoku/>
                    <w:wordWrap/>
                    <w:overflowPunct/>
                    <w:topLinePunct w:val="0"/>
                    <w:autoSpaceDE/>
                    <w:autoSpaceDN/>
                    <w:bidi w:val="0"/>
                    <w:adjustRightInd w:val="0"/>
                    <w:snapToGrid w:val="0"/>
                    <w:ind w:left="-105" w:leftChars="-50" w:right="-105" w:rightChars="-50" w:firstLine="0"/>
                    <w:jc w:val="center"/>
                    <w:textAlignment w:val="auto"/>
                    <w:rPr>
                      <w:color w:val="auto"/>
                      <w:kern w:val="0"/>
                      <w:szCs w:val="21"/>
                    </w:rPr>
                  </w:pPr>
                  <w:r>
                    <w:rPr>
                      <w:rFonts w:hint="eastAsia"/>
                      <w:color w:val="auto"/>
                      <w:kern w:val="0"/>
                      <w:szCs w:val="21"/>
                    </w:rPr>
                    <w:t>废包装桶</w:t>
                  </w:r>
                </w:p>
              </w:tc>
              <w:tc>
                <w:tcPr>
                  <w:tcW w:w="1241" w:type="pct"/>
                  <w:vAlign w:val="center"/>
                </w:tcPr>
                <w:p w14:paraId="6962013E">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1302" w:type="pct"/>
                  <w:vAlign w:val="center"/>
                </w:tcPr>
                <w:p w14:paraId="1C130F46">
                  <w:pPr>
                    <w:keepNext w:val="0"/>
                    <w:keepLines w:val="0"/>
                    <w:pageBreakBefore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szCs w:val="21"/>
                      <w:lang w:bidi="ar"/>
                    </w:rPr>
                    <w:t>0.1</w:t>
                  </w:r>
                </w:p>
              </w:tc>
              <w:tc>
                <w:tcPr>
                  <w:tcW w:w="1065" w:type="pct"/>
                  <w:vMerge w:val="continue"/>
                  <w:vAlign w:val="center"/>
                </w:tcPr>
                <w:p w14:paraId="15846D3D">
                  <w:pPr>
                    <w:keepNext w:val="0"/>
                    <w:keepLines w:val="0"/>
                    <w:pageBreakBefore w:val="0"/>
                    <w:kinsoku/>
                    <w:wordWrap/>
                    <w:overflowPunct/>
                    <w:topLinePunct w:val="0"/>
                    <w:autoSpaceDE/>
                    <w:autoSpaceDN/>
                    <w:bidi w:val="0"/>
                    <w:adjustRightInd w:val="0"/>
                    <w:snapToGrid w:val="0"/>
                    <w:ind w:firstLine="0"/>
                    <w:jc w:val="center"/>
                    <w:textAlignment w:val="auto"/>
                    <w:rPr>
                      <w:bCs/>
                      <w:color w:val="auto"/>
                      <w:szCs w:val="21"/>
                    </w:rPr>
                  </w:pPr>
                </w:p>
              </w:tc>
            </w:tr>
            <w:tr w14:paraId="0BABC9F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90" w:type="pct"/>
                  <w:vAlign w:val="center"/>
                </w:tcPr>
                <w:p w14:paraId="2B848EEE">
                  <w:pPr>
                    <w:keepNext w:val="0"/>
                    <w:keepLines w:val="0"/>
                    <w:pageBreakBefore w:val="0"/>
                    <w:widowControl/>
                    <w:kinsoku/>
                    <w:wordWrap/>
                    <w:overflowPunct/>
                    <w:topLinePunct w:val="0"/>
                    <w:autoSpaceDE/>
                    <w:autoSpaceDN/>
                    <w:bidi w:val="0"/>
                    <w:adjustRightInd w:val="0"/>
                    <w:snapToGrid w:val="0"/>
                    <w:ind w:left="-105" w:leftChars="-50" w:right="-105" w:rightChars="-50" w:firstLine="0"/>
                    <w:jc w:val="center"/>
                    <w:textAlignment w:val="auto"/>
                    <w:rPr>
                      <w:color w:val="auto"/>
                      <w:kern w:val="0"/>
                      <w:szCs w:val="21"/>
                    </w:rPr>
                  </w:pPr>
                  <w:r>
                    <w:rPr>
                      <w:rFonts w:hint="eastAsia"/>
                      <w:color w:val="auto"/>
                      <w:kern w:val="0"/>
                      <w:szCs w:val="21"/>
                    </w:rPr>
                    <w:t>废活性炭</w:t>
                  </w:r>
                </w:p>
              </w:tc>
              <w:tc>
                <w:tcPr>
                  <w:tcW w:w="1241" w:type="pct"/>
                  <w:vAlign w:val="center"/>
                </w:tcPr>
                <w:p w14:paraId="4F1B2E65">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w:t>
                  </w:r>
                </w:p>
              </w:tc>
              <w:tc>
                <w:tcPr>
                  <w:tcW w:w="1302" w:type="pct"/>
                  <w:vAlign w:val="center"/>
                </w:tcPr>
                <w:p w14:paraId="074995C3">
                  <w:pPr>
                    <w:keepNext w:val="0"/>
                    <w:keepLines w:val="0"/>
                    <w:pageBreakBefore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szCs w:val="21"/>
                      <w:lang w:bidi="ar"/>
                    </w:rPr>
                    <w:t>0.093</w:t>
                  </w:r>
                </w:p>
              </w:tc>
              <w:tc>
                <w:tcPr>
                  <w:tcW w:w="1065" w:type="pct"/>
                  <w:vMerge w:val="continue"/>
                  <w:vAlign w:val="center"/>
                </w:tcPr>
                <w:p w14:paraId="5FB01FAC">
                  <w:pPr>
                    <w:keepNext w:val="0"/>
                    <w:keepLines w:val="0"/>
                    <w:pageBreakBefore w:val="0"/>
                    <w:kinsoku/>
                    <w:wordWrap/>
                    <w:overflowPunct/>
                    <w:topLinePunct w:val="0"/>
                    <w:autoSpaceDE/>
                    <w:autoSpaceDN/>
                    <w:bidi w:val="0"/>
                    <w:adjustRightInd w:val="0"/>
                    <w:snapToGrid w:val="0"/>
                    <w:ind w:firstLine="0"/>
                    <w:jc w:val="center"/>
                    <w:textAlignment w:val="auto"/>
                    <w:rPr>
                      <w:bCs/>
                      <w:color w:val="auto"/>
                      <w:szCs w:val="21"/>
                    </w:rPr>
                  </w:pPr>
                </w:p>
              </w:tc>
            </w:tr>
            <w:tr w14:paraId="55E921A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90" w:type="pct"/>
                  <w:vAlign w:val="center"/>
                </w:tcPr>
                <w:p w14:paraId="3DA1E296">
                  <w:pPr>
                    <w:keepNext w:val="0"/>
                    <w:keepLines w:val="0"/>
                    <w:pageBreakBefore w:val="0"/>
                    <w:widowControl/>
                    <w:kinsoku/>
                    <w:wordWrap/>
                    <w:overflowPunct/>
                    <w:topLinePunct w:val="0"/>
                    <w:autoSpaceDE/>
                    <w:autoSpaceDN/>
                    <w:bidi w:val="0"/>
                    <w:adjustRightInd w:val="0"/>
                    <w:snapToGrid w:val="0"/>
                    <w:ind w:left="-105" w:leftChars="-50" w:right="-105" w:rightChars="-50" w:firstLine="0"/>
                    <w:jc w:val="center"/>
                    <w:textAlignment w:val="auto"/>
                    <w:rPr>
                      <w:color w:val="auto"/>
                      <w:kern w:val="0"/>
                      <w:szCs w:val="21"/>
                    </w:rPr>
                  </w:pPr>
                  <w:r>
                    <w:rPr>
                      <w:rFonts w:hint="eastAsia"/>
                      <w:color w:val="auto"/>
                      <w:kern w:val="0"/>
                      <w:szCs w:val="21"/>
                    </w:rPr>
                    <w:t>废过滤棉</w:t>
                  </w:r>
                </w:p>
              </w:tc>
              <w:tc>
                <w:tcPr>
                  <w:tcW w:w="1241" w:type="pct"/>
                  <w:vAlign w:val="center"/>
                </w:tcPr>
                <w:p w14:paraId="74508544">
                  <w:pPr>
                    <w:keepNext w:val="0"/>
                    <w:keepLines w:val="0"/>
                    <w:pageBreakBefore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w:t>
                  </w:r>
                </w:p>
              </w:tc>
              <w:tc>
                <w:tcPr>
                  <w:tcW w:w="1302" w:type="pct"/>
                  <w:vAlign w:val="center"/>
                </w:tcPr>
                <w:p w14:paraId="328030D6">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color w:val="auto"/>
                      <w:kern w:val="0"/>
                      <w:szCs w:val="21"/>
                      <w:lang w:eastAsia="zh-CN"/>
                    </w:rPr>
                  </w:pPr>
                  <w:r>
                    <w:rPr>
                      <w:rFonts w:hint="eastAsia"/>
                      <w:color w:val="auto"/>
                      <w:szCs w:val="21"/>
                      <w:lang w:eastAsia="zh-CN" w:bidi="ar"/>
                    </w:rPr>
                    <w:t>0.7591</w:t>
                  </w:r>
                </w:p>
              </w:tc>
              <w:tc>
                <w:tcPr>
                  <w:tcW w:w="1065" w:type="pct"/>
                  <w:vMerge w:val="continue"/>
                  <w:vAlign w:val="center"/>
                </w:tcPr>
                <w:p w14:paraId="31465BB9">
                  <w:pPr>
                    <w:keepNext w:val="0"/>
                    <w:keepLines w:val="0"/>
                    <w:pageBreakBefore w:val="0"/>
                    <w:kinsoku/>
                    <w:wordWrap/>
                    <w:overflowPunct/>
                    <w:topLinePunct w:val="0"/>
                    <w:autoSpaceDE/>
                    <w:autoSpaceDN/>
                    <w:bidi w:val="0"/>
                    <w:adjustRightInd w:val="0"/>
                    <w:snapToGrid w:val="0"/>
                    <w:ind w:firstLine="0"/>
                    <w:jc w:val="center"/>
                    <w:textAlignment w:val="auto"/>
                    <w:rPr>
                      <w:bCs/>
                      <w:color w:val="auto"/>
                      <w:szCs w:val="21"/>
                    </w:rPr>
                  </w:pPr>
                </w:p>
              </w:tc>
            </w:tr>
            <w:tr w14:paraId="42B9A61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90" w:type="pct"/>
                  <w:vAlign w:val="center"/>
                </w:tcPr>
                <w:p w14:paraId="794252F7">
                  <w:pPr>
                    <w:keepNext w:val="0"/>
                    <w:keepLines w:val="0"/>
                    <w:pageBreakBefore w:val="0"/>
                    <w:widowControl/>
                    <w:kinsoku/>
                    <w:wordWrap/>
                    <w:overflowPunct/>
                    <w:topLinePunct w:val="0"/>
                    <w:autoSpaceDE/>
                    <w:autoSpaceDN/>
                    <w:bidi w:val="0"/>
                    <w:adjustRightInd w:val="0"/>
                    <w:snapToGrid w:val="0"/>
                    <w:ind w:left="-105" w:leftChars="-50" w:right="-105" w:rightChars="-50" w:firstLine="0"/>
                    <w:jc w:val="center"/>
                    <w:textAlignment w:val="auto"/>
                    <w:rPr>
                      <w:rFonts w:hint="eastAsia"/>
                      <w:color w:val="auto"/>
                      <w:kern w:val="0"/>
                      <w:szCs w:val="21"/>
                    </w:rPr>
                  </w:pPr>
                  <w:r>
                    <w:rPr>
                      <w:rFonts w:hint="eastAsia"/>
                      <w:color w:val="auto"/>
                      <w:kern w:val="0"/>
                      <w:szCs w:val="21"/>
                      <w:lang w:eastAsia="zh-CN"/>
                    </w:rPr>
                    <w:t>天然气（甲烷）</w:t>
                  </w:r>
                </w:p>
              </w:tc>
              <w:tc>
                <w:tcPr>
                  <w:tcW w:w="1241" w:type="pct"/>
                  <w:vAlign w:val="center"/>
                </w:tcPr>
                <w:p w14:paraId="41903088">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color w:val="auto"/>
                      <w:szCs w:val="21"/>
                      <w:lang w:val="en-US" w:eastAsia="zh-CN"/>
                    </w:rPr>
                  </w:pPr>
                  <w:r>
                    <w:rPr>
                      <w:rFonts w:hint="eastAsia"/>
                      <w:color w:val="auto"/>
                      <w:szCs w:val="21"/>
                      <w:lang w:val="en-US" w:eastAsia="zh-CN"/>
                    </w:rPr>
                    <w:t>/</w:t>
                  </w:r>
                </w:p>
              </w:tc>
              <w:tc>
                <w:tcPr>
                  <w:tcW w:w="1302" w:type="pct"/>
                  <w:vAlign w:val="center"/>
                </w:tcPr>
                <w:p w14:paraId="05278AAD">
                  <w:pPr>
                    <w:keepNext w:val="0"/>
                    <w:keepLines w:val="0"/>
                    <w:pageBreakBefore w:val="0"/>
                    <w:kinsoku/>
                    <w:wordWrap/>
                    <w:overflowPunct/>
                    <w:topLinePunct w:val="0"/>
                    <w:autoSpaceDE/>
                    <w:autoSpaceDN/>
                    <w:bidi w:val="0"/>
                    <w:adjustRightInd w:val="0"/>
                    <w:snapToGrid w:val="0"/>
                    <w:ind w:firstLine="0"/>
                    <w:jc w:val="center"/>
                    <w:textAlignment w:val="auto"/>
                    <w:rPr>
                      <w:rFonts w:hint="default"/>
                      <w:color w:val="auto"/>
                      <w:szCs w:val="21"/>
                      <w:lang w:val="en-US" w:eastAsia="zh-CN" w:bidi="ar"/>
                    </w:rPr>
                  </w:pPr>
                  <w:r>
                    <w:rPr>
                      <w:rFonts w:hint="eastAsia"/>
                      <w:color w:val="auto"/>
                      <w:szCs w:val="21"/>
                      <w:lang w:val="en-US" w:eastAsia="zh-CN" w:bidi="ar"/>
                    </w:rPr>
                    <w:t>0.001728</w:t>
                  </w:r>
                </w:p>
              </w:tc>
              <w:tc>
                <w:tcPr>
                  <w:tcW w:w="1065" w:type="pct"/>
                  <w:vAlign w:val="center"/>
                </w:tcPr>
                <w:p w14:paraId="6700418D">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bCs/>
                      <w:color w:val="auto"/>
                      <w:szCs w:val="21"/>
                      <w:lang w:eastAsia="zh-CN"/>
                    </w:rPr>
                  </w:pPr>
                  <w:r>
                    <w:rPr>
                      <w:rFonts w:hint="eastAsia"/>
                      <w:bCs/>
                      <w:color w:val="auto"/>
                      <w:szCs w:val="21"/>
                      <w:lang w:eastAsia="zh-CN"/>
                    </w:rPr>
                    <w:t>天然气管道</w:t>
                  </w:r>
                </w:p>
              </w:tc>
            </w:tr>
          </w:tbl>
          <w:p w14:paraId="58F6466F">
            <w:pPr>
              <w:autoSpaceDE w:val="0"/>
              <w:autoSpaceDN w:val="0"/>
              <w:adjustRightInd w:val="0"/>
              <w:snapToGrid w:val="0"/>
              <w:spacing w:before="120" w:beforeLines="50" w:line="360" w:lineRule="auto"/>
              <w:ind w:firstLine="480" w:firstLineChars="200"/>
              <w:rPr>
                <w:bCs/>
                <w:color w:val="auto"/>
                <w:sz w:val="24"/>
              </w:rPr>
            </w:pPr>
            <w:r>
              <w:rPr>
                <w:rFonts w:hint="eastAsia" w:ascii="宋体" w:hAnsi="宋体" w:cs="宋体"/>
                <w:bCs/>
                <w:color w:val="auto"/>
                <w:sz w:val="24"/>
              </w:rPr>
              <w:t>②</w:t>
            </w:r>
            <w:r>
              <w:rPr>
                <w:bCs/>
                <w:color w:val="auto"/>
                <w:sz w:val="24"/>
              </w:rPr>
              <w:t>生产工艺特点</w:t>
            </w:r>
          </w:p>
          <w:p w14:paraId="1614EEAB">
            <w:pPr>
              <w:autoSpaceDE w:val="0"/>
              <w:autoSpaceDN w:val="0"/>
              <w:adjustRightInd w:val="0"/>
              <w:snapToGrid w:val="0"/>
              <w:spacing w:line="360" w:lineRule="auto"/>
              <w:ind w:firstLine="480" w:firstLineChars="200"/>
              <w:rPr>
                <w:color w:val="auto"/>
                <w:sz w:val="24"/>
              </w:rPr>
            </w:pPr>
            <w:r>
              <w:rPr>
                <w:color w:val="auto"/>
                <w:sz w:val="24"/>
              </w:rPr>
              <w:t>拟建项目不涉及风险导则附录C表C.1中的危险工艺。</w:t>
            </w:r>
          </w:p>
          <w:p w14:paraId="4ECA2766">
            <w:pPr>
              <w:autoSpaceDE w:val="0"/>
              <w:autoSpaceDN w:val="0"/>
              <w:adjustRightInd w:val="0"/>
              <w:snapToGrid w:val="0"/>
              <w:spacing w:line="360" w:lineRule="auto"/>
              <w:ind w:firstLine="480" w:firstLineChars="200"/>
              <w:rPr>
                <w:bCs/>
                <w:color w:val="auto"/>
                <w:sz w:val="24"/>
              </w:rPr>
            </w:pPr>
            <w:r>
              <w:rPr>
                <w:rFonts w:hint="eastAsia"/>
                <w:bCs/>
                <w:color w:val="auto"/>
                <w:sz w:val="24"/>
              </w:rPr>
              <w:t>（</w:t>
            </w:r>
            <w:r>
              <w:rPr>
                <w:bCs/>
                <w:color w:val="auto"/>
                <w:sz w:val="24"/>
              </w:rPr>
              <w:t>2</w:t>
            </w:r>
            <w:r>
              <w:rPr>
                <w:rFonts w:hint="eastAsia"/>
                <w:bCs/>
                <w:color w:val="auto"/>
                <w:sz w:val="24"/>
              </w:rPr>
              <w:t>）</w:t>
            </w:r>
            <w:r>
              <w:rPr>
                <w:bCs/>
                <w:color w:val="auto"/>
                <w:sz w:val="24"/>
              </w:rPr>
              <w:t>风险潜势初判</w:t>
            </w:r>
          </w:p>
          <w:p w14:paraId="7D85A00D">
            <w:pPr>
              <w:autoSpaceDE w:val="0"/>
              <w:autoSpaceDN w:val="0"/>
              <w:adjustRightInd w:val="0"/>
              <w:snapToGrid w:val="0"/>
              <w:spacing w:line="360" w:lineRule="auto"/>
              <w:ind w:firstLine="480" w:firstLineChars="200"/>
              <w:rPr>
                <w:b/>
                <w:bCs/>
                <w:color w:val="auto"/>
                <w:sz w:val="24"/>
              </w:rPr>
            </w:pPr>
            <w:r>
              <w:rPr>
                <w:color w:val="auto"/>
                <w:sz w:val="24"/>
              </w:rPr>
              <w:t>根据项目所涉及的每种危险物质在厂界内的最大存在总量与其在</w:t>
            </w:r>
            <w:r>
              <w:rPr>
                <w:rFonts w:hint="eastAsia" w:hAnsi="宋体"/>
                <w:color w:val="auto"/>
                <w:sz w:val="24"/>
                <w:lang w:bidi="ar"/>
              </w:rPr>
              <w:t>《建设项目环境风险评价技术导则》（</w:t>
            </w:r>
            <w:r>
              <w:rPr>
                <w:color w:val="auto"/>
                <w:sz w:val="24"/>
                <w:lang w:bidi="ar"/>
              </w:rPr>
              <w:t>HJ169-2018</w:t>
            </w:r>
            <w:r>
              <w:rPr>
                <w:rFonts w:hint="eastAsia" w:hAnsi="宋体"/>
                <w:color w:val="auto"/>
                <w:sz w:val="24"/>
                <w:lang w:bidi="ar"/>
              </w:rPr>
              <w:t>）</w:t>
            </w:r>
            <w:r>
              <w:rPr>
                <w:color w:val="auto"/>
                <w:sz w:val="24"/>
              </w:rPr>
              <w:t>附录B中对应临界量的比值计算Q，则本项目判定情况见表4-</w:t>
            </w:r>
            <w:r>
              <w:rPr>
                <w:rFonts w:hint="eastAsia"/>
                <w:color w:val="auto"/>
                <w:sz w:val="24"/>
              </w:rPr>
              <w:t>2</w:t>
            </w:r>
            <w:r>
              <w:rPr>
                <w:rFonts w:hint="eastAsia"/>
                <w:color w:val="auto"/>
                <w:sz w:val="24"/>
                <w:lang w:val="en-US" w:eastAsia="zh-CN"/>
              </w:rPr>
              <w:t>6</w:t>
            </w:r>
            <w:r>
              <w:rPr>
                <w:color w:val="auto"/>
                <w:sz w:val="24"/>
              </w:rPr>
              <w:t>。</w:t>
            </w:r>
          </w:p>
          <w:p w14:paraId="3C7CD350">
            <w:pPr>
              <w:autoSpaceDE w:val="0"/>
              <w:autoSpaceDN w:val="0"/>
              <w:adjustRightInd w:val="0"/>
              <w:snapToGrid w:val="0"/>
              <w:ind w:firstLine="482"/>
              <w:jc w:val="center"/>
              <w:rPr>
                <w:color w:val="auto"/>
                <w:sz w:val="24"/>
              </w:rPr>
            </w:pPr>
            <w:r>
              <w:rPr>
                <w:b/>
                <w:bCs/>
                <w:color w:val="auto"/>
                <w:sz w:val="24"/>
              </w:rPr>
              <w:t>表4-</w:t>
            </w:r>
            <w:r>
              <w:rPr>
                <w:rFonts w:hint="eastAsia"/>
                <w:b/>
                <w:bCs/>
                <w:color w:val="auto"/>
                <w:sz w:val="24"/>
              </w:rPr>
              <w:t>2</w:t>
            </w:r>
            <w:r>
              <w:rPr>
                <w:rFonts w:hint="eastAsia"/>
                <w:b/>
                <w:bCs/>
                <w:color w:val="auto"/>
                <w:sz w:val="24"/>
                <w:lang w:val="en-US" w:eastAsia="zh-CN"/>
              </w:rPr>
              <w:t>6</w:t>
            </w:r>
            <w:r>
              <w:rPr>
                <w:b/>
                <w:bCs/>
                <w:color w:val="auto"/>
                <w:sz w:val="24"/>
              </w:rPr>
              <w:t>建设项目Q值确定表</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530"/>
              <w:gridCol w:w="2243"/>
              <w:gridCol w:w="1076"/>
              <w:gridCol w:w="1525"/>
              <w:gridCol w:w="1054"/>
              <w:gridCol w:w="2028"/>
            </w:tblGrid>
            <w:tr w14:paraId="4A9AA58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13" w:type="pct"/>
                  <w:vAlign w:val="center"/>
                </w:tcPr>
                <w:p w14:paraId="07098411">
                  <w:pPr>
                    <w:keepNext w:val="0"/>
                    <w:keepLines w:val="0"/>
                    <w:pageBreakBefore w:val="0"/>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序号</w:t>
                  </w:r>
                </w:p>
              </w:tc>
              <w:tc>
                <w:tcPr>
                  <w:tcW w:w="1326" w:type="pct"/>
                  <w:vAlign w:val="center"/>
                </w:tcPr>
                <w:p w14:paraId="6CEA95A0">
                  <w:pPr>
                    <w:keepNext w:val="0"/>
                    <w:keepLines w:val="0"/>
                    <w:pageBreakBefore w:val="0"/>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危险物质名称</w:t>
                  </w:r>
                </w:p>
              </w:tc>
              <w:tc>
                <w:tcPr>
                  <w:tcW w:w="636" w:type="pct"/>
                  <w:vAlign w:val="center"/>
                </w:tcPr>
                <w:p w14:paraId="6E6E671A">
                  <w:pPr>
                    <w:keepNext w:val="0"/>
                    <w:keepLines w:val="0"/>
                    <w:pageBreakBefore w:val="0"/>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CAS号</w:t>
                  </w:r>
                </w:p>
              </w:tc>
              <w:tc>
                <w:tcPr>
                  <w:tcW w:w="901" w:type="pct"/>
                  <w:vAlign w:val="center"/>
                </w:tcPr>
                <w:p w14:paraId="7B2D9EAF">
                  <w:pPr>
                    <w:keepNext w:val="0"/>
                    <w:keepLines w:val="0"/>
                    <w:pageBreakBefore w:val="0"/>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最大存在总量t</w:t>
                  </w:r>
                </w:p>
              </w:tc>
              <w:tc>
                <w:tcPr>
                  <w:tcW w:w="623" w:type="pct"/>
                  <w:vAlign w:val="center"/>
                </w:tcPr>
                <w:p w14:paraId="363F512D">
                  <w:pPr>
                    <w:keepNext w:val="0"/>
                    <w:keepLines w:val="0"/>
                    <w:pageBreakBefore w:val="0"/>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临界量t</w:t>
                  </w:r>
                </w:p>
              </w:tc>
              <w:tc>
                <w:tcPr>
                  <w:tcW w:w="1199" w:type="pct"/>
                  <w:vAlign w:val="center"/>
                </w:tcPr>
                <w:p w14:paraId="7FBEE17B">
                  <w:pPr>
                    <w:keepNext w:val="0"/>
                    <w:keepLines w:val="0"/>
                    <w:pageBreakBefore w:val="0"/>
                    <w:kinsoku/>
                    <w:wordWrap/>
                    <w:overflowPunct/>
                    <w:topLinePunct w:val="0"/>
                    <w:autoSpaceDE/>
                    <w:autoSpaceDN/>
                    <w:bidi w:val="0"/>
                    <w:adjustRightInd w:val="0"/>
                    <w:snapToGrid w:val="0"/>
                    <w:ind w:firstLine="0"/>
                    <w:jc w:val="center"/>
                    <w:textAlignment w:val="auto"/>
                    <w:rPr>
                      <w:b/>
                      <w:bCs/>
                      <w:color w:val="auto"/>
                      <w:szCs w:val="21"/>
                    </w:rPr>
                  </w:pPr>
                  <w:r>
                    <w:rPr>
                      <w:b/>
                      <w:bCs/>
                      <w:color w:val="auto"/>
                      <w:szCs w:val="21"/>
                    </w:rPr>
                    <w:t>该种危险物质Q值</w:t>
                  </w:r>
                </w:p>
              </w:tc>
            </w:tr>
            <w:tr w14:paraId="3B80AC5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13" w:type="pct"/>
                  <w:shd w:val="clear" w:color="auto" w:fill="auto"/>
                  <w:vAlign w:val="center"/>
                </w:tcPr>
                <w:p w14:paraId="111B53A3">
                  <w:pPr>
                    <w:keepNext w:val="0"/>
                    <w:keepLines w:val="0"/>
                    <w:pageBreakBefore w:val="0"/>
                    <w:kinsoku/>
                    <w:wordWrap/>
                    <w:overflowPunct/>
                    <w:topLinePunct w:val="0"/>
                    <w:autoSpaceDE/>
                    <w:autoSpaceDN/>
                    <w:bidi w:val="0"/>
                    <w:adjustRightInd w:val="0"/>
                    <w:snapToGrid w:val="0"/>
                    <w:ind w:firstLine="0"/>
                    <w:jc w:val="center"/>
                    <w:textAlignment w:val="auto"/>
                    <w:rPr>
                      <w:bCs/>
                      <w:color w:val="auto"/>
                      <w:szCs w:val="21"/>
                    </w:rPr>
                  </w:pPr>
                  <w:r>
                    <w:rPr>
                      <w:bCs/>
                      <w:color w:val="auto"/>
                      <w:szCs w:val="21"/>
                    </w:rPr>
                    <w:t>1</w:t>
                  </w:r>
                </w:p>
              </w:tc>
              <w:tc>
                <w:tcPr>
                  <w:tcW w:w="1326" w:type="pct"/>
                  <w:shd w:val="clear" w:color="auto" w:fill="auto"/>
                  <w:vAlign w:val="center"/>
                </w:tcPr>
                <w:p w14:paraId="233723E7">
                  <w:pPr>
                    <w:keepNext w:val="0"/>
                    <w:keepLines w:val="0"/>
                    <w:pageBreakBefore w:val="0"/>
                    <w:widowControl/>
                    <w:kinsoku/>
                    <w:wordWrap/>
                    <w:overflowPunct/>
                    <w:topLinePunct w:val="0"/>
                    <w:autoSpaceDE/>
                    <w:autoSpaceDN/>
                    <w:bidi w:val="0"/>
                    <w:adjustRightInd w:val="0"/>
                    <w:snapToGrid w:val="0"/>
                    <w:ind w:left="-105" w:leftChars="-50" w:right="-105" w:rightChars="-50" w:firstLine="0"/>
                    <w:jc w:val="center"/>
                    <w:textAlignment w:val="auto"/>
                    <w:rPr>
                      <w:color w:val="auto"/>
                      <w:kern w:val="0"/>
                      <w:szCs w:val="21"/>
                    </w:rPr>
                  </w:pPr>
                  <w:r>
                    <w:rPr>
                      <w:rFonts w:hint="eastAsia"/>
                      <w:color w:val="auto"/>
                      <w:kern w:val="0"/>
                      <w:szCs w:val="21"/>
                    </w:rPr>
                    <w:t>润滑油</w:t>
                  </w:r>
                </w:p>
              </w:tc>
              <w:tc>
                <w:tcPr>
                  <w:tcW w:w="636" w:type="pct"/>
                  <w:vAlign w:val="center"/>
                </w:tcPr>
                <w:p w14:paraId="065A2409">
                  <w:pPr>
                    <w:keepNext w:val="0"/>
                    <w:keepLines w:val="0"/>
                    <w:pageBreakBefore w:val="0"/>
                    <w:kinsoku/>
                    <w:wordWrap/>
                    <w:overflowPunct/>
                    <w:topLinePunct w:val="0"/>
                    <w:autoSpaceDE/>
                    <w:autoSpaceDN/>
                    <w:bidi w:val="0"/>
                    <w:adjustRightInd w:val="0"/>
                    <w:snapToGrid w:val="0"/>
                    <w:ind w:firstLine="0"/>
                    <w:jc w:val="center"/>
                    <w:textAlignment w:val="auto"/>
                    <w:rPr>
                      <w:bCs/>
                      <w:color w:val="auto"/>
                      <w:szCs w:val="21"/>
                    </w:rPr>
                  </w:pPr>
                  <w:r>
                    <w:rPr>
                      <w:bCs/>
                      <w:color w:val="auto"/>
                      <w:szCs w:val="21"/>
                    </w:rPr>
                    <w:t>/</w:t>
                  </w:r>
                </w:p>
              </w:tc>
              <w:tc>
                <w:tcPr>
                  <w:tcW w:w="901" w:type="pct"/>
                  <w:shd w:val="clear" w:color="auto" w:fill="auto"/>
                  <w:vAlign w:val="center"/>
                </w:tcPr>
                <w:p w14:paraId="7D335D2E">
                  <w:pPr>
                    <w:keepNext w:val="0"/>
                    <w:keepLines w:val="0"/>
                    <w:pageBreakBefore w:val="0"/>
                    <w:widowControl/>
                    <w:kinsoku/>
                    <w:wordWrap/>
                    <w:overflowPunct/>
                    <w:topLinePunct w:val="0"/>
                    <w:autoSpaceDE/>
                    <w:autoSpaceDN/>
                    <w:bidi w:val="0"/>
                    <w:adjustRightInd w:val="0"/>
                    <w:snapToGrid w:val="0"/>
                    <w:ind w:left="-105" w:leftChars="-50" w:right="-105" w:rightChars="-50" w:firstLine="0"/>
                    <w:jc w:val="center"/>
                    <w:textAlignment w:val="auto"/>
                    <w:rPr>
                      <w:rFonts w:hint="eastAsia" w:eastAsia="宋体"/>
                      <w:color w:val="auto"/>
                      <w:kern w:val="0"/>
                      <w:szCs w:val="21"/>
                      <w:lang w:eastAsia="zh-CN"/>
                    </w:rPr>
                  </w:pPr>
                  <w:r>
                    <w:rPr>
                      <w:rFonts w:hint="eastAsia"/>
                      <w:color w:val="auto"/>
                      <w:kern w:val="0"/>
                      <w:szCs w:val="21"/>
                    </w:rPr>
                    <w:t>0.</w:t>
                  </w:r>
                  <w:r>
                    <w:rPr>
                      <w:rFonts w:hint="eastAsia"/>
                      <w:color w:val="auto"/>
                      <w:kern w:val="0"/>
                      <w:szCs w:val="21"/>
                      <w:lang w:val="en-US" w:eastAsia="zh-CN"/>
                    </w:rPr>
                    <w:t>2</w:t>
                  </w:r>
                </w:p>
              </w:tc>
              <w:tc>
                <w:tcPr>
                  <w:tcW w:w="623" w:type="pct"/>
                  <w:vAlign w:val="center"/>
                </w:tcPr>
                <w:p w14:paraId="3AE04305">
                  <w:pPr>
                    <w:keepNext w:val="0"/>
                    <w:keepLines w:val="0"/>
                    <w:pageBreakBefore w:val="0"/>
                    <w:kinsoku/>
                    <w:wordWrap/>
                    <w:overflowPunct/>
                    <w:topLinePunct w:val="0"/>
                    <w:autoSpaceDE/>
                    <w:autoSpaceDN/>
                    <w:bidi w:val="0"/>
                    <w:adjustRightInd w:val="0"/>
                    <w:snapToGrid w:val="0"/>
                    <w:ind w:firstLine="0"/>
                    <w:jc w:val="center"/>
                    <w:textAlignment w:val="auto"/>
                    <w:rPr>
                      <w:bCs/>
                      <w:color w:val="auto"/>
                      <w:szCs w:val="21"/>
                    </w:rPr>
                  </w:pPr>
                  <w:r>
                    <w:rPr>
                      <w:rFonts w:hint="eastAsia"/>
                      <w:bCs/>
                      <w:color w:val="auto"/>
                      <w:szCs w:val="21"/>
                    </w:rPr>
                    <w:t>2500</w:t>
                  </w:r>
                </w:p>
              </w:tc>
              <w:tc>
                <w:tcPr>
                  <w:tcW w:w="1199" w:type="pct"/>
                  <w:vAlign w:val="center"/>
                </w:tcPr>
                <w:p w14:paraId="60763B59">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Cs/>
                      <w:color w:val="auto"/>
                      <w:szCs w:val="21"/>
                      <w:lang w:val="en-US" w:eastAsia="zh-CN"/>
                    </w:rPr>
                  </w:pPr>
                  <w:r>
                    <w:rPr>
                      <w:rFonts w:hint="eastAsia"/>
                      <w:bCs/>
                      <w:color w:val="auto"/>
                      <w:szCs w:val="21"/>
                      <w:lang w:val="en-US" w:eastAsia="zh-CN"/>
                    </w:rPr>
                    <w:t>0.00008</w:t>
                  </w:r>
                </w:p>
              </w:tc>
            </w:tr>
            <w:tr w14:paraId="2A07DFE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13" w:type="pct"/>
                  <w:shd w:val="clear" w:color="auto" w:fill="auto"/>
                  <w:vAlign w:val="center"/>
                </w:tcPr>
                <w:p w14:paraId="520C87DE">
                  <w:pPr>
                    <w:keepNext w:val="0"/>
                    <w:keepLines w:val="0"/>
                    <w:pageBreakBefore w:val="0"/>
                    <w:kinsoku/>
                    <w:wordWrap/>
                    <w:overflowPunct/>
                    <w:topLinePunct w:val="0"/>
                    <w:autoSpaceDE/>
                    <w:autoSpaceDN/>
                    <w:bidi w:val="0"/>
                    <w:adjustRightInd w:val="0"/>
                    <w:snapToGrid w:val="0"/>
                    <w:ind w:firstLine="0"/>
                    <w:jc w:val="center"/>
                    <w:textAlignment w:val="auto"/>
                    <w:rPr>
                      <w:bCs/>
                      <w:color w:val="auto"/>
                      <w:szCs w:val="21"/>
                    </w:rPr>
                  </w:pPr>
                  <w:r>
                    <w:rPr>
                      <w:rFonts w:hint="eastAsia"/>
                      <w:bCs/>
                      <w:color w:val="auto"/>
                      <w:szCs w:val="21"/>
                    </w:rPr>
                    <w:t>2</w:t>
                  </w:r>
                </w:p>
              </w:tc>
              <w:tc>
                <w:tcPr>
                  <w:tcW w:w="1326" w:type="pct"/>
                  <w:shd w:val="clear" w:color="auto" w:fill="auto"/>
                  <w:vAlign w:val="center"/>
                </w:tcPr>
                <w:p w14:paraId="34AD9C70">
                  <w:pPr>
                    <w:keepNext w:val="0"/>
                    <w:keepLines w:val="0"/>
                    <w:pageBreakBefore w:val="0"/>
                    <w:widowControl/>
                    <w:kinsoku/>
                    <w:wordWrap/>
                    <w:overflowPunct/>
                    <w:topLinePunct w:val="0"/>
                    <w:autoSpaceDE/>
                    <w:autoSpaceDN/>
                    <w:bidi w:val="0"/>
                    <w:adjustRightInd w:val="0"/>
                    <w:snapToGrid w:val="0"/>
                    <w:ind w:left="-105" w:leftChars="-50" w:right="-105" w:rightChars="-50" w:firstLine="0"/>
                    <w:jc w:val="center"/>
                    <w:textAlignment w:val="auto"/>
                    <w:rPr>
                      <w:color w:val="auto"/>
                      <w:kern w:val="0"/>
                      <w:szCs w:val="21"/>
                    </w:rPr>
                  </w:pPr>
                  <w:r>
                    <w:rPr>
                      <w:rFonts w:hint="eastAsia"/>
                      <w:color w:val="auto"/>
                      <w:kern w:val="0"/>
                      <w:szCs w:val="21"/>
                    </w:rPr>
                    <w:t>切削液</w:t>
                  </w:r>
                </w:p>
              </w:tc>
              <w:tc>
                <w:tcPr>
                  <w:tcW w:w="636" w:type="pct"/>
                  <w:vAlign w:val="center"/>
                </w:tcPr>
                <w:p w14:paraId="42E1B3D2">
                  <w:pPr>
                    <w:keepNext w:val="0"/>
                    <w:keepLines w:val="0"/>
                    <w:pageBreakBefore w:val="0"/>
                    <w:kinsoku/>
                    <w:wordWrap/>
                    <w:overflowPunct/>
                    <w:topLinePunct w:val="0"/>
                    <w:autoSpaceDE/>
                    <w:autoSpaceDN/>
                    <w:bidi w:val="0"/>
                    <w:adjustRightInd w:val="0"/>
                    <w:snapToGrid w:val="0"/>
                    <w:ind w:firstLine="0"/>
                    <w:jc w:val="center"/>
                    <w:textAlignment w:val="auto"/>
                    <w:rPr>
                      <w:bCs/>
                      <w:color w:val="auto"/>
                      <w:szCs w:val="21"/>
                    </w:rPr>
                  </w:pPr>
                  <w:r>
                    <w:rPr>
                      <w:bCs/>
                      <w:color w:val="auto"/>
                      <w:szCs w:val="21"/>
                    </w:rPr>
                    <w:t>/</w:t>
                  </w:r>
                </w:p>
              </w:tc>
              <w:tc>
                <w:tcPr>
                  <w:tcW w:w="901" w:type="pct"/>
                  <w:shd w:val="clear" w:color="auto" w:fill="auto"/>
                  <w:vAlign w:val="center"/>
                </w:tcPr>
                <w:p w14:paraId="57805F92">
                  <w:pPr>
                    <w:keepNext w:val="0"/>
                    <w:keepLines w:val="0"/>
                    <w:pageBreakBefore w:val="0"/>
                    <w:widowControl/>
                    <w:kinsoku/>
                    <w:wordWrap/>
                    <w:overflowPunct/>
                    <w:topLinePunct w:val="0"/>
                    <w:autoSpaceDE/>
                    <w:autoSpaceDN/>
                    <w:bidi w:val="0"/>
                    <w:adjustRightInd w:val="0"/>
                    <w:snapToGrid w:val="0"/>
                    <w:ind w:left="-105" w:leftChars="-50" w:right="-105" w:rightChars="-50" w:firstLine="0"/>
                    <w:jc w:val="center"/>
                    <w:textAlignment w:val="auto"/>
                    <w:rPr>
                      <w:rFonts w:hint="eastAsia" w:eastAsia="宋体"/>
                      <w:color w:val="auto"/>
                      <w:kern w:val="0"/>
                      <w:szCs w:val="21"/>
                      <w:lang w:eastAsia="zh-CN"/>
                    </w:rPr>
                  </w:pPr>
                  <w:r>
                    <w:rPr>
                      <w:rFonts w:hint="eastAsia"/>
                      <w:color w:val="auto"/>
                      <w:kern w:val="0"/>
                      <w:szCs w:val="21"/>
                    </w:rPr>
                    <w:t>0.0</w:t>
                  </w:r>
                  <w:r>
                    <w:rPr>
                      <w:rFonts w:hint="eastAsia"/>
                      <w:color w:val="auto"/>
                      <w:kern w:val="0"/>
                      <w:szCs w:val="21"/>
                      <w:lang w:val="en-US" w:eastAsia="zh-CN"/>
                    </w:rPr>
                    <w:t>3</w:t>
                  </w:r>
                </w:p>
              </w:tc>
              <w:tc>
                <w:tcPr>
                  <w:tcW w:w="623" w:type="pct"/>
                  <w:vAlign w:val="center"/>
                </w:tcPr>
                <w:p w14:paraId="5C45A069">
                  <w:pPr>
                    <w:keepNext w:val="0"/>
                    <w:keepLines w:val="0"/>
                    <w:pageBreakBefore w:val="0"/>
                    <w:kinsoku/>
                    <w:wordWrap/>
                    <w:overflowPunct/>
                    <w:topLinePunct w:val="0"/>
                    <w:autoSpaceDE/>
                    <w:autoSpaceDN/>
                    <w:bidi w:val="0"/>
                    <w:adjustRightInd w:val="0"/>
                    <w:snapToGrid w:val="0"/>
                    <w:ind w:firstLine="0"/>
                    <w:jc w:val="center"/>
                    <w:textAlignment w:val="auto"/>
                    <w:rPr>
                      <w:bCs/>
                      <w:color w:val="auto"/>
                      <w:szCs w:val="21"/>
                    </w:rPr>
                  </w:pPr>
                  <w:r>
                    <w:rPr>
                      <w:rFonts w:hint="eastAsia"/>
                      <w:bCs/>
                      <w:color w:val="auto"/>
                      <w:szCs w:val="21"/>
                    </w:rPr>
                    <w:t>2500</w:t>
                  </w:r>
                </w:p>
              </w:tc>
              <w:tc>
                <w:tcPr>
                  <w:tcW w:w="1199" w:type="pct"/>
                  <w:vAlign w:val="center"/>
                </w:tcPr>
                <w:p w14:paraId="6AB0D758">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Cs/>
                      <w:color w:val="auto"/>
                      <w:szCs w:val="21"/>
                      <w:lang w:val="en-US" w:eastAsia="zh-CN"/>
                    </w:rPr>
                  </w:pPr>
                  <w:r>
                    <w:rPr>
                      <w:rFonts w:hint="eastAsia"/>
                      <w:bCs/>
                      <w:color w:val="auto"/>
                      <w:szCs w:val="21"/>
                      <w:lang w:val="en-US" w:eastAsia="zh-CN"/>
                    </w:rPr>
                    <w:t>0.000012</w:t>
                  </w:r>
                </w:p>
              </w:tc>
            </w:tr>
            <w:tr w14:paraId="6C2345A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13" w:type="pct"/>
                  <w:shd w:val="clear" w:color="auto" w:fill="auto"/>
                  <w:vAlign w:val="center"/>
                </w:tcPr>
                <w:p w14:paraId="4C27D655">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bCs/>
                      <w:color w:val="auto"/>
                      <w:szCs w:val="21"/>
                    </w:rPr>
                    <w:t>3</w:t>
                  </w:r>
                </w:p>
              </w:tc>
              <w:tc>
                <w:tcPr>
                  <w:tcW w:w="1326" w:type="pct"/>
                  <w:shd w:val="clear" w:color="auto" w:fill="auto"/>
                  <w:vAlign w:val="center"/>
                </w:tcPr>
                <w:p w14:paraId="39BB1918">
                  <w:pPr>
                    <w:keepNext w:val="0"/>
                    <w:keepLines w:val="0"/>
                    <w:pageBreakBefore w:val="0"/>
                    <w:widowControl/>
                    <w:kinsoku/>
                    <w:wordWrap/>
                    <w:overflowPunct/>
                    <w:topLinePunct w:val="0"/>
                    <w:autoSpaceDE/>
                    <w:autoSpaceDN/>
                    <w:bidi w:val="0"/>
                    <w:adjustRightInd w:val="0"/>
                    <w:snapToGrid w:val="0"/>
                    <w:ind w:left="-105" w:leftChars="-50" w:right="-105" w:rightChars="-50" w:firstLine="0"/>
                    <w:jc w:val="center"/>
                    <w:textAlignment w:val="auto"/>
                    <w:rPr>
                      <w:rFonts w:hint="eastAsia" w:eastAsia="宋体"/>
                      <w:color w:val="auto"/>
                      <w:kern w:val="0"/>
                      <w:szCs w:val="21"/>
                      <w:lang w:eastAsia="zh-CN"/>
                    </w:rPr>
                  </w:pPr>
                  <w:r>
                    <w:rPr>
                      <w:rFonts w:hint="eastAsia"/>
                      <w:color w:val="auto"/>
                      <w:kern w:val="0"/>
                      <w:szCs w:val="21"/>
                      <w:lang w:val="en-US" w:eastAsia="zh-CN"/>
                    </w:rPr>
                    <w:t>70%</w:t>
                  </w:r>
                  <w:r>
                    <w:rPr>
                      <w:rFonts w:hint="eastAsia"/>
                      <w:color w:val="auto"/>
                      <w:kern w:val="0"/>
                      <w:szCs w:val="21"/>
                      <w:lang w:eastAsia="zh-CN"/>
                    </w:rPr>
                    <w:t>乙醇</w:t>
                  </w:r>
                </w:p>
              </w:tc>
              <w:tc>
                <w:tcPr>
                  <w:tcW w:w="636" w:type="pct"/>
                  <w:vAlign w:val="center"/>
                </w:tcPr>
                <w:p w14:paraId="5DE9AB40">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bCs/>
                      <w:color w:val="auto"/>
                      <w:szCs w:val="21"/>
                      <w:lang w:val="en-US" w:eastAsia="zh-CN"/>
                    </w:rPr>
                  </w:pPr>
                  <w:r>
                    <w:rPr>
                      <w:rFonts w:hint="eastAsia"/>
                      <w:bCs/>
                      <w:color w:val="auto"/>
                      <w:szCs w:val="21"/>
                      <w:lang w:val="en-US" w:eastAsia="zh-CN"/>
                    </w:rPr>
                    <w:t>/</w:t>
                  </w:r>
                </w:p>
              </w:tc>
              <w:tc>
                <w:tcPr>
                  <w:tcW w:w="901" w:type="pct"/>
                  <w:shd w:val="clear" w:color="auto" w:fill="auto"/>
                  <w:vAlign w:val="center"/>
                </w:tcPr>
                <w:p w14:paraId="182E8717">
                  <w:pPr>
                    <w:keepNext w:val="0"/>
                    <w:keepLines w:val="0"/>
                    <w:pageBreakBefore w:val="0"/>
                    <w:widowControl/>
                    <w:kinsoku/>
                    <w:wordWrap/>
                    <w:overflowPunct/>
                    <w:topLinePunct w:val="0"/>
                    <w:autoSpaceDE/>
                    <w:autoSpaceDN/>
                    <w:bidi w:val="0"/>
                    <w:adjustRightInd w:val="0"/>
                    <w:snapToGrid w:val="0"/>
                    <w:ind w:left="-105" w:leftChars="-50" w:right="-105" w:rightChars="-50" w:firstLine="0"/>
                    <w:jc w:val="center"/>
                    <w:textAlignment w:val="auto"/>
                    <w:rPr>
                      <w:rFonts w:hint="default" w:eastAsia="宋体"/>
                      <w:color w:val="auto"/>
                      <w:kern w:val="0"/>
                      <w:szCs w:val="21"/>
                      <w:lang w:val="en-US" w:eastAsia="zh-CN"/>
                    </w:rPr>
                  </w:pPr>
                  <w:r>
                    <w:rPr>
                      <w:rFonts w:hint="eastAsia"/>
                      <w:color w:val="auto"/>
                      <w:kern w:val="0"/>
                      <w:szCs w:val="21"/>
                      <w:lang w:val="en-US" w:eastAsia="zh-CN"/>
                    </w:rPr>
                    <w:t>0.05</w:t>
                  </w:r>
                </w:p>
              </w:tc>
              <w:tc>
                <w:tcPr>
                  <w:tcW w:w="623" w:type="pct"/>
                  <w:vAlign w:val="center"/>
                </w:tcPr>
                <w:p w14:paraId="46FE69EC">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Cs/>
                      <w:color w:val="auto"/>
                      <w:szCs w:val="21"/>
                      <w:lang w:val="en-US" w:eastAsia="zh-CN"/>
                    </w:rPr>
                  </w:pPr>
                  <w:r>
                    <w:rPr>
                      <w:rFonts w:hint="eastAsia"/>
                      <w:bCs/>
                      <w:color w:val="auto"/>
                      <w:szCs w:val="21"/>
                      <w:lang w:val="en-US" w:eastAsia="zh-CN"/>
                    </w:rPr>
                    <w:t>50</w:t>
                  </w:r>
                </w:p>
              </w:tc>
              <w:tc>
                <w:tcPr>
                  <w:tcW w:w="1199" w:type="pct"/>
                  <w:vAlign w:val="center"/>
                </w:tcPr>
                <w:p w14:paraId="462C16C5">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Cs/>
                      <w:color w:val="auto"/>
                      <w:szCs w:val="21"/>
                      <w:lang w:val="en-US" w:eastAsia="zh-CN"/>
                    </w:rPr>
                  </w:pPr>
                  <w:r>
                    <w:rPr>
                      <w:rFonts w:hint="eastAsia"/>
                      <w:bCs/>
                      <w:color w:val="auto"/>
                      <w:szCs w:val="21"/>
                      <w:lang w:val="en-US" w:eastAsia="zh-CN"/>
                    </w:rPr>
                    <w:t>0.001</w:t>
                  </w:r>
                </w:p>
              </w:tc>
            </w:tr>
            <w:tr w14:paraId="23B0116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13" w:type="pct"/>
                  <w:shd w:val="clear" w:color="auto" w:fill="auto"/>
                  <w:vAlign w:val="center"/>
                </w:tcPr>
                <w:p w14:paraId="4EACBD91">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bCs/>
                      <w:color w:val="auto"/>
                      <w:kern w:val="2"/>
                      <w:sz w:val="21"/>
                      <w:szCs w:val="21"/>
                      <w:lang w:val="en-US" w:eastAsia="zh-CN" w:bidi="ar-SA"/>
                    </w:rPr>
                  </w:pPr>
                  <w:r>
                    <w:rPr>
                      <w:rFonts w:hint="eastAsia"/>
                      <w:bCs/>
                      <w:color w:val="auto"/>
                      <w:szCs w:val="21"/>
                    </w:rPr>
                    <w:t>4</w:t>
                  </w:r>
                </w:p>
              </w:tc>
              <w:tc>
                <w:tcPr>
                  <w:tcW w:w="1326" w:type="pct"/>
                  <w:shd w:val="clear" w:color="auto" w:fill="auto"/>
                  <w:vAlign w:val="center"/>
                </w:tcPr>
                <w:p w14:paraId="13C8F034">
                  <w:pPr>
                    <w:keepNext w:val="0"/>
                    <w:keepLines w:val="0"/>
                    <w:pageBreakBefore w:val="0"/>
                    <w:widowControl/>
                    <w:kinsoku/>
                    <w:wordWrap/>
                    <w:overflowPunct/>
                    <w:topLinePunct w:val="0"/>
                    <w:autoSpaceDE/>
                    <w:autoSpaceDN/>
                    <w:bidi w:val="0"/>
                    <w:adjustRightInd w:val="0"/>
                    <w:snapToGrid w:val="0"/>
                    <w:ind w:left="-105" w:leftChars="-50" w:right="-105" w:rightChars="-50" w:firstLine="0"/>
                    <w:jc w:val="center"/>
                    <w:textAlignment w:val="auto"/>
                    <w:rPr>
                      <w:color w:val="auto"/>
                      <w:kern w:val="0"/>
                      <w:szCs w:val="21"/>
                    </w:rPr>
                  </w:pPr>
                  <w:r>
                    <w:rPr>
                      <w:rFonts w:hint="eastAsia"/>
                      <w:color w:val="auto"/>
                      <w:kern w:val="0"/>
                      <w:szCs w:val="21"/>
                    </w:rPr>
                    <w:t>废润滑油</w:t>
                  </w:r>
                </w:p>
              </w:tc>
              <w:tc>
                <w:tcPr>
                  <w:tcW w:w="636" w:type="pct"/>
                  <w:shd w:val="clear" w:color="auto" w:fill="auto"/>
                  <w:vAlign w:val="center"/>
                </w:tcPr>
                <w:p w14:paraId="0ED21A92">
                  <w:pPr>
                    <w:keepNext w:val="0"/>
                    <w:keepLines w:val="0"/>
                    <w:pageBreakBefore w:val="0"/>
                    <w:kinsoku/>
                    <w:wordWrap/>
                    <w:overflowPunct/>
                    <w:topLinePunct w:val="0"/>
                    <w:autoSpaceDE/>
                    <w:autoSpaceDN/>
                    <w:bidi w:val="0"/>
                    <w:adjustRightInd w:val="0"/>
                    <w:snapToGrid w:val="0"/>
                    <w:ind w:firstLine="0"/>
                    <w:jc w:val="center"/>
                    <w:textAlignment w:val="auto"/>
                    <w:rPr>
                      <w:bCs/>
                      <w:color w:val="auto"/>
                      <w:szCs w:val="21"/>
                    </w:rPr>
                  </w:pPr>
                  <w:r>
                    <w:rPr>
                      <w:bCs/>
                      <w:color w:val="auto"/>
                      <w:szCs w:val="21"/>
                    </w:rPr>
                    <w:t>/</w:t>
                  </w:r>
                </w:p>
              </w:tc>
              <w:tc>
                <w:tcPr>
                  <w:tcW w:w="901" w:type="pct"/>
                  <w:shd w:val="clear" w:color="auto" w:fill="auto"/>
                  <w:vAlign w:val="center"/>
                </w:tcPr>
                <w:p w14:paraId="1A7608EA">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color w:val="auto"/>
                      <w:kern w:val="0"/>
                      <w:szCs w:val="21"/>
                      <w:lang w:eastAsia="zh-CN"/>
                    </w:rPr>
                  </w:pPr>
                  <w:r>
                    <w:rPr>
                      <w:rFonts w:hint="eastAsia"/>
                      <w:color w:val="auto"/>
                      <w:szCs w:val="21"/>
                      <w:lang w:eastAsia="zh-CN" w:bidi="ar"/>
                    </w:rPr>
                    <w:t>0.1741</w:t>
                  </w:r>
                </w:p>
              </w:tc>
              <w:tc>
                <w:tcPr>
                  <w:tcW w:w="623" w:type="pct"/>
                  <w:shd w:val="clear" w:color="auto" w:fill="auto"/>
                  <w:vAlign w:val="center"/>
                </w:tcPr>
                <w:p w14:paraId="7F574CDE">
                  <w:pPr>
                    <w:keepNext w:val="0"/>
                    <w:keepLines w:val="0"/>
                    <w:pageBreakBefore w:val="0"/>
                    <w:kinsoku/>
                    <w:wordWrap/>
                    <w:overflowPunct/>
                    <w:topLinePunct w:val="0"/>
                    <w:autoSpaceDE/>
                    <w:autoSpaceDN/>
                    <w:bidi w:val="0"/>
                    <w:adjustRightInd w:val="0"/>
                    <w:snapToGrid w:val="0"/>
                    <w:ind w:firstLine="0"/>
                    <w:jc w:val="center"/>
                    <w:textAlignment w:val="auto"/>
                    <w:rPr>
                      <w:bCs/>
                      <w:color w:val="auto"/>
                      <w:szCs w:val="21"/>
                    </w:rPr>
                  </w:pPr>
                  <w:r>
                    <w:rPr>
                      <w:rFonts w:hint="eastAsia"/>
                      <w:bCs/>
                      <w:color w:val="auto"/>
                      <w:szCs w:val="21"/>
                    </w:rPr>
                    <w:t>50</w:t>
                  </w:r>
                </w:p>
              </w:tc>
              <w:tc>
                <w:tcPr>
                  <w:tcW w:w="1199" w:type="pct"/>
                  <w:shd w:val="clear" w:color="auto" w:fill="auto"/>
                  <w:vAlign w:val="center"/>
                </w:tcPr>
                <w:p w14:paraId="784DDF1F">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Cs/>
                      <w:color w:val="auto"/>
                      <w:szCs w:val="21"/>
                      <w:lang w:val="en-US" w:eastAsia="zh-CN"/>
                    </w:rPr>
                  </w:pPr>
                  <w:r>
                    <w:rPr>
                      <w:rFonts w:hint="eastAsia"/>
                      <w:bCs/>
                      <w:color w:val="auto"/>
                      <w:szCs w:val="21"/>
                      <w:lang w:val="en-US" w:eastAsia="zh-CN"/>
                    </w:rPr>
                    <w:t>0.003482</w:t>
                  </w:r>
                </w:p>
              </w:tc>
            </w:tr>
            <w:tr w14:paraId="15A6010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13" w:type="pct"/>
                  <w:shd w:val="clear" w:color="auto" w:fill="auto"/>
                  <w:vAlign w:val="center"/>
                </w:tcPr>
                <w:p w14:paraId="59B9E4DB">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bCs/>
                      <w:color w:val="auto"/>
                      <w:kern w:val="2"/>
                      <w:sz w:val="21"/>
                      <w:szCs w:val="21"/>
                      <w:lang w:val="en-US" w:eastAsia="zh-CN" w:bidi="ar-SA"/>
                    </w:rPr>
                  </w:pPr>
                  <w:r>
                    <w:rPr>
                      <w:rFonts w:hint="eastAsia"/>
                      <w:bCs/>
                      <w:color w:val="auto"/>
                      <w:szCs w:val="21"/>
                    </w:rPr>
                    <w:t>5</w:t>
                  </w:r>
                </w:p>
              </w:tc>
              <w:tc>
                <w:tcPr>
                  <w:tcW w:w="1326" w:type="pct"/>
                  <w:shd w:val="clear" w:color="auto" w:fill="auto"/>
                  <w:vAlign w:val="center"/>
                </w:tcPr>
                <w:p w14:paraId="25B97DDB">
                  <w:pPr>
                    <w:keepNext w:val="0"/>
                    <w:keepLines w:val="0"/>
                    <w:pageBreakBefore w:val="0"/>
                    <w:widowControl/>
                    <w:kinsoku/>
                    <w:wordWrap/>
                    <w:overflowPunct/>
                    <w:topLinePunct w:val="0"/>
                    <w:autoSpaceDE/>
                    <w:autoSpaceDN/>
                    <w:bidi w:val="0"/>
                    <w:adjustRightInd w:val="0"/>
                    <w:snapToGrid w:val="0"/>
                    <w:ind w:left="-105" w:leftChars="-50" w:right="-105" w:rightChars="-50" w:firstLine="0"/>
                    <w:jc w:val="center"/>
                    <w:textAlignment w:val="auto"/>
                    <w:rPr>
                      <w:color w:val="auto"/>
                      <w:kern w:val="0"/>
                      <w:szCs w:val="21"/>
                    </w:rPr>
                  </w:pPr>
                  <w:r>
                    <w:rPr>
                      <w:rFonts w:hint="eastAsia"/>
                      <w:color w:val="auto"/>
                      <w:kern w:val="0"/>
                      <w:szCs w:val="21"/>
                    </w:rPr>
                    <w:t>废切削液</w:t>
                  </w:r>
                </w:p>
              </w:tc>
              <w:tc>
                <w:tcPr>
                  <w:tcW w:w="636" w:type="pct"/>
                  <w:shd w:val="clear" w:color="auto" w:fill="auto"/>
                  <w:vAlign w:val="center"/>
                </w:tcPr>
                <w:p w14:paraId="60B6E408">
                  <w:pPr>
                    <w:keepNext w:val="0"/>
                    <w:keepLines w:val="0"/>
                    <w:pageBreakBefore w:val="0"/>
                    <w:kinsoku/>
                    <w:wordWrap/>
                    <w:overflowPunct/>
                    <w:topLinePunct w:val="0"/>
                    <w:autoSpaceDE/>
                    <w:autoSpaceDN/>
                    <w:bidi w:val="0"/>
                    <w:adjustRightInd w:val="0"/>
                    <w:snapToGrid w:val="0"/>
                    <w:ind w:firstLine="0"/>
                    <w:jc w:val="center"/>
                    <w:textAlignment w:val="auto"/>
                    <w:rPr>
                      <w:bCs/>
                      <w:color w:val="auto"/>
                      <w:szCs w:val="21"/>
                    </w:rPr>
                  </w:pPr>
                  <w:r>
                    <w:rPr>
                      <w:bCs/>
                      <w:color w:val="auto"/>
                      <w:szCs w:val="21"/>
                    </w:rPr>
                    <w:t>/</w:t>
                  </w:r>
                </w:p>
              </w:tc>
              <w:tc>
                <w:tcPr>
                  <w:tcW w:w="901" w:type="pct"/>
                  <w:shd w:val="clear" w:color="auto" w:fill="auto"/>
                  <w:vAlign w:val="center"/>
                </w:tcPr>
                <w:p w14:paraId="5DEA0DA3">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color w:val="auto"/>
                      <w:kern w:val="0"/>
                      <w:szCs w:val="21"/>
                      <w:lang w:eastAsia="zh-CN"/>
                    </w:rPr>
                  </w:pPr>
                  <w:r>
                    <w:rPr>
                      <w:rFonts w:hint="eastAsia"/>
                      <w:color w:val="auto"/>
                      <w:szCs w:val="21"/>
                      <w:lang w:eastAsia="zh-CN" w:bidi="ar"/>
                    </w:rPr>
                    <w:t>1.1924</w:t>
                  </w:r>
                </w:p>
              </w:tc>
              <w:tc>
                <w:tcPr>
                  <w:tcW w:w="623" w:type="pct"/>
                  <w:shd w:val="clear" w:color="auto" w:fill="auto"/>
                  <w:vAlign w:val="center"/>
                </w:tcPr>
                <w:p w14:paraId="48E1A6AB">
                  <w:pPr>
                    <w:keepNext w:val="0"/>
                    <w:keepLines w:val="0"/>
                    <w:pageBreakBefore w:val="0"/>
                    <w:kinsoku/>
                    <w:wordWrap/>
                    <w:overflowPunct/>
                    <w:topLinePunct w:val="0"/>
                    <w:autoSpaceDE/>
                    <w:autoSpaceDN/>
                    <w:bidi w:val="0"/>
                    <w:adjustRightInd w:val="0"/>
                    <w:snapToGrid w:val="0"/>
                    <w:ind w:firstLine="0"/>
                    <w:jc w:val="center"/>
                    <w:textAlignment w:val="auto"/>
                    <w:rPr>
                      <w:bCs/>
                      <w:color w:val="auto"/>
                      <w:szCs w:val="21"/>
                    </w:rPr>
                  </w:pPr>
                  <w:r>
                    <w:rPr>
                      <w:rFonts w:hint="eastAsia"/>
                      <w:bCs/>
                      <w:color w:val="auto"/>
                      <w:szCs w:val="21"/>
                    </w:rPr>
                    <w:t>50</w:t>
                  </w:r>
                </w:p>
              </w:tc>
              <w:tc>
                <w:tcPr>
                  <w:tcW w:w="1199" w:type="pct"/>
                  <w:shd w:val="clear" w:color="auto" w:fill="auto"/>
                  <w:vAlign w:val="center"/>
                </w:tcPr>
                <w:p w14:paraId="7E735A1E">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Cs/>
                      <w:color w:val="auto"/>
                      <w:szCs w:val="21"/>
                      <w:lang w:val="en-US" w:eastAsia="zh-CN"/>
                    </w:rPr>
                  </w:pPr>
                  <w:r>
                    <w:rPr>
                      <w:rFonts w:hint="eastAsia"/>
                      <w:bCs/>
                      <w:color w:val="auto"/>
                      <w:szCs w:val="21"/>
                      <w:lang w:val="en-US" w:eastAsia="zh-CN"/>
                    </w:rPr>
                    <w:t>0.023848</w:t>
                  </w:r>
                </w:p>
              </w:tc>
            </w:tr>
            <w:tr w14:paraId="29A3012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13" w:type="pct"/>
                  <w:shd w:val="clear" w:color="auto" w:fill="auto"/>
                  <w:vAlign w:val="center"/>
                </w:tcPr>
                <w:p w14:paraId="6D510AD1">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bCs/>
                      <w:color w:val="auto"/>
                      <w:kern w:val="2"/>
                      <w:sz w:val="21"/>
                      <w:szCs w:val="21"/>
                      <w:lang w:val="en-US" w:eastAsia="zh-CN" w:bidi="ar-SA"/>
                    </w:rPr>
                  </w:pPr>
                  <w:r>
                    <w:rPr>
                      <w:rFonts w:hint="eastAsia"/>
                      <w:bCs/>
                      <w:color w:val="auto"/>
                      <w:szCs w:val="21"/>
                    </w:rPr>
                    <w:t>6</w:t>
                  </w:r>
                </w:p>
              </w:tc>
              <w:tc>
                <w:tcPr>
                  <w:tcW w:w="1326" w:type="pct"/>
                  <w:shd w:val="clear" w:color="auto" w:fill="auto"/>
                  <w:vAlign w:val="center"/>
                </w:tcPr>
                <w:p w14:paraId="5B291238">
                  <w:pPr>
                    <w:keepNext w:val="0"/>
                    <w:keepLines w:val="0"/>
                    <w:pageBreakBefore w:val="0"/>
                    <w:widowControl/>
                    <w:kinsoku/>
                    <w:wordWrap/>
                    <w:overflowPunct/>
                    <w:topLinePunct w:val="0"/>
                    <w:autoSpaceDE/>
                    <w:autoSpaceDN/>
                    <w:bidi w:val="0"/>
                    <w:adjustRightInd w:val="0"/>
                    <w:snapToGrid w:val="0"/>
                    <w:ind w:left="-105" w:leftChars="-50" w:right="-105" w:rightChars="-50" w:firstLine="0"/>
                    <w:jc w:val="center"/>
                    <w:textAlignment w:val="auto"/>
                    <w:rPr>
                      <w:color w:val="auto"/>
                      <w:kern w:val="0"/>
                      <w:szCs w:val="21"/>
                    </w:rPr>
                  </w:pPr>
                  <w:r>
                    <w:rPr>
                      <w:rFonts w:hint="eastAsia"/>
                      <w:color w:val="auto"/>
                      <w:kern w:val="0"/>
                      <w:szCs w:val="21"/>
                    </w:rPr>
                    <w:t>废包装桶</w:t>
                  </w:r>
                </w:p>
              </w:tc>
              <w:tc>
                <w:tcPr>
                  <w:tcW w:w="636" w:type="pct"/>
                  <w:vAlign w:val="center"/>
                </w:tcPr>
                <w:p w14:paraId="2DCCB196">
                  <w:pPr>
                    <w:keepNext w:val="0"/>
                    <w:keepLines w:val="0"/>
                    <w:pageBreakBefore w:val="0"/>
                    <w:kinsoku/>
                    <w:wordWrap/>
                    <w:overflowPunct/>
                    <w:topLinePunct w:val="0"/>
                    <w:autoSpaceDE/>
                    <w:autoSpaceDN/>
                    <w:bidi w:val="0"/>
                    <w:adjustRightInd w:val="0"/>
                    <w:snapToGrid w:val="0"/>
                    <w:ind w:firstLine="0"/>
                    <w:jc w:val="center"/>
                    <w:textAlignment w:val="auto"/>
                    <w:rPr>
                      <w:bCs/>
                      <w:color w:val="auto"/>
                      <w:szCs w:val="21"/>
                    </w:rPr>
                  </w:pPr>
                  <w:r>
                    <w:rPr>
                      <w:bCs/>
                      <w:color w:val="auto"/>
                      <w:szCs w:val="21"/>
                    </w:rPr>
                    <w:t>/</w:t>
                  </w:r>
                </w:p>
              </w:tc>
              <w:tc>
                <w:tcPr>
                  <w:tcW w:w="901" w:type="pct"/>
                  <w:shd w:val="clear" w:color="auto" w:fill="auto"/>
                  <w:vAlign w:val="center"/>
                </w:tcPr>
                <w:p w14:paraId="3B283F96">
                  <w:pPr>
                    <w:keepNext w:val="0"/>
                    <w:keepLines w:val="0"/>
                    <w:pageBreakBefore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szCs w:val="21"/>
                      <w:lang w:bidi="ar"/>
                    </w:rPr>
                    <w:t>0.1</w:t>
                  </w:r>
                </w:p>
              </w:tc>
              <w:tc>
                <w:tcPr>
                  <w:tcW w:w="623" w:type="pct"/>
                  <w:vAlign w:val="center"/>
                </w:tcPr>
                <w:p w14:paraId="2C437D04">
                  <w:pPr>
                    <w:keepNext w:val="0"/>
                    <w:keepLines w:val="0"/>
                    <w:pageBreakBefore w:val="0"/>
                    <w:kinsoku/>
                    <w:wordWrap/>
                    <w:overflowPunct/>
                    <w:topLinePunct w:val="0"/>
                    <w:autoSpaceDE/>
                    <w:autoSpaceDN/>
                    <w:bidi w:val="0"/>
                    <w:adjustRightInd w:val="0"/>
                    <w:snapToGrid w:val="0"/>
                    <w:ind w:firstLine="0"/>
                    <w:jc w:val="center"/>
                    <w:textAlignment w:val="auto"/>
                    <w:rPr>
                      <w:bCs/>
                      <w:color w:val="auto"/>
                      <w:szCs w:val="21"/>
                    </w:rPr>
                  </w:pPr>
                  <w:r>
                    <w:rPr>
                      <w:rFonts w:hint="eastAsia"/>
                      <w:bCs/>
                      <w:color w:val="auto"/>
                      <w:szCs w:val="21"/>
                    </w:rPr>
                    <w:t>50</w:t>
                  </w:r>
                </w:p>
              </w:tc>
              <w:tc>
                <w:tcPr>
                  <w:tcW w:w="1199" w:type="pct"/>
                  <w:vAlign w:val="center"/>
                </w:tcPr>
                <w:p w14:paraId="02FB9336">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Cs/>
                      <w:color w:val="auto"/>
                      <w:szCs w:val="21"/>
                      <w:lang w:val="en-US" w:eastAsia="zh-CN"/>
                    </w:rPr>
                  </w:pPr>
                  <w:r>
                    <w:rPr>
                      <w:rFonts w:hint="eastAsia"/>
                      <w:bCs/>
                      <w:color w:val="auto"/>
                      <w:szCs w:val="21"/>
                      <w:lang w:val="en-US" w:eastAsia="zh-CN"/>
                    </w:rPr>
                    <w:t>0.002</w:t>
                  </w:r>
                </w:p>
              </w:tc>
            </w:tr>
            <w:tr w14:paraId="4B2CF66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13" w:type="pct"/>
                  <w:shd w:val="clear" w:color="auto" w:fill="auto"/>
                  <w:vAlign w:val="center"/>
                </w:tcPr>
                <w:p w14:paraId="2D01E774">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bCs/>
                      <w:color w:val="auto"/>
                      <w:kern w:val="2"/>
                      <w:sz w:val="21"/>
                      <w:szCs w:val="21"/>
                      <w:lang w:val="en-US" w:eastAsia="zh-CN" w:bidi="ar-SA"/>
                    </w:rPr>
                  </w:pPr>
                  <w:r>
                    <w:rPr>
                      <w:rFonts w:hint="eastAsia"/>
                      <w:bCs/>
                      <w:color w:val="auto"/>
                      <w:szCs w:val="21"/>
                    </w:rPr>
                    <w:t>7</w:t>
                  </w:r>
                </w:p>
              </w:tc>
              <w:tc>
                <w:tcPr>
                  <w:tcW w:w="1326" w:type="pct"/>
                  <w:shd w:val="clear" w:color="auto" w:fill="auto"/>
                  <w:vAlign w:val="center"/>
                </w:tcPr>
                <w:p w14:paraId="7076AF39">
                  <w:pPr>
                    <w:keepNext w:val="0"/>
                    <w:keepLines w:val="0"/>
                    <w:pageBreakBefore w:val="0"/>
                    <w:widowControl/>
                    <w:kinsoku/>
                    <w:wordWrap/>
                    <w:overflowPunct/>
                    <w:topLinePunct w:val="0"/>
                    <w:autoSpaceDE/>
                    <w:autoSpaceDN/>
                    <w:bidi w:val="0"/>
                    <w:adjustRightInd w:val="0"/>
                    <w:snapToGrid w:val="0"/>
                    <w:ind w:left="-105" w:leftChars="-50" w:right="-105" w:rightChars="-50" w:firstLine="0"/>
                    <w:jc w:val="center"/>
                    <w:textAlignment w:val="auto"/>
                    <w:rPr>
                      <w:color w:val="auto"/>
                      <w:kern w:val="0"/>
                      <w:szCs w:val="21"/>
                    </w:rPr>
                  </w:pPr>
                  <w:r>
                    <w:rPr>
                      <w:rFonts w:hint="eastAsia"/>
                      <w:color w:val="auto"/>
                      <w:kern w:val="0"/>
                      <w:szCs w:val="21"/>
                    </w:rPr>
                    <w:t>废活性炭</w:t>
                  </w:r>
                </w:p>
              </w:tc>
              <w:tc>
                <w:tcPr>
                  <w:tcW w:w="636" w:type="pct"/>
                  <w:vAlign w:val="center"/>
                </w:tcPr>
                <w:p w14:paraId="6BBA886B">
                  <w:pPr>
                    <w:keepNext w:val="0"/>
                    <w:keepLines w:val="0"/>
                    <w:pageBreakBefore w:val="0"/>
                    <w:kinsoku/>
                    <w:wordWrap/>
                    <w:overflowPunct/>
                    <w:topLinePunct w:val="0"/>
                    <w:autoSpaceDE/>
                    <w:autoSpaceDN/>
                    <w:bidi w:val="0"/>
                    <w:adjustRightInd w:val="0"/>
                    <w:snapToGrid w:val="0"/>
                    <w:ind w:firstLine="0"/>
                    <w:jc w:val="center"/>
                    <w:textAlignment w:val="auto"/>
                    <w:rPr>
                      <w:bCs/>
                      <w:color w:val="auto"/>
                      <w:szCs w:val="21"/>
                    </w:rPr>
                  </w:pPr>
                  <w:r>
                    <w:rPr>
                      <w:bCs/>
                      <w:color w:val="auto"/>
                      <w:szCs w:val="21"/>
                    </w:rPr>
                    <w:t>/</w:t>
                  </w:r>
                </w:p>
              </w:tc>
              <w:tc>
                <w:tcPr>
                  <w:tcW w:w="901" w:type="pct"/>
                  <w:shd w:val="clear" w:color="auto" w:fill="auto"/>
                  <w:vAlign w:val="center"/>
                </w:tcPr>
                <w:p w14:paraId="084EFA88">
                  <w:pPr>
                    <w:keepNext w:val="0"/>
                    <w:keepLines w:val="0"/>
                    <w:pageBreakBefore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szCs w:val="21"/>
                      <w:lang w:bidi="ar"/>
                    </w:rPr>
                    <w:t>0.093</w:t>
                  </w:r>
                </w:p>
              </w:tc>
              <w:tc>
                <w:tcPr>
                  <w:tcW w:w="623" w:type="pct"/>
                  <w:vAlign w:val="center"/>
                </w:tcPr>
                <w:p w14:paraId="021D7B14">
                  <w:pPr>
                    <w:keepNext w:val="0"/>
                    <w:keepLines w:val="0"/>
                    <w:pageBreakBefore w:val="0"/>
                    <w:kinsoku/>
                    <w:wordWrap/>
                    <w:overflowPunct/>
                    <w:topLinePunct w:val="0"/>
                    <w:autoSpaceDE/>
                    <w:autoSpaceDN/>
                    <w:bidi w:val="0"/>
                    <w:adjustRightInd w:val="0"/>
                    <w:snapToGrid w:val="0"/>
                    <w:ind w:firstLine="0"/>
                    <w:jc w:val="center"/>
                    <w:textAlignment w:val="auto"/>
                    <w:rPr>
                      <w:bCs/>
                      <w:color w:val="auto"/>
                      <w:szCs w:val="21"/>
                    </w:rPr>
                  </w:pPr>
                  <w:r>
                    <w:rPr>
                      <w:rFonts w:hint="eastAsia"/>
                      <w:bCs/>
                      <w:color w:val="auto"/>
                      <w:szCs w:val="21"/>
                    </w:rPr>
                    <w:t>50</w:t>
                  </w:r>
                </w:p>
              </w:tc>
              <w:tc>
                <w:tcPr>
                  <w:tcW w:w="1199" w:type="pct"/>
                  <w:vAlign w:val="center"/>
                </w:tcPr>
                <w:p w14:paraId="264E0D82">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Cs/>
                      <w:color w:val="auto"/>
                      <w:szCs w:val="21"/>
                      <w:lang w:val="en-US" w:eastAsia="zh-CN"/>
                    </w:rPr>
                  </w:pPr>
                  <w:r>
                    <w:rPr>
                      <w:rFonts w:hint="eastAsia"/>
                      <w:bCs/>
                      <w:color w:val="auto"/>
                      <w:szCs w:val="21"/>
                      <w:lang w:val="en-US" w:eastAsia="zh-CN"/>
                    </w:rPr>
                    <w:t>0.00186</w:t>
                  </w:r>
                </w:p>
              </w:tc>
            </w:tr>
            <w:tr w14:paraId="0F0E8DB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13" w:type="pct"/>
                  <w:shd w:val="clear" w:color="auto" w:fill="auto"/>
                  <w:vAlign w:val="center"/>
                </w:tcPr>
                <w:p w14:paraId="412512BC">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8</w:t>
                  </w:r>
                </w:p>
              </w:tc>
              <w:tc>
                <w:tcPr>
                  <w:tcW w:w="1326" w:type="pct"/>
                  <w:shd w:val="clear" w:color="auto" w:fill="auto"/>
                  <w:vAlign w:val="center"/>
                </w:tcPr>
                <w:p w14:paraId="196E7899">
                  <w:pPr>
                    <w:keepNext w:val="0"/>
                    <w:keepLines w:val="0"/>
                    <w:pageBreakBefore w:val="0"/>
                    <w:widowControl/>
                    <w:kinsoku/>
                    <w:wordWrap/>
                    <w:overflowPunct/>
                    <w:topLinePunct w:val="0"/>
                    <w:autoSpaceDE/>
                    <w:autoSpaceDN/>
                    <w:bidi w:val="0"/>
                    <w:adjustRightInd w:val="0"/>
                    <w:snapToGrid w:val="0"/>
                    <w:ind w:left="-105" w:leftChars="-50" w:right="-105" w:rightChars="-50" w:firstLine="0"/>
                    <w:jc w:val="center"/>
                    <w:textAlignment w:val="auto"/>
                    <w:rPr>
                      <w:color w:val="auto"/>
                      <w:kern w:val="0"/>
                      <w:szCs w:val="21"/>
                    </w:rPr>
                  </w:pPr>
                  <w:r>
                    <w:rPr>
                      <w:rFonts w:hint="eastAsia"/>
                      <w:color w:val="auto"/>
                      <w:kern w:val="0"/>
                      <w:szCs w:val="21"/>
                    </w:rPr>
                    <w:t>废过滤棉</w:t>
                  </w:r>
                </w:p>
              </w:tc>
              <w:tc>
                <w:tcPr>
                  <w:tcW w:w="636" w:type="pct"/>
                  <w:vAlign w:val="center"/>
                </w:tcPr>
                <w:p w14:paraId="6F9B544E">
                  <w:pPr>
                    <w:keepNext w:val="0"/>
                    <w:keepLines w:val="0"/>
                    <w:pageBreakBefore w:val="0"/>
                    <w:kinsoku/>
                    <w:wordWrap/>
                    <w:overflowPunct/>
                    <w:topLinePunct w:val="0"/>
                    <w:autoSpaceDE/>
                    <w:autoSpaceDN/>
                    <w:bidi w:val="0"/>
                    <w:adjustRightInd w:val="0"/>
                    <w:snapToGrid w:val="0"/>
                    <w:ind w:firstLine="0"/>
                    <w:jc w:val="center"/>
                    <w:textAlignment w:val="auto"/>
                    <w:rPr>
                      <w:bCs/>
                      <w:color w:val="auto"/>
                      <w:szCs w:val="21"/>
                    </w:rPr>
                  </w:pPr>
                  <w:r>
                    <w:rPr>
                      <w:rFonts w:hint="eastAsia"/>
                      <w:bCs/>
                      <w:color w:val="auto"/>
                      <w:szCs w:val="21"/>
                    </w:rPr>
                    <w:t>/</w:t>
                  </w:r>
                </w:p>
              </w:tc>
              <w:tc>
                <w:tcPr>
                  <w:tcW w:w="901" w:type="pct"/>
                  <w:shd w:val="clear" w:color="auto" w:fill="auto"/>
                  <w:vAlign w:val="center"/>
                </w:tcPr>
                <w:p w14:paraId="182D612F">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color w:val="auto"/>
                      <w:kern w:val="0"/>
                      <w:szCs w:val="21"/>
                      <w:lang w:eastAsia="zh-CN"/>
                    </w:rPr>
                  </w:pPr>
                  <w:r>
                    <w:rPr>
                      <w:rFonts w:hint="eastAsia"/>
                      <w:color w:val="auto"/>
                      <w:szCs w:val="21"/>
                      <w:lang w:eastAsia="zh-CN" w:bidi="ar"/>
                    </w:rPr>
                    <w:t>0.7591</w:t>
                  </w:r>
                </w:p>
              </w:tc>
              <w:tc>
                <w:tcPr>
                  <w:tcW w:w="623" w:type="pct"/>
                  <w:vAlign w:val="center"/>
                </w:tcPr>
                <w:p w14:paraId="42D1EFE9">
                  <w:pPr>
                    <w:keepNext w:val="0"/>
                    <w:keepLines w:val="0"/>
                    <w:pageBreakBefore w:val="0"/>
                    <w:kinsoku/>
                    <w:wordWrap/>
                    <w:overflowPunct/>
                    <w:topLinePunct w:val="0"/>
                    <w:autoSpaceDE/>
                    <w:autoSpaceDN/>
                    <w:bidi w:val="0"/>
                    <w:adjustRightInd w:val="0"/>
                    <w:snapToGrid w:val="0"/>
                    <w:ind w:firstLine="0"/>
                    <w:jc w:val="center"/>
                    <w:textAlignment w:val="auto"/>
                    <w:rPr>
                      <w:bCs/>
                      <w:color w:val="auto"/>
                      <w:szCs w:val="21"/>
                    </w:rPr>
                  </w:pPr>
                  <w:r>
                    <w:rPr>
                      <w:rFonts w:hint="eastAsia"/>
                      <w:bCs/>
                      <w:color w:val="auto"/>
                      <w:szCs w:val="21"/>
                    </w:rPr>
                    <w:t>50</w:t>
                  </w:r>
                </w:p>
              </w:tc>
              <w:tc>
                <w:tcPr>
                  <w:tcW w:w="1199" w:type="pct"/>
                  <w:vAlign w:val="center"/>
                </w:tcPr>
                <w:p w14:paraId="7BCD5E0B">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Cs/>
                      <w:color w:val="auto"/>
                      <w:szCs w:val="21"/>
                      <w:lang w:val="en-US" w:eastAsia="zh-CN"/>
                    </w:rPr>
                  </w:pPr>
                  <w:r>
                    <w:rPr>
                      <w:rFonts w:hint="eastAsia"/>
                      <w:bCs/>
                      <w:color w:val="auto"/>
                      <w:szCs w:val="21"/>
                      <w:lang w:val="en-US" w:eastAsia="zh-CN"/>
                    </w:rPr>
                    <w:t>0.01757</w:t>
                  </w:r>
                </w:p>
              </w:tc>
            </w:tr>
            <w:tr w14:paraId="099201D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13" w:type="pct"/>
                  <w:shd w:val="clear" w:color="auto" w:fill="auto"/>
                  <w:vAlign w:val="center"/>
                </w:tcPr>
                <w:p w14:paraId="601A595E">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Cs/>
                      <w:color w:val="auto"/>
                      <w:szCs w:val="21"/>
                      <w:lang w:val="en-US" w:eastAsia="zh-CN"/>
                    </w:rPr>
                  </w:pPr>
                  <w:r>
                    <w:rPr>
                      <w:rFonts w:hint="eastAsia"/>
                      <w:bCs/>
                      <w:color w:val="auto"/>
                      <w:szCs w:val="21"/>
                      <w:lang w:val="en-US" w:eastAsia="zh-CN"/>
                    </w:rPr>
                    <w:t>9</w:t>
                  </w:r>
                </w:p>
              </w:tc>
              <w:tc>
                <w:tcPr>
                  <w:tcW w:w="1326" w:type="pct"/>
                  <w:shd w:val="clear" w:color="auto" w:fill="auto"/>
                  <w:vAlign w:val="center"/>
                </w:tcPr>
                <w:p w14:paraId="4EAF6D2C">
                  <w:pPr>
                    <w:keepNext w:val="0"/>
                    <w:keepLines w:val="0"/>
                    <w:pageBreakBefore w:val="0"/>
                    <w:widowControl/>
                    <w:kinsoku/>
                    <w:wordWrap/>
                    <w:overflowPunct/>
                    <w:topLinePunct w:val="0"/>
                    <w:autoSpaceDE/>
                    <w:autoSpaceDN/>
                    <w:bidi w:val="0"/>
                    <w:adjustRightInd w:val="0"/>
                    <w:snapToGrid w:val="0"/>
                    <w:ind w:left="-105" w:leftChars="-50" w:right="-105" w:rightChars="-50" w:firstLine="0"/>
                    <w:jc w:val="center"/>
                    <w:textAlignment w:val="auto"/>
                    <w:rPr>
                      <w:rFonts w:hint="eastAsia" w:eastAsia="宋体"/>
                      <w:color w:val="auto"/>
                      <w:kern w:val="0"/>
                      <w:szCs w:val="21"/>
                      <w:lang w:eastAsia="zh-CN"/>
                    </w:rPr>
                  </w:pPr>
                  <w:r>
                    <w:rPr>
                      <w:rFonts w:hint="eastAsia"/>
                      <w:color w:val="auto"/>
                      <w:kern w:val="0"/>
                      <w:szCs w:val="21"/>
                      <w:lang w:eastAsia="zh-CN"/>
                    </w:rPr>
                    <w:t>天然气（甲烷）</w:t>
                  </w:r>
                </w:p>
              </w:tc>
              <w:tc>
                <w:tcPr>
                  <w:tcW w:w="636" w:type="pct"/>
                  <w:vAlign w:val="center"/>
                </w:tcPr>
                <w:p w14:paraId="242DA950">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bCs/>
                      <w:color w:val="auto"/>
                      <w:szCs w:val="21"/>
                      <w:lang w:val="en-US" w:eastAsia="zh-CN"/>
                    </w:rPr>
                  </w:pPr>
                  <w:r>
                    <w:rPr>
                      <w:rFonts w:hint="eastAsia"/>
                      <w:bCs/>
                      <w:color w:val="auto"/>
                      <w:szCs w:val="21"/>
                      <w:lang w:val="en-US" w:eastAsia="zh-CN"/>
                    </w:rPr>
                    <w:t>/</w:t>
                  </w:r>
                </w:p>
              </w:tc>
              <w:tc>
                <w:tcPr>
                  <w:tcW w:w="901" w:type="pct"/>
                  <w:shd w:val="clear" w:color="auto" w:fill="auto"/>
                  <w:vAlign w:val="center"/>
                </w:tcPr>
                <w:p w14:paraId="45AADB6F">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auto"/>
                      <w:szCs w:val="21"/>
                      <w:lang w:val="en-US" w:eastAsia="zh-CN" w:bidi="ar"/>
                    </w:rPr>
                  </w:pPr>
                  <w:r>
                    <w:rPr>
                      <w:rFonts w:hint="eastAsia"/>
                      <w:color w:val="auto"/>
                      <w:szCs w:val="21"/>
                      <w:lang w:val="en-US" w:eastAsia="zh-CN" w:bidi="ar"/>
                    </w:rPr>
                    <w:t>0.001728</w:t>
                  </w:r>
                </w:p>
              </w:tc>
              <w:tc>
                <w:tcPr>
                  <w:tcW w:w="623" w:type="pct"/>
                  <w:vAlign w:val="center"/>
                </w:tcPr>
                <w:p w14:paraId="14FF77D1">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Cs/>
                      <w:color w:val="auto"/>
                      <w:szCs w:val="21"/>
                      <w:lang w:val="en-US" w:eastAsia="zh-CN"/>
                    </w:rPr>
                  </w:pPr>
                  <w:r>
                    <w:rPr>
                      <w:rFonts w:hint="eastAsia"/>
                      <w:bCs/>
                      <w:color w:val="auto"/>
                      <w:szCs w:val="21"/>
                      <w:lang w:val="en-US" w:eastAsia="zh-CN"/>
                    </w:rPr>
                    <w:t>10</w:t>
                  </w:r>
                </w:p>
              </w:tc>
              <w:tc>
                <w:tcPr>
                  <w:tcW w:w="1199" w:type="pct"/>
                  <w:vAlign w:val="center"/>
                </w:tcPr>
                <w:p w14:paraId="76ECDD4B">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Cs/>
                      <w:color w:val="auto"/>
                      <w:szCs w:val="21"/>
                      <w:lang w:val="en-US" w:eastAsia="zh-CN"/>
                    </w:rPr>
                  </w:pPr>
                  <w:r>
                    <w:rPr>
                      <w:rFonts w:hint="eastAsia"/>
                      <w:bCs/>
                      <w:color w:val="auto"/>
                      <w:szCs w:val="21"/>
                      <w:lang w:val="en-US" w:eastAsia="zh-CN"/>
                    </w:rPr>
                    <w:t>0.0001728</w:t>
                  </w:r>
                </w:p>
              </w:tc>
            </w:tr>
            <w:tr w14:paraId="0884F51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800" w:type="pct"/>
                  <w:gridSpan w:val="5"/>
                  <w:vAlign w:val="center"/>
                </w:tcPr>
                <w:p w14:paraId="43468F4E">
                  <w:pPr>
                    <w:keepNext w:val="0"/>
                    <w:keepLines w:val="0"/>
                    <w:pageBreakBefore w:val="0"/>
                    <w:kinsoku/>
                    <w:wordWrap/>
                    <w:overflowPunct/>
                    <w:topLinePunct w:val="0"/>
                    <w:autoSpaceDE/>
                    <w:autoSpaceDN/>
                    <w:bidi w:val="0"/>
                    <w:adjustRightInd w:val="0"/>
                    <w:snapToGrid w:val="0"/>
                    <w:ind w:firstLine="0"/>
                    <w:jc w:val="center"/>
                    <w:textAlignment w:val="auto"/>
                    <w:rPr>
                      <w:bCs/>
                      <w:color w:val="auto"/>
                      <w:szCs w:val="21"/>
                    </w:rPr>
                  </w:pPr>
                  <w:r>
                    <w:rPr>
                      <w:bCs/>
                      <w:color w:val="auto"/>
                      <w:szCs w:val="21"/>
                    </w:rPr>
                    <w:t>合计</w:t>
                  </w:r>
                </w:p>
              </w:tc>
              <w:tc>
                <w:tcPr>
                  <w:tcW w:w="1199" w:type="pct"/>
                  <w:vAlign w:val="center"/>
                </w:tcPr>
                <w:p w14:paraId="73F0769D">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Cs/>
                      <w:color w:val="auto"/>
                      <w:szCs w:val="21"/>
                      <w:lang w:val="en-US" w:eastAsia="zh-CN"/>
                    </w:rPr>
                  </w:pPr>
                  <w:r>
                    <w:rPr>
                      <w:rFonts w:hint="eastAsia"/>
                      <w:bCs/>
                      <w:color w:val="auto"/>
                      <w:szCs w:val="21"/>
                      <w:lang w:val="en-US" w:eastAsia="zh-CN"/>
                    </w:rPr>
                    <w:t>0.0476368</w:t>
                  </w:r>
                </w:p>
              </w:tc>
            </w:tr>
          </w:tbl>
          <w:p w14:paraId="59519AF7">
            <w:pPr>
              <w:adjustRightInd w:val="0"/>
              <w:snapToGrid w:val="0"/>
              <w:ind w:firstLine="420" w:firstLineChars="200"/>
              <w:rPr>
                <w:rFonts w:hAnsi="宋体"/>
                <w:color w:val="auto"/>
                <w:szCs w:val="21"/>
                <w:lang w:bidi="ar"/>
              </w:rPr>
            </w:pPr>
            <w:r>
              <w:rPr>
                <w:rFonts w:hint="eastAsia"/>
                <w:bCs/>
                <w:color w:val="auto"/>
                <w:szCs w:val="21"/>
              </w:rPr>
              <w:t>注：</w:t>
            </w:r>
            <w:r>
              <w:rPr>
                <w:rFonts w:hint="eastAsia" w:hAnsi="宋体"/>
                <w:color w:val="auto"/>
                <w:szCs w:val="21"/>
                <w:lang w:bidi="ar"/>
              </w:rPr>
              <w:t>根据《建设项目环境风险评价技术导则》（</w:t>
            </w:r>
            <w:r>
              <w:rPr>
                <w:color w:val="auto"/>
                <w:szCs w:val="21"/>
                <w:lang w:bidi="ar"/>
              </w:rPr>
              <w:t>HJ169-2018</w:t>
            </w:r>
            <w:r>
              <w:rPr>
                <w:rFonts w:hint="eastAsia" w:hAnsi="宋体"/>
                <w:color w:val="auto"/>
                <w:szCs w:val="21"/>
                <w:lang w:bidi="ar"/>
              </w:rPr>
              <w:t>），</w:t>
            </w:r>
            <w:r>
              <w:rPr>
                <w:rFonts w:hint="eastAsia"/>
                <w:color w:val="auto"/>
                <w:kern w:val="0"/>
                <w:szCs w:val="21"/>
              </w:rPr>
              <w:t>废润滑油、废切削液、废包装桶</w:t>
            </w:r>
            <w:r>
              <w:rPr>
                <w:rFonts w:hint="eastAsia"/>
                <w:color w:val="auto"/>
                <w:kern w:val="0"/>
                <w:szCs w:val="21"/>
                <w:lang w:eastAsia="zh-CN"/>
              </w:rPr>
              <w:t>、</w:t>
            </w:r>
            <w:r>
              <w:rPr>
                <w:rFonts w:hint="eastAsia"/>
                <w:color w:val="auto"/>
                <w:kern w:val="0"/>
                <w:szCs w:val="21"/>
                <w:lang w:val="en-US" w:eastAsia="zh-CN"/>
              </w:rPr>
              <w:t>70%乙醇</w:t>
            </w:r>
            <w:r>
              <w:rPr>
                <w:rFonts w:hint="eastAsia"/>
                <w:color w:val="auto"/>
                <w:kern w:val="0"/>
                <w:szCs w:val="21"/>
              </w:rPr>
              <w:t>、废活性炭、废过滤棉参照</w:t>
            </w:r>
            <w:r>
              <w:rPr>
                <w:rFonts w:hint="eastAsia" w:hAnsi="宋体"/>
                <w:color w:val="auto"/>
                <w:szCs w:val="21"/>
                <w:lang w:bidi="ar"/>
              </w:rPr>
              <w:t>附表</w:t>
            </w:r>
            <w:r>
              <w:rPr>
                <w:color w:val="auto"/>
                <w:szCs w:val="21"/>
                <w:lang w:bidi="ar"/>
              </w:rPr>
              <w:t>B.2</w:t>
            </w:r>
            <w:r>
              <w:rPr>
                <w:rFonts w:hint="eastAsia"/>
                <w:color w:val="auto"/>
                <w:szCs w:val="21"/>
                <w:lang w:eastAsia="zh-CN" w:bidi="ar"/>
              </w:rPr>
              <w:t>其他</w:t>
            </w:r>
            <w:r>
              <w:rPr>
                <w:rFonts w:hint="eastAsia" w:hAnsi="宋体"/>
                <w:color w:val="auto"/>
                <w:szCs w:val="21"/>
                <w:lang w:bidi="ar"/>
              </w:rPr>
              <w:t>危险废物临界量推荐值中</w:t>
            </w:r>
            <w:r>
              <w:rPr>
                <w:color w:val="auto"/>
                <w:szCs w:val="21"/>
                <w:lang w:bidi="ar"/>
              </w:rPr>
              <w:t>“</w:t>
            </w:r>
            <w:r>
              <w:rPr>
                <w:rFonts w:hint="eastAsia" w:hAnsi="宋体"/>
                <w:color w:val="auto"/>
                <w:szCs w:val="21"/>
                <w:lang w:bidi="ar"/>
              </w:rPr>
              <w:t>健康危险急性毒性物质（类别</w:t>
            </w:r>
            <w:r>
              <w:rPr>
                <w:color w:val="auto"/>
                <w:szCs w:val="21"/>
                <w:lang w:bidi="ar"/>
              </w:rPr>
              <w:t>2</w:t>
            </w:r>
            <w:r>
              <w:rPr>
                <w:rFonts w:hint="eastAsia" w:hAnsi="宋体"/>
                <w:color w:val="auto"/>
                <w:szCs w:val="21"/>
                <w:lang w:bidi="ar"/>
              </w:rPr>
              <w:t>，类别</w:t>
            </w:r>
            <w:r>
              <w:rPr>
                <w:color w:val="auto"/>
                <w:szCs w:val="21"/>
                <w:lang w:bidi="ar"/>
              </w:rPr>
              <w:t>3</w:t>
            </w:r>
            <w:r>
              <w:rPr>
                <w:rFonts w:hint="eastAsia"/>
                <w:color w:val="auto"/>
                <w:szCs w:val="21"/>
                <w:lang w:eastAsia="zh-CN" w:bidi="ar"/>
              </w:rPr>
              <w:t>）</w:t>
            </w:r>
            <w:r>
              <w:rPr>
                <w:color w:val="auto"/>
                <w:szCs w:val="21"/>
                <w:lang w:bidi="ar"/>
              </w:rPr>
              <w:t>”</w:t>
            </w:r>
            <w:r>
              <w:rPr>
                <w:rFonts w:hint="eastAsia" w:hAnsi="宋体"/>
                <w:color w:val="auto"/>
                <w:szCs w:val="21"/>
                <w:lang w:bidi="ar"/>
              </w:rPr>
              <w:t>，临界量取</w:t>
            </w:r>
            <w:r>
              <w:rPr>
                <w:color w:val="auto"/>
                <w:szCs w:val="21"/>
                <w:lang w:bidi="ar"/>
              </w:rPr>
              <w:t>50t</w:t>
            </w:r>
            <w:r>
              <w:rPr>
                <w:rFonts w:hint="eastAsia" w:hAnsi="宋体"/>
                <w:color w:val="auto"/>
                <w:szCs w:val="21"/>
                <w:lang w:bidi="ar"/>
              </w:rPr>
              <w:t>；润滑油、切削液参照附表</w:t>
            </w:r>
            <w:r>
              <w:rPr>
                <w:color w:val="auto"/>
                <w:szCs w:val="21"/>
                <w:lang w:bidi="ar"/>
              </w:rPr>
              <w:t>B.</w:t>
            </w:r>
            <w:r>
              <w:rPr>
                <w:rFonts w:hint="eastAsia"/>
                <w:color w:val="auto"/>
                <w:szCs w:val="21"/>
                <w:lang w:bidi="ar"/>
              </w:rPr>
              <w:t>1油类物质（矿物油类，如石油、汽油、柴油等；生物柴油等），临界量取2500t</w:t>
            </w:r>
            <w:r>
              <w:rPr>
                <w:rFonts w:hint="eastAsia"/>
                <w:color w:val="auto"/>
                <w:szCs w:val="21"/>
                <w:lang w:eastAsia="zh-CN" w:bidi="ar"/>
              </w:rPr>
              <w:t>；天然气（甲烷）参照</w:t>
            </w:r>
            <w:r>
              <w:rPr>
                <w:color w:val="auto"/>
                <w:szCs w:val="21"/>
                <w:lang w:bidi="ar"/>
              </w:rPr>
              <w:t>B.</w:t>
            </w:r>
            <w:r>
              <w:rPr>
                <w:rFonts w:hint="eastAsia"/>
                <w:color w:val="auto"/>
                <w:szCs w:val="21"/>
                <w:lang w:bidi="ar"/>
              </w:rPr>
              <w:t>1</w:t>
            </w:r>
            <w:r>
              <w:rPr>
                <w:rFonts w:hint="eastAsia"/>
                <w:color w:val="auto"/>
                <w:szCs w:val="21"/>
                <w:lang w:eastAsia="zh-CN" w:bidi="ar"/>
              </w:rPr>
              <w:t>甲烷，临界量取</w:t>
            </w:r>
            <w:r>
              <w:rPr>
                <w:rFonts w:hint="eastAsia"/>
                <w:color w:val="auto"/>
                <w:szCs w:val="21"/>
                <w:lang w:val="en-US" w:eastAsia="zh-CN" w:bidi="ar"/>
              </w:rPr>
              <w:t>10t</w:t>
            </w:r>
            <w:r>
              <w:rPr>
                <w:rFonts w:hint="eastAsia"/>
                <w:color w:val="auto"/>
                <w:szCs w:val="21"/>
                <w:lang w:bidi="ar"/>
              </w:rPr>
              <w:t>。</w:t>
            </w:r>
          </w:p>
          <w:p w14:paraId="729A2429">
            <w:pPr>
              <w:adjustRightInd w:val="0"/>
              <w:snapToGrid w:val="0"/>
              <w:spacing w:before="120" w:beforeLines="50" w:line="360" w:lineRule="auto"/>
              <w:ind w:firstLine="480" w:firstLineChars="200"/>
              <w:rPr>
                <w:color w:val="auto"/>
                <w:sz w:val="24"/>
              </w:rPr>
            </w:pPr>
            <w:r>
              <w:rPr>
                <w:bCs/>
                <w:color w:val="auto"/>
                <w:sz w:val="24"/>
              </w:rPr>
              <w:t>经核算本项目物质总量与其临界量比值</w:t>
            </w:r>
            <w:r>
              <w:rPr>
                <w:rFonts w:hint="eastAsia"/>
                <w:bCs/>
                <w:color w:val="auto"/>
                <w:sz w:val="24"/>
                <w:lang w:eastAsia="zh-CN"/>
              </w:rPr>
              <w:t>0.0476368</w:t>
            </w:r>
            <w:r>
              <w:rPr>
                <w:bCs/>
                <w:color w:val="auto"/>
                <w:sz w:val="24"/>
              </w:rPr>
              <w:t>（</w:t>
            </w:r>
            <w:r>
              <w:rPr>
                <w:color w:val="auto"/>
                <w:sz w:val="24"/>
              </w:rPr>
              <w:t>Q＜1</w:t>
            </w:r>
            <w:r>
              <w:rPr>
                <w:bCs/>
                <w:color w:val="auto"/>
                <w:sz w:val="24"/>
              </w:rPr>
              <w:t>）。因此本项目环境风险潜势为Ⅰ。</w:t>
            </w:r>
          </w:p>
          <w:p w14:paraId="0747ED44">
            <w:pPr>
              <w:adjustRightInd w:val="0"/>
              <w:snapToGrid w:val="0"/>
              <w:spacing w:line="360" w:lineRule="auto"/>
              <w:ind w:firstLine="482" w:firstLineChars="200"/>
              <w:rPr>
                <w:b/>
                <w:color w:val="auto"/>
                <w:sz w:val="24"/>
              </w:rPr>
            </w:pPr>
            <w:r>
              <w:rPr>
                <w:rFonts w:hint="eastAsia"/>
                <w:b/>
                <w:color w:val="auto"/>
                <w:sz w:val="24"/>
              </w:rPr>
              <w:t>7.2</w:t>
            </w:r>
            <w:r>
              <w:rPr>
                <w:b/>
                <w:color w:val="auto"/>
                <w:sz w:val="24"/>
              </w:rPr>
              <w:t>评价等级</w:t>
            </w:r>
          </w:p>
          <w:p w14:paraId="00C2B70E">
            <w:pPr>
              <w:autoSpaceDE w:val="0"/>
              <w:autoSpaceDN w:val="0"/>
              <w:adjustRightInd w:val="0"/>
              <w:snapToGrid w:val="0"/>
              <w:spacing w:line="360" w:lineRule="auto"/>
              <w:ind w:firstLine="480" w:firstLineChars="200"/>
              <w:rPr>
                <w:color w:val="auto"/>
                <w:sz w:val="24"/>
              </w:rPr>
            </w:pPr>
            <w:r>
              <w:rPr>
                <w:color w:val="auto"/>
                <w:sz w:val="24"/>
              </w:rPr>
              <w:t>项目环境风险等级划分情况见表4-</w:t>
            </w:r>
            <w:r>
              <w:rPr>
                <w:rFonts w:hint="eastAsia"/>
                <w:color w:val="auto"/>
                <w:sz w:val="24"/>
              </w:rPr>
              <w:t>2</w:t>
            </w:r>
            <w:r>
              <w:rPr>
                <w:rFonts w:hint="eastAsia"/>
                <w:color w:val="auto"/>
                <w:sz w:val="24"/>
                <w:lang w:val="en-US" w:eastAsia="zh-CN"/>
              </w:rPr>
              <w:t>7</w:t>
            </w:r>
            <w:r>
              <w:rPr>
                <w:color w:val="auto"/>
                <w:sz w:val="24"/>
              </w:rPr>
              <w:t>。</w:t>
            </w:r>
          </w:p>
          <w:p w14:paraId="5323F75B">
            <w:pPr>
              <w:autoSpaceDE w:val="0"/>
              <w:autoSpaceDN w:val="0"/>
              <w:adjustRightInd w:val="0"/>
              <w:snapToGrid w:val="0"/>
              <w:ind w:firstLine="482"/>
              <w:jc w:val="center"/>
              <w:rPr>
                <w:color w:val="auto"/>
                <w:sz w:val="24"/>
              </w:rPr>
            </w:pPr>
            <w:r>
              <w:rPr>
                <w:b/>
                <w:bCs/>
                <w:color w:val="auto"/>
                <w:sz w:val="24"/>
              </w:rPr>
              <w:t>表4-</w:t>
            </w:r>
            <w:r>
              <w:rPr>
                <w:rFonts w:hint="eastAsia"/>
                <w:b/>
                <w:bCs/>
                <w:color w:val="auto"/>
                <w:sz w:val="24"/>
              </w:rPr>
              <w:t>2</w:t>
            </w:r>
            <w:r>
              <w:rPr>
                <w:rFonts w:hint="eastAsia"/>
                <w:b/>
                <w:bCs/>
                <w:color w:val="auto"/>
                <w:sz w:val="24"/>
                <w:lang w:val="en-US" w:eastAsia="zh-CN"/>
              </w:rPr>
              <w:t>7</w:t>
            </w:r>
            <w:r>
              <w:rPr>
                <w:b/>
                <w:bCs/>
                <w:color w:val="auto"/>
                <w:sz w:val="24"/>
              </w:rPr>
              <w:t>项目环境风险综合评级工作等级划分</w:t>
            </w:r>
          </w:p>
          <w:tbl>
            <w:tblPr>
              <w:tblStyle w:val="88"/>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2268"/>
              <w:gridCol w:w="1348"/>
              <w:gridCol w:w="1599"/>
              <w:gridCol w:w="1616"/>
              <w:gridCol w:w="1628"/>
            </w:tblGrid>
            <w:tr w14:paraId="7DFA334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41" w:type="pct"/>
                  <w:shd w:val="clear" w:color="auto" w:fill="auto"/>
                  <w:vAlign w:val="center"/>
                </w:tcPr>
                <w:p w14:paraId="6FF334C6">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环境风险潜势</w:t>
                  </w:r>
                </w:p>
              </w:tc>
              <w:tc>
                <w:tcPr>
                  <w:tcW w:w="797" w:type="pct"/>
                  <w:shd w:val="clear" w:color="auto" w:fill="auto"/>
                  <w:vAlign w:val="center"/>
                </w:tcPr>
                <w:p w14:paraId="0EAEFCB6">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auto"/>
                      <w:szCs w:val="21"/>
                    </w:rPr>
                  </w:pPr>
                  <w:r>
                    <w:rPr>
                      <w:rFonts w:hint="eastAsia" w:ascii="宋体" w:hAnsi="宋体" w:cs="宋体"/>
                      <w:b/>
                      <w:color w:val="auto"/>
                      <w:szCs w:val="21"/>
                    </w:rPr>
                    <w:t>Ⅳ</w:t>
                  </w:r>
                  <w:r>
                    <w:rPr>
                      <w:b/>
                      <w:color w:val="auto"/>
                      <w:szCs w:val="21"/>
                    </w:rPr>
                    <w:t>、Ⅳ+</w:t>
                  </w:r>
                </w:p>
              </w:tc>
              <w:tc>
                <w:tcPr>
                  <w:tcW w:w="945" w:type="pct"/>
                  <w:shd w:val="clear" w:color="auto" w:fill="auto"/>
                  <w:vAlign w:val="center"/>
                </w:tcPr>
                <w:p w14:paraId="3C984C69">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auto"/>
                      <w:szCs w:val="21"/>
                    </w:rPr>
                  </w:pPr>
                  <w:r>
                    <w:rPr>
                      <w:rFonts w:hint="eastAsia" w:ascii="宋体" w:hAnsi="宋体" w:cs="宋体"/>
                      <w:b/>
                      <w:color w:val="auto"/>
                      <w:szCs w:val="21"/>
                    </w:rPr>
                    <w:t>Ⅲ</w:t>
                  </w:r>
                </w:p>
              </w:tc>
              <w:tc>
                <w:tcPr>
                  <w:tcW w:w="955" w:type="pct"/>
                  <w:shd w:val="clear" w:color="auto" w:fill="auto"/>
                  <w:vAlign w:val="center"/>
                </w:tcPr>
                <w:p w14:paraId="6F0B2198">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auto"/>
                      <w:szCs w:val="21"/>
                    </w:rPr>
                  </w:pPr>
                  <w:r>
                    <w:rPr>
                      <w:rFonts w:hint="eastAsia" w:ascii="宋体" w:hAnsi="宋体" w:cs="宋体"/>
                      <w:b/>
                      <w:color w:val="auto"/>
                      <w:szCs w:val="21"/>
                    </w:rPr>
                    <w:t>Ⅱ</w:t>
                  </w:r>
                </w:p>
              </w:tc>
              <w:tc>
                <w:tcPr>
                  <w:tcW w:w="963" w:type="pct"/>
                  <w:tcBorders>
                    <w:top w:val="single" w:color="000000" w:sz="12" w:space="0"/>
                    <w:bottom w:val="single" w:color="000000" w:sz="2" w:space="0"/>
                  </w:tcBorders>
                  <w:shd w:val="pct10" w:color="auto" w:fill="auto"/>
                  <w:vAlign w:val="center"/>
                </w:tcPr>
                <w:p w14:paraId="32BD8914">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auto"/>
                      <w:szCs w:val="21"/>
                    </w:rPr>
                  </w:pPr>
                  <w:r>
                    <w:rPr>
                      <w:rFonts w:hint="eastAsia" w:ascii="宋体" w:hAnsi="宋体" w:cs="宋体"/>
                      <w:b/>
                      <w:color w:val="auto"/>
                      <w:szCs w:val="21"/>
                    </w:rPr>
                    <w:t>Ⅰ</w:t>
                  </w:r>
                </w:p>
              </w:tc>
            </w:tr>
            <w:tr w14:paraId="7334149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41" w:type="pct"/>
                  <w:shd w:val="clear" w:color="auto" w:fill="auto"/>
                  <w:vAlign w:val="center"/>
                </w:tcPr>
                <w:p w14:paraId="59DECD65">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评价工作等级</w:t>
                  </w:r>
                </w:p>
              </w:tc>
              <w:tc>
                <w:tcPr>
                  <w:tcW w:w="797" w:type="pct"/>
                  <w:shd w:val="clear" w:color="auto" w:fill="auto"/>
                  <w:vAlign w:val="center"/>
                </w:tcPr>
                <w:p w14:paraId="64C6D9EB">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一</w:t>
                  </w:r>
                </w:p>
              </w:tc>
              <w:tc>
                <w:tcPr>
                  <w:tcW w:w="945" w:type="pct"/>
                  <w:shd w:val="clear" w:color="auto" w:fill="auto"/>
                  <w:vAlign w:val="center"/>
                </w:tcPr>
                <w:p w14:paraId="0BFE1D14">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auto"/>
                      <w:szCs w:val="21"/>
                    </w:rPr>
                  </w:pPr>
                  <w:r>
                    <w:rPr>
                      <w:b/>
                      <w:color w:val="auto"/>
                      <w:szCs w:val="21"/>
                    </w:rPr>
                    <w:t>二</w:t>
                  </w:r>
                </w:p>
              </w:tc>
              <w:tc>
                <w:tcPr>
                  <w:tcW w:w="955" w:type="pct"/>
                  <w:shd w:val="clear" w:color="auto" w:fill="auto"/>
                  <w:vAlign w:val="center"/>
                </w:tcPr>
                <w:p w14:paraId="7D628454">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三</w:t>
                  </w:r>
                </w:p>
              </w:tc>
              <w:tc>
                <w:tcPr>
                  <w:tcW w:w="963" w:type="pct"/>
                  <w:tcBorders>
                    <w:top w:val="single" w:color="000000" w:sz="2" w:space="0"/>
                    <w:bottom w:val="single" w:color="000000" w:sz="12" w:space="0"/>
                  </w:tcBorders>
                  <w:shd w:val="pct10" w:color="auto" w:fill="auto"/>
                  <w:vAlign w:val="center"/>
                </w:tcPr>
                <w:p w14:paraId="7C925D7E">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color w:val="auto"/>
                      <w:szCs w:val="21"/>
                    </w:rPr>
                    <w:t>简单分析</w:t>
                  </w:r>
                </w:p>
              </w:tc>
            </w:tr>
          </w:tbl>
          <w:p w14:paraId="12936E03">
            <w:pPr>
              <w:autoSpaceDE w:val="0"/>
              <w:autoSpaceDN w:val="0"/>
              <w:adjustRightInd w:val="0"/>
              <w:snapToGrid w:val="0"/>
              <w:spacing w:before="120" w:beforeLines="50" w:line="360" w:lineRule="auto"/>
              <w:ind w:firstLine="480" w:firstLineChars="200"/>
              <w:rPr>
                <w:color w:val="auto"/>
                <w:sz w:val="24"/>
              </w:rPr>
            </w:pPr>
            <w:r>
              <w:rPr>
                <w:color w:val="auto"/>
                <w:sz w:val="24"/>
              </w:rPr>
              <w:t>项目风险潜势为Ⅰ，可开展简单分析，参照附录A，在描述危险物质、环境影响途径、环境危害后果、风险防范措施等方面给出定性的说明。</w:t>
            </w:r>
          </w:p>
          <w:p w14:paraId="3F218B7C">
            <w:pPr>
              <w:autoSpaceDE w:val="0"/>
              <w:autoSpaceDN w:val="0"/>
              <w:adjustRightInd w:val="0"/>
              <w:snapToGrid w:val="0"/>
              <w:spacing w:line="360" w:lineRule="auto"/>
              <w:ind w:firstLine="482" w:firstLineChars="200"/>
              <w:rPr>
                <w:b/>
                <w:color w:val="auto"/>
                <w:sz w:val="24"/>
              </w:rPr>
            </w:pPr>
            <w:r>
              <w:rPr>
                <w:rFonts w:hint="eastAsia"/>
                <w:b/>
                <w:color w:val="auto"/>
                <w:sz w:val="24"/>
              </w:rPr>
              <w:t>7.3</w:t>
            </w:r>
            <w:r>
              <w:rPr>
                <w:b/>
                <w:color w:val="auto"/>
                <w:sz w:val="24"/>
              </w:rPr>
              <w:t>建设项目环境风险简单分析</w:t>
            </w:r>
          </w:p>
          <w:p w14:paraId="03763F16">
            <w:pPr>
              <w:adjustRightInd w:val="0"/>
              <w:snapToGrid w:val="0"/>
              <w:ind w:firstLine="482"/>
              <w:jc w:val="center"/>
              <w:rPr>
                <w:b/>
                <w:bCs/>
                <w:color w:val="auto"/>
                <w:sz w:val="24"/>
              </w:rPr>
            </w:pPr>
            <w:r>
              <w:rPr>
                <w:b/>
                <w:bCs/>
                <w:color w:val="auto"/>
                <w:sz w:val="24"/>
              </w:rPr>
              <w:t>表4-</w:t>
            </w:r>
            <w:r>
              <w:rPr>
                <w:rFonts w:hint="eastAsia"/>
                <w:b/>
                <w:bCs/>
                <w:color w:val="auto"/>
                <w:sz w:val="24"/>
              </w:rPr>
              <w:t>2</w:t>
            </w:r>
            <w:r>
              <w:rPr>
                <w:rFonts w:hint="eastAsia"/>
                <w:b/>
                <w:bCs/>
                <w:color w:val="auto"/>
                <w:sz w:val="24"/>
                <w:lang w:val="en-US" w:eastAsia="zh-CN"/>
              </w:rPr>
              <w:t>8</w:t>
            </w:r>
            <w:r>
              <w:rPr>
                <w:b/>
                <w:bCs/>
                <w:color w:val="auto"/>
                <w:sz w:val="24"/>
              </w:rPr>
              <w:t>建设项目环境风险简单分析内容表</w:t>
            </w:r>
          </w:p>
          <w:tbl>
            <w:tblPr>
              <w:tblStyle w:val="88"/>
              <w:tblW w:w="49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69"/>
              <w:gridCol w:w="1195"/>
              <w:gridCol w:w="2189"/>
              <w:gridCol w:w="663"/>
              <w:gridCol w:w="747"/>
              <w:gridCol w:w="2425"/>
            </w:tblGrid>
            <w:tr w14:paraId="2D11F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44" w:type="pct"/>
                  <w:tcBorders>
                    <w:top w:val="single" w:color="000000" w:sz="12" w:space="0"/>
                    <w:left w:val="nil"/>
                  </w:tcBorders>
                  <w:vAlign w:val="center"/>
                </w:tcPr>
                <w:p w14:paraId="037AC95D">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b/>
                      <w:color w:val="auto"/>
                      <w:szCs w:val="21"/>
                    </w:rPr>
                  </w:pPr>
                  <w:r>
                    <w:rPr>
                      <w:b/>
                      <w:color w:val="auto"/>
                      <w:szCs w:val="21"/>
                    </w:rPr>
                    <w:t>建设项目名称</w:t>
                  </w:r>
                </w:p>
              </w:tc>
              <w:tc>
                <w:tcPr>
                  <w:tcW w:w="4355" w:type="pct"/>
                  <w:gridSpan w:val="5"/>
                  <w:tcBorders>
                    <w:top w:val="single" w:color="000000" w:sz="12" w:space="0"/>
                    <w:right w:val="nil"/>
                  </w:tcBorders>
                  <w:vAlign w:val="center"/>
                </w:tcPr>
                <w:p w14:paraId="1052ED8C">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b/>
                      <w:color w:val="auto"/>
                      <w:szCs w:val="21"/>
                    </w:rPr>
                  </w:pPr>
                  <w:r>
                    <w:rPr>
                      <w:rFonts w:hint="eastAsia"/>
                      <w:color w:val="auto"/>
                      <w:szCs w:val="21"/>
                      <w:lang w:eastAsia="zh-CN"/>
                    </w:rPr>
                    <w:t>涟水杰特电气有限公司</w:t>
                  </w:r>
                  <w:r>
                    <w:rPr>
                      <w:rFonts w:hint="eastAsia"/>
                      <w:color w:val="auto"/>
                      <w:szCs w:val="21"/>
                    </w:rPr>
                    <w:t>年产3万台套新型电机、变频器生产项目</w:t>
                  </w:r>
                </w:p>
              </w:tc>
            </w:tr>
            <w:tr w14:paraId="10974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44" w:type="pct"/>
                  <w:tcBorders>
                    <w:left w:val="nil"/>
                  </w:tcBorders>
                  <w:vAlign w:val="center"/>
                </w:tcPr>
                <w:p w14:paraId="724EBC86">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b/>
                      <w:bCs/>
                      <w:color w:val="auto"/>
                      <w:szCs w:val="21"/>
                    </w:rPr>
                  </w:pPr>
                  <w:r>
                    <w:rPr>
                      <w:b/>
                      <w:bCs/>
                      <w:color w:val="auto"/>
                      <w:szCs w:val="21"/>
                    </w:rPr>
                    <w:t>建设地点</w:t>
                  </w:r>
                </w:p>
              </w:tc>
              <w:tc>
                <w:tcPr>
                  <w:tcW w:w="720" w:type="pct"/>
                  <w:vAlign w:val="center"/>
                </w:tcPr>
                <w:p w14:paraId="70470A4A">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color w:val="auto"/>
                      <w:szCs w:val="21"/>
                    </w:rPr>
                  </w:pPr>
                  <w:r>
                    <w:rPr>
                      <w:color w:val="auto"/>
                      <w:szCs w:val="21"/>
                    </w:rPr>
                    <w:t>（江苏）省</w:t>
                  </w:r>
                </w:p>
              </w:tc>
              <w:tc>
                <w:tcPr>
                  <w:tcW w:w="1321" w:type="pct"/>
                  <w:vAlign w:val="center"/>
                </w:tcPr>
                <w:p w14:paraId="031C944E">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color w:val="auto"/>
                      <w:szCs w:val="21"/>
                    </w:rPr>
                  </w:pPr>
                  <w:r>
                    <w:rPr>
                      <w:color w:val="auto"/>
                      <w:szCs w:val="21"/>
                    </w:rPr>
                    <w:t>（淮安）市</w:t>
                  </w:r>
                </w:p>
              </w:tc>
              <w:tc>
                <w:tcPr>
                  <w:tcW w:w="400" w:type="pct"/>
                  <w:vAlign w:val="center"/>
                </w:tcPr>
                <w:p w14:paraId="67482A79">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color w:val="auto"/>
                      <w:szCs w:val="21"/>
                    </w:rPr>
                  </w:pPr>
                  <w:r>
                    <w:rPr>
                      <w:rFonts w:hint="eastAsia"/>
                      <w:color w:val="auto"/>
                      <w:szCs w:val="21"/>
                      <w:lang w:eastAsia="zh-CN"/>
                    </w:rPr>
                    <w:t>（</w:t>
                  </w:r>
                  <w:r>
                    <w:rPr>
                      <w:color w:val="auto"/>
                      <w:szCs w:val="21"/>
                    </w:rPr>
                    <w:t>）</w:t>
                  </w:r>
                </w:p>
              </w:tc>
              <w:tc>
                <w:tcPr>
                  <w:tcW w:w="451" w:type="pct"/>
                  <w:vAlign w:val="center"/>
                </w:tcPr>
                <w:p w14:paraId="5EA5DE6A">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color w:val="auto"/>
                      <w:szCs w:val="21"/>
                    </w:rPr>
                  </w:pPr>
                  <w:r>
                    <w:rPr>
                      <w:color w:val="auto"/>
                      <w:szCs w:val="21"/>
                    </w:rPr>
                    <w:t>（</w:t>
                  </w:r>
                  <w:r>
                    <w:rPr>
                      <w:rFonts w:hint="eastAsia"/>
                      <w:color w:val="auto"/>
                      <w:szCs w:val="21"/>
                    </w:rPr>
                    <w:t>涟水</w:t>
                  </w:r>
                  <w:r>
                    <w:rPr>
                      <w:color w:val="auto"/>
                      <w:szCs w:val="21"/>
                    </w:rPr>
                    <w:t>）县</w:t>
                  </w:r>
                </w:p>
              </w:tc>
              <w:tc>
                <w:tcPr>
                  <w:tcW w:w="1462" w:type="pct"/>
                  <w:tcBorders>
                    <w:right w:val="nil"/>
                  </w:tcBorders>
                  <w:vAlign w:val="center"/>
                </w:tcPr>
                <w:p w14:paraId="2AF8BAE1">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color w:val="auto"/>
                      <w:szCs w:val="21"/>
                    </w:rPr>
                  </w:pPr>
                  <w:r>
                    <w:rPr>
                      <w:rFonts w:hint="eastAsia"/>
                      <w:color w:val="auto"/>
                      <w:szCs w:val="21"/>
                    </w:rPr>
                    <w:t>江苏涟水经济开发区涟古路北侧、兴隆路西侧</w:t>
                  </w:r>
                </w:p>
              </w:tc>
            </w:tr>
            <w:tr w14:paraId="3C34C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44" w:type="pct"/>
                  <w:tcBorders>
                    <w:left w:val="nil"/>
                  </w:tcBorders>
                  <w:vAlign w:val="center"/>
                </w:tcPr>
                <w:p w14:paraId="05712675">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b/>
                      <w:bCs/>
                      <w:color w:val="auto"/>
                      <w:szCs w:val="21"/>
                    </w:rPr>
                  </w:pPr>
                  <w:r>
                    <w:rPr>
                      <w:b/>
                      <w:bCs/>
                      <w:color w:val="auto"/>
                      <w:szCs w:val="21"/>
                    </w:rPr>
                    <w:t>地理坐标</w:t>
                  </w:r>
                </w:p>
              </w:tc>
              <w:tc>
                <w:tcPr>
                  <w:tcW w:w="720" w:type="pct"/>
                  <w:vAlign w:val="center"/>
                </w:tcPr>
                <w:p w14:paraId="57A9FA0B">
                  <w:pPr>
                    <w:keepNext w:val="0"/>
                    <w:keepLines w:val="0"/>
                    <w:pageBreakBefore w:val="0"/>
                    <w:widowControl/>
                    <w:kinsoku/>
                    <w:wordWrap/>
                    <w:overflowPunct/>
                    <w:topLinePunct w:val="0"/>
                    <w:bidi w:val="0"/>
                    <w:adjustRightInd w:val="0"/>
                    <w:snapToGrid w:val="0"/>
                    <w:ind w:left="0" w:leftChars="0" w:right="0" w:rightChars="0" w:firstLine="0" w:firstLineChars="0"/>
                    <w:jc w:val="center"/>
                    <w:textAlignment w:val="auto"/>
                    <w:rPr>
                      <w:color w:val="auto"/>
                      <w:kern w:val="0"/>
                      <w:szCs w:val="21"/>
                    </w:rPr>
                  </w:pPr>
                  <w:r>
                    <w:rPr>
                      <w:color w:val="auto"/>
                      <w:kern w:val="0"/>
                      <w:szCs w:val="21"/>
                    </w:rPr>
                    <w:t>经度</w:t>
                  </w:r>
                </w:p>
              </w:tc>
              <w:tc>
                <w:tcPr>
                  <w:tcW w:w="1321" w:type="pct"/>
                  <w:vAlign w:val="center"/>
                </w:tcPr>
                <w:p w14:paraId="68485DF8">
                  <w:pPr>
                    <w:keepNext w:val="0"/>
                    <w:keepLines w:val="0"/>
                    <w:pageBreakBefore w:val="0"/>
                    <w:widowControl/>
                    <w:kinsoku/>
                    <w:wordWrap/>
                    <w:overflowPunct/>
                    <w:topLinePunct w:val="0"/>
                    <w:bidi w:val="0"/>
                    <w:adjustRightInd w:val="0"/>
                    <w:snapToGrid w:val="0"/>
                    <w:ind w:left="0" w:leftChars="0" w:right="0" w:rightChars="0" w:firstLine="0" w:firstLineChars="0"/>
                    <w:jc w:val="center"/>
                    <w:textAlignment w:val="auto"/>
                    <w:rPr>
                      <w:color w:val="auto"/>
                      <w:kern w:val="0"/>
                      <w:szCs w:val="21"/>
                    </w:rPr>
                  </w:pPr>
                  <w:r>
                    <w:rPr>
                      <w:rFonts w:hint="eastAsia"/>
                      <w:color w:val="auto"/>
                      <w:kern w:val="0"/>
                      <w:szCs w:val="21"/>
                    </w:rPr>
                    <w:t>E119</w:t>
                  </w:r>
                  <w:r>
                    <w:rPr>
                      <w:color w:val="auto"/>
                      <w:kern w:val="0"/>
                      <w:szCs w:val="21"/>
                    </w:rPr>
                    <w:t>度</w:t>
                  </w:r>
                  <w:r>
                    <w:rPr>
                      <w:rFonts w:hint="eastAsia"/>
                      <w:color w:val="auto"/>
                      <w:kern w:val="0"/>
                      <w:szCs w:val="21"/>
                    </w:rPr>
                    <w:t>15</w:t>
                  </w:r>
                  <w:r>
                    <w:rPr>
                      <w:color w:val="auto"/>
                      <w:kern w:val="0"/>
                      <w:szCs w:val="21"/>
                    </w:rPr>
                    <w:t>分</w:t>
                  </w:r>
                  <w:r>
                    <w:rPr>
                      <w:rFonts w:hint="eastAsia"/>
                      <w:color w:val="auto"/>
                      <w:kern w:val="0"/>
                      <w:szCs w:val="21"/>
                      <w:lang w:val="en-US" w:eastAsia="zh-CN"/>
                    </w:rPr>
                    <w:t>28.983</w:t>
                  </w:r>
                  <w:r>
                    <w:rPr>
                      <w:color w:val="auto"/>
                      <w:kern w:val="0"/>
                      <w:szCs w:val="21"/>
                    </w:rPr>
                    <w:t>秒</w:t>
                  </w:r>
                </w:p>
              </w:tc>
              <w:tc>
                <w:tcPr>
                  <w:tcW w:w="400" w:type="pct"/>
                  <w:vAlign w:val="center"/>
                </w:tcPr>
                <w:p w14:paraId="1CCFA378">
                  <w:pPr>
                    <w:keepNext w:val="0"/>
                    <w:keepLines w:val="0"/>
                    <w:pageBreakBefore w:val="0"/>
                    <w:widowControl/>
                    <w:kinsoku/>
                    <w:wordWrap/>
                    <w:overflowPunct/>
                    <w:topLinePunct w:val="0"/>
                    <w:bidi w:val="0"/>
                    <w:adjustRightInd w:val="0"/>
                    <w:snapToGrid w:val="0"/>
                    <w:ind w:left="0" w:leftChars="0" w:right="0" w:rightChars="0" w:firstLine="0" w:firstLineChars="0"/>
                    <w:jc w:val="center"/>
                    <w:textAlignment w:val="auto"/>
                    <w:rPr>
                      <w:color w:val="auto"/>
                      <w:kern w:val="0"/>
                      <w:szCs w:val="21"/>
                    </w:rPr>
                  </w:pPr>
                  <w:r>
                    <w:rPr>
                      <w:color w:val="auto"/>
                      <w:kern w:val="0"/>
                      <w:szCs w:val="21"/>
                    </w:rPr>
                    <w:t>纬度</w:t>
                  </w:r>
                </w:p>
              </w:tc>
              <w:tc>
                <w:tcPr>
                  <w:tcW w:w="1913" w:type="pct"/>
                  <w:gridSpan w:val="2"/>
                  <w:tcBorders>
                    <w:right w:val="nil"/>
                  </w:tcBorders>
                  <w:vAlign w:val="center"/>
                </w:tcPr>
                <w:p w14:paraId="3CCBFD6F">
                  <w:pPr>
                    <w:keepNext w:val="0"/>
                    <w:keepLines w:val="0"/>
                    <w:pageBreakBefore w:val="0"/>
                    <w:widowControl/>
                    <w:kinsoku/>
                    <w:wordWrap/>
                    <w:overflowPunct/>
                    <w:topLinePunct w:val="0"/>
                    <w:bidi w:val="0"/>
                    <w:adjustRightInd w:val="0"/>
                    <w:snapToGrid w:val="0"/>
                    <w:ind w:left="0" w:leftChars="0" w:right="0" w:rightChars="0" w:firstLine="0" w:firstLineChars="0"/>
                    <w:jc w:val="center"/>
                    <w:textAlignment w:val="auto"/>
                    <w:rPr>
                      <w:color w:val="auto"/>
                      <w:kern w:val="0"/>
                      <w:szCs w:val="21"/>
                    </w:rPr>
                  </w:pPr>
                  <w:r>
                    <w:rPr>
                      <w:rFonts w:hint="eastAsia"/>
                      <w:color w:val="auto"/>
                      <w:kern w:val="0"/>
                      <w:szCs w:val="21"/>
                    </w:rPr>
                    <w:t>N</w:t>
                  </w:r>
                  <w:r>
                    <w:rPr>
                      <w:color w:val="auto"/>
                      <w:kern w:val="0"/>
                      <w:szCs w:val="21"/>
                    </w:rPr>
                    <w:t>33度</w:t>
                  </w:r>
                  <w:r>
                    <w:rPr>
                      <w:rFonts w:hint="eastAsia"/>
                      <w:color w:val="auto"/>
                      <w:kern w:val="0"/>
                      <w:szCs w:val="21"/>
                    </w:rPr>
                    <w:t>49</w:t>
                  </w:r>
                  <w:r>
                    <w:rPr>
                      <w:color w:val="auto"/>
                      <w:kern w:val="0"/>
                      <w:szCs w:val="21"/>
                    </w:rPr>
                    <w:t>分</w:t>
                  </w:r>
                  <w:r>
                    <w:rPr>
                      <w:rFonts w:hint="eastAsia"/>
                      <w:color w:val="auto"/>
                      <w:kern w:val="0"/>
                      <w:szCs w:val="21"/>
                      <w:lang w:val="en-US" w:eastAsia="zh-CN"/>
                    </w:rPr>
                    <w:t>7.951</w:t>
                  </w:r>
                  <w:r>
                    <w:rPr>
                      <w:color w:val="auto"/>
                      <w:kern w:val="0"/>
                      <w:szCs w:val="21"/>
                    </w:rPr>
                    <w:t>秒</w:t>
                  </w:r>
                </w:p>
              </w:tc>
            </w:tr>
            <w:tr w14:paraId="43E79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44" w:type="pct"/>
                  <w:tcBorders>
                    <w:left w:val="nil"/>
                  </w:tcBorders>
                  <w:vAlign w:val="center"/>
                </w:tcPr>
                <w:p w14:paraId="2FB76622">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b/>
                      <w:bCs/>
                      <w:color w:val="auto"/>
                      <w:szCs w:val="21"/>
                    </w:rPr>
                  </w:pPr>
                  <w:r>
                    <w:rPr>
                      <w:b/>
                      <w:bCs/>
                      <w:color w:val="auto"/>
                      <w:szCs w:val="21"/>
                    </w:rPr>
                    <w:t>主要危险物质及分布</w:t>
                  </w:r>
                </w:p>
              </w:tc>
              <w:tc>
                <w:tcPr>
                  <w:tcW w:w="4355" w:type="pct"/>
                  <w:gridSpan w:val="5"/>
                  <w:tcBorders>
                    <w:right w:val="nil"/>
                  </w:tcBorders>
                  <w:vAlign w:val="center"/>
                </w:tcPr>
                <w:tbl>
                  <w:tblPr>
                    <w:tblStyle w:val="88"/>
                    <w:tblpPr w:leftFromText="180" w:rightFromText="180" w:vertAnchor="page" w:horzAnchor="margin" w:tblpXSpec="center" w:tblpY="239"/>
                    <w:tblOverlap w:val="never"/>
                    <w:tblW w:w="6987"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117"/>
                    <w:gridCol w:w="1638"/>
                    <w:gridCol w:w="1596"/>
                    <w:gridCol w:w="1636"/>
                  </w:tblGrid>
                  <w:tr w14:paraId="402B67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1" w:hRule="atLeast"/>
                    </w:trPr>
                    <w:tc>
                      <w:tcPr>
                        <w:tcW w:w="2117" w:type="dxa"/>
                        <w:vAlign w:val="center"/>
                      </w:tcPr>
                      <w:p w14:paraId="30904645">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color w:val="auto"/>
                            <w:szCs w:val="21"/>
                          </w:rPr>
                        </w:pPr>
                        <w:r>
                          <w:rPr>
                            <w:color w:val="auto"/>
                            <w:szCs w:val="21"/>
                          </w:rPr>
                          <w:t>名称</w:t>
                        </w:r>
                      </w:p>
                    </w:tc>
                    <w:tc>
                      <w:tcPr>
                        <w:tcW w:w="1638" w:type="dxa"/>
                        <w:vAlign w:val="center"/>
                      </w:tcPr>
                      <w:p w14:paraId="0A9AE643">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color w:val="auto"/>
                            <w:szCs w:val="21"/>
                          </w:rPr>
                        </w:pPr>
                        <w:r>
                          <w:rPr>
                            <w:color w:val="auto"/>
                            <w:szCs w:val="21"/>
                          </w:rPr>
                          <w:t>主要规格/型号</w:t>
                        </w:r>
                      </w:p>
                    </w:tc>
                    <w:tc>
                      <w:tcPr>
                        <w:tcW w:w="1596" w:type="dxa"/>
                        <w:vAlign w:val="center"/>
                      </w:tcPr>
                      <w:p w14:paraId="03C48F0C">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color w:val="auto"/>
                            <w:szCs w:val="21"/>
                          </w:rPr>
                        </w:pPr>
                        <w:r>
                          <w:rPr>
                            <w:color w:val="auto"/>
                            <w:szCs w:val="21"/>
                          </w:rPr>
                          <w:t>最大贮存量t</w:t>
                        </w:r>
                      </w:p>
                    </w:tc>
                    <w:tc>
                      <w:tcPr>
                        <w:tcW w:w="1636" w:type="dxa"/>
                        <w:vAlign w:val="center"/>
                      </w:tcPr>
                      <w:p w14:paraId="6D7A8406">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color w:val="auto"/>
                            <w:szCs w:val="21"/>
                          </w:rPr>
                        </w:pPr>
                        <w:r>
                          <w:rPr>
                            <w:color w:val="auto"/>
                            <w:szCs w:val="21"/>
                          </w:rPr>
                          <w:t>分布</w:t>
                        </w:r>
                      </w:p>
                    </w:tc>
                  </w:tr>
                  <w:tr w14:paraId="07A6A6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1" w:hRule="atLeast"/>
                    </w:trPr>
                    <w:tc>
                      <w:tcPr>
                        <w:tcW w:w="2117" w:type="dxa"/>
                        <w:shd w:val="clear" w:color="auto" w:fill="auto"/>
                        <w:vAlign w:val="center"/>
                      </w:tcPr>
                      <w:p w14:paraId="44642726">
                        <w:pPr>
                          <w:keepNext w:val="0"/>
                          <w:keepLines w:val="0"/>
                          <w:pageBreakBefore w:val="0"/>
                          <w:widowControl/>
                          <w:kinsoku/>
                          <w:wordWrap/>
                          <w:overflowPunct/>
                          <w:topLinePunct w:val="0"/>
                          <w:bidi w:val="0"/>
                          <w:adjustRightInd w:val="0"/>
                          <w:snapToGrid w:val="0"/>
                          <w:ind w:left="0" w:leftChars="0" w:right="0" w:rightChars="0" w:firstLine="0" w:firstLineChars="0"/>
                          <w:jc w:val="center"/>
                          <w:textAlignment w:val="auto"/>
                          <w:rPr>
                            <w:color w:val="auto"/>
                            <w:kern w:val="0"/>
                            <w:szCs w:val="21"/>
                          </w:rPr>
                        </w:pPr>
                        <w:r>
                          <w:rPr>
                            <w:rFonts w:hint="eastAsia"/>
                            <w:color w:val="auto"/>
                            <w:kern w:val="0"/>
                            <w:szCs w:val="21"/>
                          </w:rPr>
                          <w:t>润滑油</w:t>
                        </w:r>
                      </w:p>
                    </w:tc>
                    <w:tc>
                      <w:tcPr>
                        <w:tcW w:w="1638" w:type="dxa"/>
                        <w:shd w:val="clear" w:color="auto" w:fill="auto"/>
                        <w:vAlign w:val="center"/>
                      </w:tcPr>
                      <w:p w14:paraId="7465299C">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bCs/>
                            <w:color w:val="auto"/>
                            <w:szCs w:val="21"/>
                          </w:rPr>
                        </w:pPr>
                        <w:r>
                          <w:rPr>
                            <w:bCs/>
                            <w:color w:val="auto"/>
                            <w:szCs w:val="21"/>
                          </w:rPr>
                          <w:t>/</w:t>
                        </w:r>
                      </w:p>
                    </w:tc>
                    <w:tc>
                      <w:tcPr>
                        <w:tcW w:w="1596" w:type="dxa"/>
                        <w:shd w:val="clear" w:color="auto" w:fill="auto"/>
                        <w:vAlign w:val="center"/>
                      </w:tcPr>
                      <w:p w14:paraId="0A1FE22A">
                        <w:pPr>
                          <w:keepNext w:val="0"/>
                          <w:keepLines w:val="0"/>
                          <w:pageBreakBefore w:val="0"/>
                          <w:widowControl/>
                          <w:kinsoku/>
                          <w:wordWrap/>
                          <w:overflowPunct/>
                          <w:topLinePunct w:val="0"/>
                          <w:bidi w:val="0"/>
                          <w:adjustRightInd w:val="0"/>
                          <w:snapToGrid w:val="0"/>
                          <w:ind w:left="0" w:leftChars="0" w:right="0" w:rightChars="0" w:firstLine="0" w:firstLineChars="0"/>
                          <w:jc w:val="center"/>
                          <w:textAlignment w:val="auto"/>
                          <w:rPr>
                            <w:rFonts w:hint="eastAsia" w:eastAsia="宋体"/>
                            <w:color w:val="auto"/>
                            <w:kern w:val="0"/>
                            <w:szCs w:val="21"/>
                            <w:lang w:eastAsia="zh-CN"/>
                          </w:rPr>
                        </w:pPr>
                        <w:r>
                          <w:rPr>
                            <w:rFonts w:hint="eastAsia"/>
                            <w:color w:val="auto"/>
                            <w:kern w:val="0"/>
                            <w:szCs w:val="21"/>
                          </w:rPr>
                          <w:t>0.</w:t>
                        </w:r>
                        <w:r>
                          <w:rPr>
                            <w:rFonts w:hint="eastAsia"/>
                            <w:color w:val="auto"/>
                            <w:kern w:val="0"/>
                            <w:szCs w:val="21"/>
                            <w:lang w:val="en-US" w:eastAsia="zh-CN"/>
                          </w:rPr>
                          <w:t>2</w:t>
                        </w:r>
                      </w:p>
                    </w:tc>
                    <w:tc>
                      <w:tcPr>
                        <w:tcW w:w="1636" w:type="dxa"/>
                        <w:vMerge w:val="restart"/>
                        <w:shd w:val="clear" w:color="auto" w:fill="auto"/>
                        <w:vAlign w:val="center"/>
                      </w:tcPr>
                      <w:p w14:paraId="4A67AC5B">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bCs/>
                            <w:color w:val="auto"/>
                            <w:szCs w:val="21"/>
                          </w:rPr>
                        </w:pPr>
                        <w:r>
                          <w:rPr>
                            <w:rFonts w:hint="eastAsia"/>
                            <w:bCs/>
                            <w:color w:val="auto"/>
                            <w:szCs w:val="21"/>
                          </w:rPr>
                          <w:t>原料库</w:t>
                        </w:r>
                      </w:p>
                    </w:tc>
                  </w:tr>
                  <w:tr w14:paraId="28A2E1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1" w:hRule="atLeast"/>
                    </w:trPr>
                    <w:tc>
                      <w:tcPr>
                        <w:tcW w:w="2117" w:type="dxa"/>
                        <w:shd w:val="clear" w:color="auto" w:fill="auto"/>
                        <w:vAlign w:val="center"/>
                      </w:tcPr>
                      <w:p w14:paraId="1C87C607">
                        <w:pPr>
                          <w:keepNext w:val="0"/>
                          <w:keepLines w:val="0"/>
                          <w:pageBreakBefore w:val="0"/>
                          <w:widowControl/>
                          <w:kinsoku/>
                          <w:wordWrap/>
                          <w:overflowPunct/>
                          <w:topLinePunct w:val="0"/>
                          <w:bidi w:val="0"/>
                          <w:adjustRightInd w:val="0"/>
                          <w:snapToGrid w:val="0"/>
                          <w:ind w:left="0" w:leftChars="0" w:right="0" w:rightChars="0" w:firstLine="0" w:firstLineChars="0"/>
                          <w:jc w:val="center"/>
                          <w:textAlignment w:val="auto"/>
                          <w:rPr>
                            <w:color w:val="auto"/>
                            <w:kern w:val="0"/>
                            <w:szCs w:val="21"/>
                          </w:rPr>
                        </w:pPr>
                        <w:r>
                          <w:rPr>
                            <w:rFonts w:hint="eastAsia"/>
                            <w:color w:val="auto"/>
                            <w:kern w:val="0"/>
                            <w:szCs w:val="21"/>
                          </w:rPr>
                          <w:t>切削液</w:t>
                        </w:r>
                      </w:p>
                    </w:tc>
                    <w:tc>
                      <w:tcPr>
                        <w:tcW w:w="1638" w:type="dxa"/>
                        <w:shd w:val="clear" w:color="auto" w:fill="auto"/>
                        <w:vAlign w:val="center"/>
                      </w:tcPr>
                      <w:p w14:paraId="1F9EF4A6">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bCs/>
                            <w:color w:val="auto"/>
                            <w:szCs w:val="21"/>
                          </w:rPr>
                        </w:pPr>
                        <w:r>
                          <w:rPr>
                            <w:bCs/>
                            <w:color w:val="auto"/>
                            <w:szCs w:val="21"/>
                          </w:rPr>
                          <w:t>/</w:t>
                        </w:r>
                      </w:p>
                    </w:tc>
                    <w:tc>
                      <w:tcPr>
                        <w:tcW w:w="1596" w:type="dxa"/>
                        <w:shd w:val="clear" w:color="auto" w:fill="auto"/>
                        <w:vAlign w:val="center"/>
                      </w:tcPr>
                      <w:p w14:paraId="4BAA4350">
                        <w:pPr>
                          <w:keepNext w:val="0"/>
                          <w:keepLines w:val="0"/>
                          <w:pageBreakBefore w:val="0"/>
                          <w:widowControl/>
                          <w:kinsoku/>
                          <w:wordWrap/>
                          <w:overflowPunct/>
                          <w:topLinePunct w:val="0"/>
                          <w:bidi w:val="0"/>
                          <w:adjustRightInd w:val="0"/>
                          <w:snapToGrid w:val="0"/>
                          <w:ind w:left="0" w:leftChars="0" w:right="0" w:rightChars="0" w:firstLine="0" w:firstLineChars="0"/>
                          <w:jc w:val="center"/>
                          <w:textAlignment w:val="auto"/>
                          <w:rPr>
                            <w:rFonts w:hint="eastAsia" w:eastAsia="宋体"/>
                            <w:color w:val="auto"/>
                            <w:kern w:val="0"/>
                            <w:szCs w:val="21"/>
                            <w:lang w:eastAsia="zh-CN"/>
                          </w:rPr>
                        </w:pPr>
                        <w:r>
                          <w:rPr>
                            <w:rFonts w:hint="eastAsia"/>
                            <w:color w:val="auto"/>
                            <w:kern w:val="0"/>
                            <w:szCs w:val="21"/>
                          </w:rPr>
                          <w:t>0.0</w:t>
                        </w:r>
                        <w:r>
                          <w:rPr>
                            <w:rFonts w:hint="eastAsia"/>
                            <w:color w:val="auto"/>
                            <w:kern w:val="0"/>
                            <w:szCs w:val="21"/>
                            <w:lang w:val="en-US" w:eastAsia="zh-CN"/>
                          </w:rPr>
                          <w:t>3</w:t>
                        </w:r>
                      </w:p>
                    </w:tc>
                    <w:tc>
                      <w:tcPr>
                        <w:tcW w:w="1636" w:type="dxa"/>
                        <w:vMerge w:val="continue"/>
                        <w:shd w:val="clear" w:color="auto" w:fill="auto"/>
                        <w:vAlign w:val="center"/>
                      </w:tcPr>
                      <w:p w14:paraId="65D5C402">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bCs/>
                            <w:color w:val="auto"/>
                            <w:szCs w:val="21"/>
                          </w:rPr>
                        </w:pPr>
                      </w:p>
                    </w:tc>
                  </w:tr>
                  <w:tr w14:paraId="2B68A1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1" w:hRule="atLeast"/>
                    </w:trPr>
                    <w:tc>
                      <w:tcPr>
                        <w:tcW w:w="2117" w:type="dxa"/>
                        <w:shd w:val="clear" w:color="auto" w:fill="auto"/>
                        <w:vAlign w:val="center"/>
                      </w:tcPr>
                      <w:p w14:paraId="7E440DDF">
                        <w:pPr>
                          <w:keepNext w:val="0"/>
                          <w:keepLines w:val="0"/>
                          <w:pageBreakBefore w:val="0"/>
                          <w:widowControl/>
                          <w:kinsoku/>
                          <w:wordWrap/>
                          <w:overflowPunct/>
                          <w:topLinePunct w:val="0"/>
                          <w:bidi w:val="0"/>
                          <w:adjustRightInd w:val="0"/>
                          <w:snapToGrid w:val="0"/>
                          <w:ind w:left="0" w:leftChars="0" w:right="0" w:rightChars="0" w:firstLine="0" w:firstLineChars="0"/>
                          <w:jc w:val="center"/>
                          <w:textAlignment w:val="auto"/>
                          <w:rPr>
                            <w:rFonts w:hint="default" w:eastAsia="宋体"/>
                            <w:color w:val="auto"/>
                            <w:kern w:val="0"/>
                            <w:szCs w:val="21"/>
                            <w:lang w:val="en-US" w:eastAsia="zh-CN"/>
                          </w:rPr>
                        </w:pPr>
                        <w:r>
                          <w:rPr>
                            <w:rFonts w:hint="eastAsia"/>
                            <w:color w:val="auto"/>
                            <w:kern w:val="0"/>
                            <w:szCs w:val="21"/>
                            <w:lang w:val="en-US" w:eastAsia="zh-CN"/>
                          </w:rPr>
                          <w:t>70%乙醇</w:t>
                        </w:r>
                      </w:p>
                    </w:tc>
                    <w:tc>
                      <w:tcPr>
                        <w:tcW w:w="1638" w:type="dxa"/>
                        <w:shd w:val="clear" w:color="auto" w:fill="auto"/>
                        <w:vAlign w:val="center"/>
                      </w:tcPr>
                      <w:p w14:paraId="5BA263D1">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rFonts w:hint="eastAsia" w:eastAsia="宋体"/>
                            <w:bCs/>
                            <w:color w:val="auto"/>
                            <w:szCs w:val="21"/>
                            <w:lang w:val="en-US" w:eastAsia="zh-CN"/>
                          </w:rPr>
                        </w:pPr>
                        <w:r>
                          <w:rPr>
                            <w:rFonts w:hint="eastAsia"/>
                            <w:bCs/>
                            <w:color w:val="auto"/>
                            <w:szCs w:val="21"/>
                            <w:lang w:val="en-US" w:eastAsia="zh-CN"/>
                          </w:rPr>
                          <w:t>/</w:t>
                        </w:r>
                      </w:p>
                    </w:tc>
                    <w:tc>
                      <w:tcPr>
                        <w:tcW w:w="1596" w:type="dxa"/>
                        <w:shd w:val="clear" w:color="auto" w:fill="auto"/>
                        <w:vAlign w:val="center"/>
                      </w:tcPr>
                      <w:p w14:paraId="1E6BAECA">
                        <w:pPr>
                          <w:keepNext w:val="0"/>
                          <w:keepLines w:val="0"/>
                          <w:pageBreakBefore w:val="0"/>
                          <w:widowControl/>
                          <w:kinsoku/>
                          <w:wordWrap/>
                          <w:overflowPunct/>
                          <w:topLinePunct w:val="0"/>
                          <w:bidi w:val="0"/>
                          <w:adjustRightInd w:val="0"/>
                          <w:snapToGrid w:val="0"/>
                          <w:ind w:left="0" w:leftChars="0" w:right="0" w:rightChars="0" w:firstLine="0" w:firstLineChars="0"/>
                          <w:jc w:val="center"/>
                          <w:textAlignment w:val="auto"/>
                          <w:rPr>
                            <w:rFonts w:hint="default" w:eastAsia="宋体"/>
                            <w:color w:val="auto"/>
                            <w:kern w:val="0"/>
                            <w:szCs w:val="21"/>
                            <w:lang w:val="en-US" w:eastAsia="zh-CN"/>
                          </w:rPr>
                        </w:pPr>
                        <w:r>
                          <w:rPr>
                            <w:rFonts w:hint="eastAsia"/>
                            <w:color w:val="auto"/>
                            <w:kern w:val="0"/>
                            <w:szCs w:val="21"/>
                            <w:lang w:val="en-US" w:eastAsia="zh-CN"/>
                          </w:rPr>
                          <w:t>0.05</w:t>
                        </w:r>
                      </w:p>
                    </w:tc>
                    <w:tc>
                      <w:tcPr>
                        <w:tcW w:w="1636" w:type="dxa"/>
                        <w:vMerge w:val="continue"/>
                        <w:shd w:val="clear" w:color="auto" w:fill="auto"/>
                        <w:vAlign w:val="center"/>
                      </w:tcPr>
                      <w:p w14:paraId="686128FF">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bCs/>
                            <w:color w:val="auto"/>
                            <w:szCs w:val="21"/>
                          </w:rPr>
                        </w:pPr>
                      </w:p>
                    </w:tc>
                  </w:tr>
                  <w:tr w14:paraId="6A4272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1" w:hRule="atLeast"/>
                    </w:trPr>
                    <w:tc>
                      <w:tcPr>
                        <w:tcW w:w="2117" w:type="dxa"/>
                        <w:shd w:val="clear" w:color="auto" w:fill="auto"/>
                        <w:vAlign w:val="center"/>
                      </w:tcPr>
                      <w:p w14:paraId="62E26E9C">
                        <w:pPr>
                          <w:keepNext w:val="0"/>
                          <w:keepLines w:val="0"/>
                          <w:pageBreakBefore w:val="0"/>
                          <w:widowControl/>
                          <w:kinsoku/>
                          <w:wordWrap/>
                          <w:overflowPunct/>
                          <w:topLinePunct w:val="0"/>
                          <w:bidi w:val="0"/>
                          <w:adjustRightInd w:val="0"/>
                          <w:snapToGrid w:val="0"/>
                          <w:ind w:left="0" w:leftChars="0" w:right="0" w:rightChars="0" w:firstLine="0" w:firstLineChars="0"/>
                          <w:jc w:val="center"/>
                          <w:textAlignment w:val="auto"/>
                          <w:rPr>
                            <w:color w:val="auto"/>
                            <w:kern w:val="0"/>
                            <w:szCs w:val="21"/>
                          </w:rPr>
                        </w:pPr>
                        <w:r>
                          <w:rPr>
                            <w:rFonts w:hint="eastAsia"/>
                            <w:color w:val="auto"/>
                            <w:kern w:val="0"/>
                            <w:szCs w:val="21"/>
                          </w:rPr>
                          <w:t>废润滑油</w:t>
                        </w:r>
                      </w:p>
                    </w:tc>
                    <w:tc>
                      <w:tcPr>
                        <w:tcW w:w="1638" w:type="dxa"/>
                        <w:shd w:val="clear" w:color="auto" w:fill="auto"/>
                        <w:vAlign w:val="center"/>
                      </w:tcPr>
                      <w:p w14:paraId="75F2FD2A">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bCs/>
                            <w:color w:val="auto"/>
                            <w:szCs w:val="21"/>
                          </w:rPr>
                        </w:pPr>
                        <w:r>
                          <w:rPr>
                            <w:bCs/>
                            <w:color w:val="auto"/>
                            <w:szCs w:val="21"/>
                          </w:rPr>
                          <w:t>/</w:t>
                        </w:r>
                      </w:p>
                    </w:tc>
                    <w:tc>
                      <w:tcPr>
                        <w:tcW w:w="1596" w:type="dxa"/>
                        <w:tcBorders>
                          <w:top w:val="single" w:color="000000" w:sz="4" w:space="0"/>
                        </w:tcBorders>
                        <w:shd w:val="clear" w:color="auto" w:fill="auto"/>
                        <w:vAlign w:val="center"/>
                      </w:tcPr>
                      <w:p w14:paraId="6CD4474C">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rFonts w:hint="eastAsia" w:eastAsia="宋体"/>
                            <w:color w:val="auto"/>
                            <w:kern w:val="0"/>
                            <w:szCs w:val="21"/>
                            <w:lang w:eastAsia="zh-CN"/>
                          </w:rPr>
                        </w:pPr>
                        <w:r>
                          <w:rPr>
                            <w:rFonts w:hint="eastAsia"/>
                            <w:color w:val="auto"/>
                            <w:szCs w:val="21"/>
                            <w:lang w:eastAsia="zh-CN" w:bidi="ar"/>
                          </w:rPr>
                          <w:t>0.1741</w:t>
                        </w:r>
                      </w:p>
                    </w:tc>
                    <w:tc>
                      <w:tcPr>
                        <w:tcW w:w="1636" w:type="dxa"/>
                        <w:vMerge w:val="restart"/>
                        <w:tcBorders>
                          <w:top w:val="single" w:color="000000" w:sz="4" w:space="0"/>
                        </w:tcBorders>
                        <w:vAlign w:val="center"/>
                      </w:tcPr>
                      <w:p w14:paraId="19605E17">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bCs/>
                            <w:color w:val="auto"/>
                            <w:szCs w:val="21"/>
                          </w:rPr>
                        </w:pPr>
                        <w:r>
                          <w:rPr>
                            <w:bCs/>
                            <w:color w:val="auto"/>
                            <w:szCs w:val="21"/>
                          </w:rPr>
                          <w:t>危废仓库</w:t>
                        </w:r>
                      </w:p>
                    </w:tc>
                  </w:tr>
                  <w:tr w14:paraId="1980DD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1" w:hRule="atLeast"/>
                    </w:trPr>
                    <w:tc>
                      <w:tcPr>
                        <w:tcW w:w="2117" w:type="dxa"/>
                        <w:shd w:val="clear" w:color="auto" w:fill="auto"/>
                        <w:vAlign w:val="center"/>
                      </w:tcPr>
                      <w:p w14:paraId="2880B41C">
                        <w:pPr>
                          <w:keepNext w:val="0"/>
                          <w:keepLines w:val="0"/>
                          <w:pageBreakBefore w:val="0"/>
                          <w:widowControl/>
                          <w:kinsoku/>
                          <w:wordWrap/>
                          <w:overflowPunct/>
                          <w:topLinePunct w:val="0"/>
                          <w:bidi w:val="0"/>
                          <w:adjustRightInd w:val="0"/>
                          <w:snapToGrid w:val="0"/>
                          <w:ind w:left="0" w:leftChars="0" w:right="0" w:rightChars="0" w:firstLine="0" w:firstLineChars="0"/>
                          <w:jc w:val="center"/>
                          <w:textAlignment w:val="auto"/>
                          <w:rPr>
                            <w:color w:val="auto"/>
                            <w:kern w:val="0"/>
                            <w:szCs w:val="21"/>
                          </w:rPr>
                        </w:pPr>
                        <w:r>
                          <w:rPr>
                            <w:rFonts w:hint="eastAsia"/>
                            <w:color w:val="auto"/>
                            <w:kern w:val="0"/>
                            <w:szCs w:val="21"/>
                          </w:rPr>
                          <w:t>废切削液</w:t>
                        </w:r>
                      </w:p>
                    </w:tc>
                    <w:tc>
                      <w:tcPr>
                        <w:tcW w:w="1638" w:type="dxa"/>
                        <w:shd w:val="clear" w:color="auto" w:fill="auto"/>
                        <w:vAlign w:val="center"/>
                      </w:tcPr>
                      <w:p w14:paraId="07E52078">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bCs/>
                            <w:color w:val="auto"/>
                            <w:szCs w:val="21"/>
                          </w:rPr>
                        </w:pPr>
                        <w:r>
                          <w:rPr>
                            <w:bCs/>
                            <w:color w:val="auto"/>
                            <w:szCs w:val="21"/>
                          </w:rPr>
                          <w:t>/</w:t>
                        </w:r>
                      </w:p>
                    </w:tc>
                    <w:tc>
                      <w:tcPr>
                        <w:tcW w:w="1596" w:type="dxa"/>
                        <w:tcBorders>
                          <w:top w:val="single" w:color="000000" w:sz="4" w:space="0"/>
                        </w:tcBorders>
                        <w:shd w:val="clear" w:color="auto" w:fill="auto"/>
                        <w:vAlign w:val="center"/>
                      </w:tcPr>
                      <w:p w14:paraId="4F30F086">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rFonts w:hint="eastAsia" w:eastAsia="宋体"/>
                            <w:color w:val="auto"/>
                            <w:kern w:val="0"/>
                            <w:szCs w:val="21"/>
                            <w:lang w:eastAsia="zh-CN"/>
                          </w:rPr>
                        </w:pPr>
                        <w:r>
                          <w:rPr>
                            <w:rFonts w:hint="eastAsia"/>
                            <w:color w:val="auto"/>
                            <w:szCs w:val="21"/>
                            <w:lang w:eastAsia="zh-CN" w:bidi="ar"/>
                          </w:rPr>
                          <w:t>1.1924</w:t>
                        </w:r>
                      </w:p>
                    </w:tc>
                    <w:tc>
                      <w:tcPr>
                        <w:tcW w:w="1636" w:type="dxa"/>
                        <w:vMerge w:val="continue"/>
                        <w:vAlign w:val="center"/>
                      </w:tcPr>
                      <w:p w14:paraId="28C9D85A">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bCs/>
                            <w:color w:val="auto"/>
                            <w:szCs w:val="21"/>
                          </w:rPr>
                        </w:pPr>
                      </w:p>
                    </w:tc>
                  </w:tr>
                  <w:tr w14:paraId="76E7E6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1" w:hRule="atLeast"/>
                    </w:trPr>
                    <w:tc>
                      <w:tcPr>
                        <w:tcW w:w="2117" w:type="dxa"/>
                        <w:shd w:val="clear" w:color="auto" w:fill="auto"/>
                        <w:vAlign w:val="center"/>
                      </w:tcPr>
                      <w:p w14:paraId="28D7DA2B">
                        <w:pPr>
                          <w:keepNext w:val="0"/>
                          <w:keepLines w:val="0"/>
                          <w:pageBreakBefore w:val="0"/>
                          <w:widowControl/>
                          <w:kinsoku/>
                          <w:wordWrap/>
                          <w:overflowPunct/>
                          <w:topLinePunct w:val="0"/>
                          <w:bidi w:val="0"/>
                          <w:adjustRightInd w:val="0"/>
                          <w:snapToGrid w:val="0"/>
                          <w:ind w:left="0" w:leftChars="0" w:right="0" w:rightChars="0" w:firstLine="0" w:firstLineChars="0"/>
                          <w:jc w:val="center"/>
                          <w:textAlignment w:val="auto"/>
                          <w:rPr>
                            <w:color w:val="auto"/>
                            <w:kern w:val="0"/>
                            <w:szCs w:val="21"/>
                          </w:rPr>
                        </w:pPr>
                        <w:r>
                          <w:rPr>
                            <w:rFonts w:hint="eastAsia"/>
                            <w:color w:val="auto"/>
                            <w:kern w:val="0"/>
                            <w:szCs w:val="21"/>
                          </w:rPr>
                          <w:t>废包装桶</w:t>
                        </w:r>
                      </w:p>
                    </w:tc>
                    <w:tc>
                      <w:tcPr>
                        <w:tcW w:w="1638" w:type="dxa"/>
                        <w:shd w:val="clear" w:color="auto" w:fill="auto"/>
                        <w:vAlign w:val="center"/>
                      </w:tcPr>
                      <w:p w14:paraId="00E3B452">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bCs/>
                            <w:color w:val="auto"/>
                            <w:szCs w:val="21"/>
                          </w:rPr>
                        </w:pPr>
                        <w:r>
                          <w:rPr>
                            <w:bCs/>
                            <w:color w:val="auto"/>
                            <w:szCs w:val="21"/>
                          </w:rPr>
                          <w:t>/</w:t>
                        </w:r>
                      </w:p>
                    </w:tc>
                    <w:tc>
                      <w:tcPr>
                        <w:tcW w:w="1596" w:type="dxa"/>
                        <w:shd w:val="clear" w:color="auto" w:fill="auto"/>
                        <w:vAlign w:val="center"/>
                      </w:tcPr>
                      <w:p w14:paraId="255CA0A3">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color w:val="auto"/>
                            <w:kern w:val="0"/>
                            <w:szCs w:val="21"/>
                          </w:rPr>
                        </w:pPr>
                        <w:r>
                          <w:rPr>
                            <w:rFonts w:hint="eastAsia"/>
                            <w:color w:val="auto"/>
                            <w:szCs w:val="21"/>
                            <w:lang w:bidi="ar"/>
                          </w:rPr>
                          <w:t>0.1</w:t>
                        </w:r>
                      </w:p>
                    </w:tc>
                    <w:tc>
                      <w:tcPr>
                        <w:tcW w:w="1636" w:type="dxa"/>
                        <w:vMerge w:val="continue"/>
                        <w:shd w:val="clear" w:color="auto" w:fill="auto"/>
                        <w:vAlign w:val="center"/>
                      </w:tcPr>
                      <w:p w14:paraId="2856148C">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bCs/>
                            <w:color w:val="auto"/>
                            <w:szCs w:val="21"/>
                          </w:rPr>
                        </w:pPr>
                      </w:p>
                    </w:tc>
                  </w:tr>
                  <w:tr w14:paraId="26894C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1" w:hRule="atLeast"/>
                    </w:trPr>
                    <w:tc>
                      <w:tcPr>
                        <w:tcW w:w="2117" w:type="dxa"/>
                        <w:shd w:val="clear" w:color="auto" w:fill="auto"/>
                        <w:vAlign w:val="center"/>
                      </w:tcPr>
                      <w:p w14:paraId="4134F395">
                        <w:pPr>
                          <w:keepNext w:val="0"/>
                          <w:keepLines w:val="0"/>
                          <w:pageBreakBefore w:val="0"/>
                          <w:widowControl/>
                          <w:kinsoku/>
                          <w:wordWrap/>
                          <w:overflowPunct/>
                          <w:topLinePunct w:val="0"/>
                          <w:bidi w:val="0"/>
                          <w:adjustRightInd w:val="0"/>
                          <w:snapToGrid w:val="0"/>
                          <w:ind w:left="0" w:leftChars="0" w:right="0" w:rightChars="0" w:firstLine="0" w:firstLineChars="0"/>
                          <w:jc w:val="center"/>
                          <w:textAlignment w:val="auto"/>
                          <w:rPr>
                            <w:color w:val="auto"/>
                            <w:kern w:val="0"/>
                            <w:szCs w:val="21"/>
                          </w:rPr>
                        </w:pPr>
                        <w:r>
                          <w:rPr>
                            <w:rFonts w:hint="eastAsia"/>
                            <w:color w:val="auto"/>
                            <w:kern w:val="0"/>
                            <w:szCs w:val="21"/>
                          </w:rPr>
                          <w:t>废活性炭</w:t>
                        </w:r>
                      </w:p>
                    </w:tc>
                    <w:tc>
                      <w:tcPr>
                        <w:tcW w:w="1638" w:type="dxa"/>
                        <w:shd w:val="clear" w:color="auto" w:fill="auto"/>
                        <w:vAlign w:val="center"/>
                      </w:tcPr>
                      <w:p w14:paraId="5003CC2A">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bCs/>
                            <w:color w:val="auto"/>
                            <w:szCs w:val="21"/>
                          </w:rPr>
                        </w:pPr>
                        <w:r>
                          <w:rPr>
                            <w:bCs/>
                            <w:color w:val="auto"/>
                            <w:szCs w:val="21"/>
                          </w:rPr>
                          <w:t>/</w:t>
                        </w:r>
                      </w:p>
                    </w:tc>
                    <w:tc>
                      <w:tcPr>
                        <w:tcW w:w="1596" w:type="dxa"/>
                        <w:shd w:val="clear" w:color="auto" w:fill="auto"/>
                        <w:vAlign w:val="center"/>
                      </w:tcPr>
                      <w:p w14:paraId="07D88328">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color w:val="auto"/>
                            <w:kern w:val="0"/>
                            <w:szCs w:val="21"/>
                          </w:rPr>
                        </w:pPr>
                        <w:r>
                          <w:rPr>
                            <w:rFonts w:hint="eastAsia"/>
                            <w:color w:val="auto"/>
                            <w:szCs w:val="21"/>
                            <w:lang w:bidi="ar"/>
                          </w:rPr>
                          <w:t>0.093</w:t>
                        </w:r>
                      </w:p>
                    </w:tc>
                    <w:tc>
                      <w:tcPr>
                        <w:tcW w:w="1636" w:type="dxa"/>
                        <w:vMerge w:val="continue"/>
                        <w:vAlign w:val="center"/>
                      </w:tcPr>
                      <w:p w14:paraId="4689A32A">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bCs/>
                            <w:color w:val="auto"/>
                            <w:szCs w:val="21"/>
                          </w:rPr>
                        </w:pPr>
                      </w:p>
                    </w:tc>
                  </w:tr>
                  <w:tr w14:paraId="568C91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1" w:hRule="atLeast"/>
                    </w:trPr>
                    <w:tc>
                      <w:tcPr>
                        <w:tcW w:w="2117" w:type="dxa"/>
                        <w:shd w:val="clear" w:color="auto" w:fill="auto"/>
                        <w:vAlign w:val="center"/>
                      </w:tcPr>
                      <w:p w14:paraId="322EE969">
                        <w:pPr>
                          <w:keepNext w:val="0"/>
                          <w:keepLines w:val="0"/>
                          <w:pageBreakBefore w:val="0"/>
                          <w:widowControl/>
                          <w:kinsoku/>
                          <w:wordWrap/>
                          <w:overflowPunct/>
                          <w:topLinePunct w:val="0"/>
                          <w:bidi w:val="0"/>
                          <w:adjustRightInd w:val="0"/>
                          <w:snapToGrid w:val="0"/>
                          <w:ind w:left="0" w:leftChars="0" w:right="0" w:rightChars="0" w:firstLine="0" w:firstLineChars="0"/>
                          <w:jc w:val="center"/>
                          <w:textAlignment w:val="auto"/>
                          <w:rPr>
                            <w:color w:val="auto"/>
                            <w:kern w:val="0"/>
                            <w:szCs w:val="21"/>
                          </w:rPr>
                        </w:pPr>
                        <w:r>
                          <w:rPr>
                            <w:rFonts w:hint="eastAsia"/>
                            <w:color w:val="auto"/>
                            <w:kern w:val="0"/>
                            <w:szCs w:val="21"/>
                          </w:rPr>
                          <w:t>废过滤棉</w:t>
                        </w:r>
                      </w:p>
                    </w:tc>
                    <w:tc>
                      <w:tcPr>
                        <w:tcW w:w="1638" w:type="dxa"/>
                        <w:shd w:val="clear" w:color="auto" w:fill="auto"/>
                        <w:vAlign w:val="center"/>
                      </w:tcPr>
                      <w:p w14:paraId="0C01D2E3">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bCs/>
                            <w:color w:val="auto"/>
                            <w:szCs w:val="21"/>
                          </w:rPr>
                        </w:pPr>
                        <w:r>
                          <w:rPr>
                            <w:rFonts w:hint="eastAsia"/>
                            <w:bCs/>
                            <w:color w:val="auto"/>
                            <w:szCs w:val="21"/>
                          </w:rPr>
                          <w:t>/</w:t>
                        </w:r>
                      </w:p>
                    </w:tc>
                    <w:tc>
                      <w:tcPr>
                        <w:tcW w:w="1596" w:type="dxa"/>
                        <w:shd w:val="clear" w:color="auto" w:fill="auto"/>
                        <w:vAlign w:val="center"/>
                      </w:tcPr>
                      <w:p w14:paraId="67635D13">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rFonts w:hint="eastAsia" w:eastAsia="宋体"/>
                            <w:color w:val="auto"/>
                            <w:kern w:val="0"/>
                            <w:szCs w:val="21"/>
                            <w:lang w:eastAsia="zh-CN"/>
                          </w:rPr>
                        </w:pPr>
                        <w:r>
                          <w:rPr>
                            <w:rFonts w:hint="eastAsia"/>
                            <w:color w:val="auto"/>
                            <w:szCs w:val="21"/>
                            <w:lang w:eastAsia="zh-CN" w:bidi="ar"/>
                          </w:rPr>
                          <w:t>0.7591</w:t>
                        </w:r>
                      </w:p>
                    </w:tc>
                    <w:tc>
                      <w:tcPr>
                        <w:tcW w:w="1636" w:type="dxa"/>
                        <w:vMerge w:val="continue"/>
                        <w:vAlign w:val="center"/>
                      </w:tcPr>
                      <w:p w14:paraId="00DD61EF">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bCs/>
                            <w:color w:val="auto"/>
                            <w:szCs w:val="21"/>
                          </w:rPr>
                        </w:pPr>
                      </w:p>
                    </w:tc>
                  </w:tr>
                  <w:tr w14:paraId="7050E6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1" w:hRule="atLeast"/>
                    </w:trPr>
                    <w:tc>
                      <w:tcPr>
                        <w:tcW w:w="2117" w:type="dxa"/>
                        <w:shd w:val="clear" w:color="auto" w:fill="auto"/>
                        <w:vAlign w:val="center"/>
                      </w:tcPr>
                      <w:p w14:paraId="55644F7B">
                        <w:pPr>
                          <w:keepNext w:val="0"/>
                          <w:keepLines w:val="0"/>
                          <w:pageBreakBefore w:val="0"/>
                          <w:widowControl/>
                          <w:kinsoku/>
                          <w:wordWrap/>
                          <w:overflowPunct/>
                          <w:topLinePunct w:val="0"/>
                          <w:bidi w:val="0"/>
                          <w:adjustRightInd w:val="0"/>
                          <w:snapToGrid w:val="0"/>
                          <w:ind w:left="0" w:leftChars="0" w:right="0" w:rightChars="0" w:firstLine="0" w:firstLineChars="0"/>
                          <w:jc w:val="center"/>
                          <w:textAlignment w:val="auto"/>
                          <w:rPr>
                            <w:rFonts w:hint="eastAsia" w:eastAsia="宋体"/>
                            <w:color w:val="auto"/>
                            <w:kern w:val="0"/>
                            <w:szCs w:val="21"/>
                            <w:lang w:eastAsia="zh-CN"/>
                          </w:rPr>
                        </w:pPr>
                        <w:r>
                          <w:rPr>
                            <w:rFonts w:hint="eastAsia"/>
                            <w:color w:val="auto"/>
                            <w:kern w:val="0"/>
                            <w:szCs w:val="21"/>
                            <w:lang w:eastAsia="zh-CN"/>
                          </w:rPr>
                          <w:t>天然气（甲烷）</w:t>
                        </w:r>
                      </w:p>
                    </w:tc>
                    <w:tc>
                      <w:tcPr>
                        <w:tcW w:w="1638" w:type="dxa"/>
                        <w:shd w:val="clear" w:color="auto" w:fill="auto"/>
                        <w:vAlign w:val="center"/>
                      </w:tcPr>
                      <w:p w14:paraId="12EEAECD">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rFonts w:hint="eastAsia" w:eastAsia="宋体"/>
                            <w:bCs/>
                            <w:color w:val="auto"/>
                            <w:szCs w:val="21"/>
                            <w:lang w:val="en-US" w:eastAsia="zh-CN"/>
                          </w:rPr>
                        </w:pPr>
                        <w:r>
                          <w:rPr>
                            <w:rFonts w:hint="eastAsia"/>
                            <w:bCs/>
                            <w:color w:val="auto"/>
                            <w:szCs w:val="21"/>
                            <w:lang w:val="en-US" w:eastAsia="zh-CN"/>
                          </w:rPr>
                          <w:t>/</w:t>
                        </w:r>
                      </w:p>
                    </w:tc>
                    <w:tc>
                      <w:tcPr>
                        <w:tcW w:w="1596" w:type="dxa"/>
                        <w:shd w:val="clear" w:color="auto" w:fill="auto"/>
                        <w:vAlign w:val="center"/>
                      </w:tcPr>
                      <w:p w14:paraId="26950FA1">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rFonts w:hint="default" w:eastAsia="宋体"/>
                            <w:color w:val="auto"/>
                            <w:szCs w:val="21"/>
                            <w:lang w:val="en-US" w:eastAsia="zh-CN" w:bidi="ar"/>
                          </w:rPr>
                        </w:pPr>
                        <w:r>
                          <w:rPr>
                            <w:rFonts w:hint="eastAsia"/>
                            <w:color w:val="auto"/>
                            <w:szCs w:val="21"/>
                            <w:lang w:val="en-US" w:eastAsia="zh-CN" w:bidi="ar"/>
                          </w:rPr>
                          <w:t>1.728</w:t>
                        </w:r>
                      </w:p>
                    </w:tc>
                    <w:tc>
                      <w:tcPr>
                        <w:tcW w:w="1636" w:type="dxa"/>
                        <w:vAlign w:val="center"/>
                      </w:tcPr>
                      <w:p w14:paraId="6D7395D5">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rFonts w:hint="eastAsia" w:eastAsia="宋体"/>
                            <w:bCs/>
                            <w:color w:val="auto"/>
                            <w:szCs w:val="21"/>
                            <w:lang w:eastAsia="zh-CN"/>
                          </w:rPr>
                        </w:pPr>
                        <w:r>
                          <w:rPr>
                            <w:rFonts w:hint="eastAsia"/>
                            <w:bCs/>
                            <w:color w:val="auto"/>
                            <w:szCs w:val="21"/>
                            <w:lang w:eastAsia="zh-CN"/>
                          </w:rPr>
                          <w:t>天然气管道</w:t>
                        </w:r>
                      </w:p>
                    </w:tc>
                  </w:tr>
                </w:tbl>
                <w:p w14:paraId="4EDEA7CA">
                  <w:pPr>
                    <w:keepNext w:val="0"/>
                    <w:keepLines w:val="0"/>
                    <w:pageBreakBefore w:val="0"/>
                    <w:kinsoku/>
                    <w:wordWrap/>
                    <w:overflowPunct/>
                    <w:topLinePunct w:val="0"/>
                    <w:bidi w:val="0"/>
                    <w:adjustRightInd w:val="0"/>
                    <w:snapToGrid w:val="0"/>
                    <w:ind w:left="0" w:leftChars="0" w:right="0" w:rightChars="0" w:firstLine="0" w:firstLineChars="0"/>
                    <w:textAlignment w:val="auto"/>
                    <w:rPr>
                      <w:color w:val="auto"/>
                      <w:szCs w:val="21"/>
                    </w:rPr>
                  </w:pPr>
                </w:p>
              </w:tc>
            </w:tr>
            <w:tr w14:paraId="16DB5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44" w:type="pct"/>
                  <w:tcBorders>
                    <w:left w:val="nil"/>
                  </w:tcBorders>
                  <w:vAlign w:val="center"/>
                </w:tcPr>
                <w:p w14:paraId="04825714">
                  <w:pPr>
                    <w:keepNext w:val="0"/>
                    <w:keepLines w:val="0"/>
                    <w:pageBreakBefore w:val="0"/>
                    <w:kinsoku/>
                    <w:wordWrap/>
                    <w:overflowPunct/>
                    <w:topLinePunct w:val="0"/>
                    <w:autoSpaceDE w:val="0"/>
                    <w:autoSpaceDN w:val="0"/>
                    <w:bidi w:val="0"/>
                    <w:adjustRightInd w:val="0"/>
                    <w:snapToGrid w:val="0"/>
                    <w:ind w:left="0" w:leftChars="0" w:right="0" w:rightChars="0" w:firstLine="0" w:firstLineChars="0"/>
                    <w:jc w:val="center"/>
                    <w:textAlignment w:val="auto"/>
                    <w:rPr>
                      <w:b/>
                      <w:bCs/>
                      <w:color w:val="auto"/>
                      <w:szCs w:val="21"/>
                    </w:rPr>
                  </w:pPr>
                  <w:r>
                    <w:rPr>
                      <w:b/>
                      <w:bCs/>
                      <w:color w:val="auto"/>
                      <w:szCs w:val="21"/>
                    </w:rPr>
                    <w:t>环境影响途径及危害后果（大气、地表水、地下水等）</w:t>
                  </w:r>
                </w:p>
              </w:tc>
              <w:tc>
                <w:tcPr>
                  <w:tcW w:w="4355" w:type="pct"/>
                  <w:gridSpan w:val="5"/>
                  <w:tcBorders>
                    <w:right w:val="nil"/>
                  </w:tcBorders>
                  <w:vAlign w:val="center"/>
                </w:tcPr>
                <w:p w14:paraId="4850B376">
                  <w:pPr>
                    <w:keepNext w:val="0"/>
                    <w:keepLines w:val="0"/>
                    <w:pageBreakBefore w:val="0"/>
                    <w:kinsoku/>
                    <w:wordWrap/>
                    <w:overflowPunct/>
                    <w:topLinePunct w:val="0"/>
                    <w:bidi w:val="0"/>
                    <w:adjustRightInd w:val="0"/>
                    <w:snapToGrid w:val="0"/>
                    <w:ind w:left="0" w:leftChars="0" w:right="0" w:rightChars="0" w:firstLine="0" w:firstLineChars="0"/>
                    <w:jc w:val="left"/>
                    <w:textAlignment w:val="auto"/>
                    <w:rPr>
                      <w:color w:val="auto"/>
                      <w:szCs w:val="21"/>
                    </w:rPr>
                  </w:pPr>
                  <w:r>
                    <w:rPr>
                      <w:rFonts w:hint="eastAsia"/>
                      <w:color w:val="auto"/>
                      <w:szCs w:val="21"/>
                    </w:rPr>
                    <w:t>①对环境空气的环境风险分析</w:t>
                  </w:r>
                </w:p>
                <w:p w14:paraId="0ECF48EF">
                  <w:pPr>
                    <w:keepNext w:val="0"/>
                    <w:keepLines w:val="0"/>
                    <w:pageBreakBefore w:val="0"/>
                    <w:kinsoku/>
                    <w:wordWrap/>
                    <w:overflowPunct/>
                    <w:topLinePunct w:val="0"/>
                    <w:bidi w:val="0"/>
                    <w:adjustRightInd w:val="0"/>
                    <w:snapToGrid w:val="0"/>
                    <w:ind w:left="0" w:leftChars="0" w:right="0" w:rightChars="0" w:firstLine="0" w:firstLineChars="0"/>
                    <w:jc w:val="left"/>
                    <w:textAlignment w:val="auto"/>
                    <w:rPr>
                      <w:color w:val="auto"/>
                      <w:szCs w:val="21"/>
                    </w:rPr>
                  </w:pPr>
                  <w:r>
                    <w:rPr>
                      <w:rFonts w:hint="eastAsia"/>
                      <w:color w:val="auto"/>
                      <w:szCs w:val="21"/>
                    </w:rPr>
                    <w:t>A.泄漏</w:t>
                  </w:r>
                </w:p>
                <w:p w14:paraId="784E0ED3">
                  <w:pPr>
                    <w:keepNext w:val="0"/>
                    <w:keepLines w:val="0"/>
                    <w:pageBreakBefore w:val="0"/>
                    <w:kinsoku/>
                    <w:wordWrap/>
                    <w:overflowPunct/>
                    <w:topLinePunct w:val="0"/>
                    <w:bidi w:val="0"/>
                    <w:adjustRightInd w:val="0"/>
                    <w:snapToGrid w:val="0"/>
                    <w:ind w:left="0" w:leftChars="0" w:right="0" w:rightChars="0" w:firstLine="0" w:firstLineChars="0"/>
                    <w:jc w:val="left"/>
                    <w:textAlignment w:val="auto"/>
                    <w:rPr>
                      <w:color w:val="auto"/>
                      <w:szCs w:val="21"/>
                    </w:rPr>
                  </w:pPr>
                  <w:r>
                    <w:rPr>
                      <w:rFonts w:hint="eastAsia"/>
                      <w:color w:val="auto"/>
                      <w:szCs w:val="21"/>
                    </w:rPr>
                    <w:t>原料库中的润滑油、切削液</w:t>
                  </w:r>
                  <w:r>
                    <w:rPr>
                      <w:rFonts w:hint="eastAsia"/>
                      <w:color w:val="auto"/>
                      <w:szCs w:val="21"/>
                      <w:lang w:eastAsia="zh-CN"/>
                    </w:rPr>
                    <w:t>、</w:t>
                  </w:r>
                  <w:r>
                    <w:rPr>
                      <w:rFonts w:hint="eastAsia"/>
                      <w:color w:val="auto"/>
                      <w:szCs w:val="21"/>
                      <w:lang w:val="en-US" w:eastAsia="zh-CN"/>
                    </w:rPr>
                    <w:t>70%乙醇</w:t>
                  </w:r>
                  <w:r>
                    <w:rPr>
                      <w:rFonts w:hint="eastAsia"/>
                      <w:color w:val="auto"/>
                      <w:szCs w:val="21"/>
                    </w:rPr>
                    <w:t>，以及危废仓库内废润滑油、废切削液，若泄漏，其物料以液态形式泄漏到地面形成液池，并在液池表面气流运动作用下部分蒸发进入大气，进而危害周边人群健康。</w:t>
                  </w:r>
                </w:p>
                <w:p w14:paraId="0B75769F">
                  <w:pPr>
                    <w:keepNext w:val="0"/>
                    <w:keepLines w:val="0"/>
                    <w:pageBreakBefore w:val="0"/>
                    <w:kinsoku/>
                    <w:wordWrap/>
                    <w:overflowPunct/>
                    <w:topLinePunct w:val="0"/>
                    <w:bidi w:val="0"/>
                    <w:adjustRightInd w:val="0"/>
                    <w:snapToGrid w:val="0"/>
                    <w:ind w:left="0" w:leftChars="0" w:right="0" w:rightChars="0" w:firstLine="0" w:firstLineChars="0"/>
                    <w:jc w:val="left"/>
                    <w:textAlignment w:val="auto"/>
                    <w:rPr>
                      <w:color w:val="auto"/>
                      <w:szCs w:val="21"/>
                    </w:rPr>
                  </w:pPr>
                  <w:r>
                    <w:rPr>
                      <w:rFonts w:hint="eastAsia"/>
                      <w:color w:val="auto"/>
                      <w:szCs w:val="21"/>
                    </w:rPr>
                    <w:t>B.火灾</w:t>
                  </w:r>
                </w:p>
                <w:p w14:paraId="53227037">
                  <w:pPr>
                    <w:keepNext w:val="0"/>
                    <w:keepLines w:val="0"/>
                    <w:pageBreakBefore w:val="0"/>
                    <w:kinsoku/>
                    <w:wordWrap/>
                    <w:overflowPunct/>
                    <w:topLinePunct w:val="0"/>
                    <w:bidi w:val="0"/>
                    <w:adjustRightInd w:val="0"/>
                    <w:snapToGrid w:val="0"/>
                    <w:ind w:left="0" w:leftChars="0" w:right="0" w:rightChars="0" w:firstLine="0" w:firstLineChars="0"/>
                    <w:jc w:val="left"/>
                    <w:textAlignment w:val="auto"/>
                    <w:rPr>
                      <w:color w:val="auto"/>
                      <w:szCs w:val="21"/>
                    </w:rPr>
                  </w:pPr>
                  <w:r>
                    <w:rPr>
                      <w:rFonts w:hint="eastAsia"/>
                      <w:color w:val="auto"/>
                      <w:szCs w:val="21"/>
                    </w:rPr>
                    <w:t>原料库中的水性环氧绝缘树脂、水性丙烯酸聚氨酯面漆、润滑油、切削液，以及危废仓库内废润滑油、废切削液、废包装桶、废活性炭</w:t>
                  </w:r>
                  <w:r>
                    <w:rPr>
                      <w:rFonts w:hint="eastAsia"/>
                      <w:color w:val="auto"/>
                      <w:szCs w:val="21"/>
                      <w:lang w:eastAsia="zh-CN"/>
                    </w:rPr>
                    <w:t>、天然气输送管道</w:t>
                  </w:r>
                  <w:r>
                    <w:rPr>
                      <w:rFonts w:hint="eastAsia"/>
                      <w:color w:val="auto"/>
                      <w:szCs w:val="21"/>
                    </w:rPr>
                    <w:t>若发生火灾、爆炸事故，燃烧次生的CO等废气将污染周边大气环境。</w:t>
                  </w:r>
                </w:p>
                <w:p w14:paraId="11868772">
                  <w:pPr>
                    <w:keepNext w:val="0"/>
                    <w:keepLines w:val="0"/>
                    <w:pageBreakBefore w:val="0"/>
                    <w:kinsoku/>
                    <w:wordWrap/>
                    <w:overflowPunct/>
                    <w:topLinePunct w:val="0"/>
                    <w:bidi w:val="0"/>
                    <w:adjustRightInd w:val="0"/>
                    <w:snapToGrid w:val="0"/>
                    <w:ind w:left="0" w:leftChars="0" w:right="0" w:rightChars="0" w:firstLine="0" w:firstLineChars="0"/>
                    <w:jc w:val="left"/>
                    <w:textAlignment w:val="auto"/>
                    <w:rPr>
                      <w:color w:val="auto"/>
                      <w:szCs w:val="21"/>
                    </w:rPr>
                  </w:pPr>
                  <w:r>
                    <w:rPr>
                      <w:rFonts w:hint="eastAsia"/>
                      <w:color w:val="auto"/>
                      <w:szCs w:val="21"/>
                    </w:rPr>
                    <w:t>C.废气处理装置异常</w:t>
                  </w:r>
                </w:p>
                <w:p w14:paraId="61D4C55C">
                  <w:pPr>
                    <w:keepNext w:val="0"/>
                    <w:keepLines w:val="0"/>
                    <w:pageBreakBefore w:val="0"/>
                    <w:kinsoku/>
                    <w:wordWrap/>
                    <w:overflowPunct/>
                    <w:topLinePunct w:val="0"/>
                    <w:bidi w:val="0"/>
                    <w:adjustRightInd w:val="0"/>
                    <w:snapToGrid w:val="0"/>
                    <w:ind w:left="0" w:leftChars="0" w:right="0" w:rightChars="0" w:firstLine="0" w:firstLineChars="0"/>
                    <w:jc w:val="left"/>
                    <w:textAlignment w:val="auto"/>
                    <w:rPr>
                      <w:color w:val="auto"/>
                      <w:szCs w:val="21"/>
                    </w:rPr>
                  </w:pPr>
                  <w:r>
                    <w:rPr>
                      <w:rFonts w:hint="eastAsia"/>
                      <w:color w:val="auto"/>
                      <w:szCs w:val="21"/>
                    </w:rPr>
                    <w:t>二级活性炭吸附装置发生故障，或活性炭长期未更换，导致有机废气富集，发生火灾爆炸时，燃烧次生的CO等废气将污染周边大气环境；布袋除尘器发生故障，或布袋长期未更换，导致废气</w:t>
                  </w:r>
                  <w:r>
                    <w:rPr>
                      <w:rFonts w:hint="eastAsia"/>
                      <w:color w:val="auto"/>
                      <w:szCs w:val="21"/>
                      <w:lang w:eastAsia="zh-CN"/>
                    </w:rPr>
                    <w:t>超标</w:t>
                  </w:r>
                  <w:r>
                    <w:rPr>
                      <w:rFonts w:hint="eastAsia"/>
                      <w:color w:val="auto"/>
                      <w:szCs w:val="21"/>
                    </w:rPr>
                    <w:t>排放，污染周边大气环境。</w:t>
                  </w:r>
                </w:p>
                <w:p w14:paraId="036CE7F1">
                  <w:pPr>
                    <w:keepNext w:val="0"/>
                    <w:keepLines w:val="0"/>
                    <w:pageBreakBefore w:val="0"/>
                    <w:kinsoku/>
                    <w:wordWrap/>
                    <w:overflowPunct/>
                    <w:topLinePunct w:val="0"/>
                    <w:bidi w:val="0"/>
                    <w:adjustRightInd w:val="0"/>
                    <w:snapToGrid w:val="0"/>
                    <w:ind w:left="0" w:leftChars="0" w:right="0" w:rightChars="0" w:firstLine="0" w:firstLineChars="0"/>
                    <w:jc w:val="left"/>
                    <w:textAlignment w:val="auto"/>
                    <w:rPr>
                      <w:color w:val="auto"/>
                      <w:szCs w:val="21"/>
                    </w:rPr>
                  </w:pPr>
                  <w:r>
                    <w:rPr>
                      <w:rFonts w:hint="eastAsia"/>
                      <w:color w:val="auto"/>
                      <w:szCs w:val="21"/>
                    </w:rPr>
                    <w:t>②对地表水的环境风险分析</w:t>
                  </w:r>
                </w:p>
                <w:p w14:paraId="291D58CC">
                  <w:pPr>
                    <w:keepNext w:val="0"/>
                    <w:keepLines w:val="0"/>
                    <w:pageBreakBefore w:val="0"/>
                    <w:kinsoku/>
                    <w:wordWrap/>
                    <w:overflowPunct/>
                    <w:topLinePunct w:val="0"/>
                    <w:bidi w:val="0"/>
                    <w:adjustRightInd w:val="0"/>
                    <w:snapToGrid w:val="0"/>
                    <w:ind w:left="0" w:leftChars="0" w:right="0" w:rightChars="0" w:firstLine="0" w:firstLineChars="0"/>
                    <w:jc w:val="left"/>
                    <w:textAlignment w:val="auto"/>
                    <w:rPr>
                      <w:color w:val="auto"/>
                      <w:szCs w:val="21"/>
                    </w:rPr>
                  </w:pPr>
                  <w:r>
                    <w:rPr>
                      <w:rFonts w:hint="eastAsia"/>
                      <w:color w:val="auto"/>
                      <w:szCs w:val="21"/>
                    </w:rPr>
                    <w:t>厂区发生火灾产生的消防尾水会对地表水产生影响。危险废物贮存量不大，发生火灾的可能性较小。</w:t>
                  </w:r>
                </w:p>
                <w:p w14:paraId="07557CDC">
                  <w:pPr>
                    <w:keepNext w:val="0"/>
                    <w:keepLines w:val="0"/>
                    <w:pageBreakBefore w:val="0"/>
                    <w:kinsoku/>
                    <w:wordWrap/>
                    <w:overflowPunct/>
                    <w:topLinePunct w:val="0"/>
                    <w:bidi w:val="0"/>
                    <w:adjustRightInd w:val="0"/>
                    <w:snapToGrid w:val="0"/>
                    <w:ind w:left="0" w:leftChars="0" w:right="0" w:rightChars="0" w:firstLine="0" w:firstLineChars="0"/>
                    <w:jc w:val="left"/>
                    <w:textAlignment w:val="auto"/>
                    <w:rPr>
                      <w:color w:val="auto"/>
                      <w:szCs w:val="21"/>
                    </w:rPr>
                  </w:pPr>
                  <w:r>
                    <w:rPr>
                      <w:rFonts w:hint="eastAsia"/>
                      <w:color w:val="auto"/>
                      <w:szCs w:val="21"/>
                    </w:rPr>
                    <w:t>③对地下水的环境风险分析</w:t>
                  </w:r>
                </w:p>
                <w:p w14:paraId="04DBF9A4">
                  <w:pPr>
                    <w:keepNext w:val="0"/>
                    <w:keepLines w:val="0"/>
                    <w:pageBreakBefore w:val="0"/>
                    <w:kinsoku/>
                    <w:wordWrap/>
                    <w:overflowPunct/>
                    <w:topLinePunct w:val="0"/>
                    <w:bidi w:val="0"/>
                    <w:adjustRightInd w:val="0"/>
                    <w:snapToGrid w:val="0"/>
                    <w:ind w:left="0" w:leftChars="0" w:right="0" w:rightChars="0" w:firstLine="0" w:firstLineChars="0"/>
                    <w:jc w:val="left"/>
                    <w:textAlignment w:val="auto"/>
                    <w:rPr>
                      <w:color w:val="auto"/>
                      <w:szCs w:val="21"/>
                    </w:rPr>
                  </w:pPr>
                  <w:r>
                    <w:rPr>
                      <w:rFonts w:hint="eastAsia"/>
                      <w:color w:val="auto"/>
                      <w:szCs w:val="21"/>
                    </w:rPr>
                    <w:t>由于区域地下水潜水层含水层渗透系数较小，水力坡度较小，水流速度缓慢，污染物扩散及弥散作用相对缓慢，因此污染物对下游方向的地下水影响较小。</w:t>
                  </w:r>
                </w:p>
              </w:tc>
            </w:tr>
            <w:tr w14:paraId="326C1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44" w:type="pct"/>
                  <w:tcBorders>
                    <w:left w:val="nil"/>
                  </w:tcBorders>
                  <w:vAlign w:val="center"/>
                </w:tcPr>
                <w:p w14:paraId="73DE48D3">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b/>
                      <w:bCs/>
                      <w:color w:val="auto"/>
                      <w:szCs w:val="21"/>
                    </w:rPr>
                  </w:pPr>
                  <w:r>
                    <w:rPr>
                      <w:b/>
                      <w:bCs/>
                      <w:color w:val="auto"/>
                      <w:szCs w:val="21"/>
                    </w:rPr>
                    <w:t>风险防范措施要求</w:t>
                  </w:r>
                </w:p>
              </w:tc>
              <w:tc>
                <w:tcPr>
                  <w:tcW w:w="4355" w:type="pct"/>
                  <w:gridSpan w:val="5"/>
                  <w:tcBorders>
                    <w:right w:val="nil"/>
                  </w:tcBorders>
                  <w:vAlign w:val="center"/>
                </w:tcPr>
                <w:p w14:paraId="68D2579C">
                  <w:pPr>
                    <w:keepNext w:val="0"/>
                    <w:keepLines w:val="0"/>
                    <w:pageBreakBefore w:val="0"/>
                    <w:kinsoku/>
                    <w:wordWrap/>
                    <w:overflowPunct/>
                    <w:topLinePunct w:val="0"/>
                    <w:bidi w:val="0"/>
                    <w:adjustRightInd w:val="0"/>
                    <w:snapToGrid w:val="0"/>
                    <w:ind w:left="0" w:leftChars="0" w:right="0" w:rightChars="0" w:firstLine="0" w:firstLineChars="0"/>
                    <w:textAlignment w:val="auto"/>
                    <w:rPr>
                      <w:color w:val="auto"/>
                      <w:szCs w:val="21"/>
                    </w:rPr>
                  </w:pPr>
                  <w:r>
                    <w:rPr>
                      <w:color w:val="auto"/>
                      <w:szCs w:val="21"/>
                    </w:rPr>
                    <w:t>防范措施</w:t>
                  </w:r>
                  <w:r>
                    <w:rPr>
                      <w:rFonts w:hint="eastAsia"/>
                      <w:color w:val="auto"/>
                      <w:szCs w:val="21"/>
                      <w:lang w:eastAsia="zh-CN"/>
                    </w:rPr>
                    <w:t>：</w:t>
                  </w:r>
                  <w:r>
                    <w:rPr>
                      <w:color w:val="auto"/>
                      <w:szCs w:val="21"/>
                    </w:rPr>
                    <w:t>①</w:t>
                  </w:r>
                  <w:r>
                    <w:rPr>
                      <w:rFonts w:hint="eastAsia"/>
                      <w:color w:val="auto"/>
                      <w:szCs w:val="21"/>
                    </w:rPr>
                    <w:t>危废仓库</w:t>
                  </w:r>
                  <w:r>
                    <w:rPr>
                      <w:color w:val="auto"/>
                      <w:szCs w:val="21"/>
                    </w:rPr>
                    <w:t>设置导流沟、接收托盘及专用收集桶。应严格按照《建筑设计防火规范》（GB50016-2014</w:t>
                  </w:r>
                  <w:r>
                    <w:rPr>
                      <w:rFonts w:hint="eastAsia"/>
                      <w:color w:val="auto"/>
                      <w:szCs w:val="21"/>
                    </w:rPr>
                    <w:t>）</w:t>
                  </w:r>
                  <w:r>
                    <w:rPr>
                      <w:color w:val="auto"/>
                      <w:szCs w:val="21"/>
                    </w:rPr>
                    <w:t>）等标准规范执行。将</w:t>
                  </w:r>
                  <w:r>
                    <w:rPr>
                      <w:rFonts w:hint="eastAsia"/>
                      <w:color w:val="auto"/>
                      <w:szCs w:val="21"/>
                    </w:rPr>
                    <w:t>各种危废</w:t>
                  </w:r>
                  <w:r>
                    <w:rPr>
                      <w:color w:val="auto"/>
                      <w:szCs w:val="21"/>
                    </w:rPr>
                    <w:t>分区存放。②仓库管理人员，必须经过专业知识培训，熟悉贮存物品的特性、事故处理办法和防护知识，持证上岗，同时，必须配备有关的个人防护用品。③仓库内配备足够数量的消防设备、干粉灭火器和灭火药剂等，值班人员应经过培训</w:t>
                  </w:r>
                  <w:r>
                    <w:rPr>
                      <w:rFonts w:hint="eastAsia"/>
                      <w:color w:val="auto"/>
                      <w:szCs w:val="21"/>
                    </w:rPr>
                    <w:t>，熟知各种消防设备的使用</w:t>
                  </w:r>
                  <w:r>
                    <w:rPr>
                      <w:color w:val="auto"/>
                      <w:szCs w:val="21"/>
                    </w:rPr>
                    <w:t>。</w:t>
                  </w:r>
                </w:p>
              </w:tc>
            </w:tr>
            <w:tr w14:paraId="19C32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44" w:type="pct"/>
                  <w:tcBorders>
                    <w:left w:val="nil"/>
                    <w:bottom w:val="single" w:color="000000" w:sz="12" w:space="0"/>
                  </w:tcBorders>
                  <w:vAlign w:val="center"/>
                </w:tcPr>
                <w:p w14:paraId="0D94D442">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b/>
                      <w:bCs/>
                      <w:color w:val="auto"/>
                      <w:szCs w:val="21"/>
                    </w:rPr>
                  </w:pPr>
                  <w:r>
                    <w:rPr>
                      <w:b/>
                      <w:bCs/>
                      <w:color w:val="auto"/>
                      <w:szCs w:val="21"/>
                    </w:rPr>
                    <w:t>填表说明</w:t>
                  </w:r>
                </w:p>
                <w:p w14:paraId="07F88ABB">
                  <w:pPr>
                    <w:keepNext w:val="0"/>
                    <w:keepLines w:val="0"/>
                    <w:pageBreakBefore w:val="0"/>
                    <w:kinsoku/>
                    <w:wordWrap/>
                    <w:overflowPunct/>
                    <w:topLinePunct w:val="0"/>
                    <w:bidi w:val="0"/>
                    <w:adjustRightInd w:val="0"/>
                    <w:snapToGrid w:val="0"/>
                    <w:ind w:left="0" w:leftChars="0" w:right="0" w:rightChars="0" w:firstLine="0" w:firstLineChars="0"/>
                    <w:jc w:val="center"/>
                    <w:textAlignment w:val="auto"/>
                    <w:rPr>
                      <w:color w:val="auto"/>
                      <w:szCs w:val="21"/>
                    </w:rPr>
                  </w:pPr>
                  <w:r>
                    <w:rPr>
                      <w:b/>
                      <w:bCs/>
                      <w:color w:val="auto"/>
                      <w:szCs w:val="21"/>
                    </w:rPr>
                    <w:t>（列出项目相关信息及评价说明）：</w:t>
                  </w:r>
                </w:p>
              </w:tc>
              <w:tc>
                <w:tcPr>
                  <w:tcW w:w="4355" w:type="pct"/>
                  <w:gridSpan w:val="5"/>
                  <w:tcBorders>
                    <w:bottom w:val="single" w:color="000000" w:sz="12" w:space="0"/>
                    <w:right w:val="nil"/>
                  </w:tcBorders>
                  <w:vAlign w:val="center"/>
                </w:tcPr>
                <w:p w14:paraId="65C39706">
                  <w:pPr>
                    <w:keepNext w:val="0"/>
                    <w:keepLines w:val="0"/>
                    <w:pageBreakBefore w:val="0"/>
                    <w:kinsoku/>
                    <w:wordWrap/>
                    <w:overflowPunct/>
                    <w:topLinePunct w:val="0"/>
                    <w:bidi w:val="0"/>
                    <w:adjustRightInd w:val="0"/>
                    <w:snapToGrid w:val="0"/>
                    <w:ind w:left="0" w:leftChars="0" w:right="0" w:rightChars="0" w:firstLine="0" w:firstLineChars="0"/>
                    <w:textAlignment w:val="auto"/>
                    <w:rPr>
                      <w:color w:val="auto"/>
                      <w:szCs w:val="21"/>
                    </w:rPr>
                  </w:pPr>
                  <w:r>
                    <w:rPr>
                      <w:rFonts w:hint="eastAsia"/>
                      <w:color w:val="auto"/>
                      <w:szCs w:val="21"/>
                      <w:lang w:eastAsia="zh-CN"/>
                    </w:rPr>
                    <w:t>涟水杰特电气有限公司</w:t>
                  </w:r>
                  <w:r>
                    <w:rPr>
                      <w:rFonts w:hint="eastAsia"/>
                      <w:color w:val="auto"/>
                      <w:szCs w:val="21"/>
                    </w:rPr>
                    <w:t>年产3万台套新型电机、变频器生产项目位于淮安市涟水经济开发区涟古路北侧、兴隆路西侧</w:t>
                  </w:r>
                  <w:r>
                    <w:rPr>
                      <w:color w:val="auto"/>
                      <w:szCs w:val="21"/>
                    </w:rPr>
                    <w:t>，本项目不涉及风险导则附录C表C.1中的危险工艺，只涉及危险物质的贮存，Q=</w:t>
                  </w:r>
                  <w:r>
                    <w:rPr>
                      <w:rFonts w:hint="eastAsia"/>
                      <w:bCs/>
                      <w:color w:val="auto"/>
                      <w:szCs w:val="21"/>
                      <w:lang w:val="en-US" w:eastAsia="zh-CN"/>
                    </w:rPr>
                    <w:t>0.0476368</w:t>
                  </w:r>
                  <w:r>
                    <w:rPr>
                      <w:color w:val="auto"/>
                      <w:szCs w:val="21"/>
                    </w:rPr>
                    <w:t>＜1。</w:t>
                  </w:r>
                </w:p>
                <w:p w14:paraId="40254279">
                  <w:pPr>
                    <w:keepNext w:val="0"/>
                    <w:keepLines w:val="0"/>
                    <w:pageBreakBefore w:val="0"/>
                    <w:kinsoku/>
                    <w:wordWrap/>
                    <w:overflowPunct/>
                    <w:topLinePunct w:val="0"/>
                    <w:bidi w:val="0"/>
                    <w:adjustRightInd w:val="0"/>
                    <w:snapToGrid w:val="0"/>
                    <w:ind w:left="0" w:leftChars="0" w:right="0" w:rightChars="0" w:firstLine="0" w:firstLineChars="0"/>
                    <w:textAlignment w:val="auto"/>
                    <w:rPr>
                      <w:color w:val="auto"/>
                      <w:szCs w:val="21"/>
                    </w:rPr>
                  </w:pPr>
                  <w:r>
                    <w:rPr>
                      <w:color w:val="auto"/>
                      <w:szCs w:val="21"/>
                    </w:rPr>
                    <w:t>本项目采用成熟可靠的工艺和设备，但在运营期间存在一定的环境风险，建设单位在加强管理，建立健全相应的风险防范管理、应急措施，并在设计、施工、管理及运行中认真落实相关安全管理规定、环境风险评价中提出的措施和相关环保规定，严格遵守各项安全操作规程、制度和落实风险评价要求的防范措施之后，项目营运期风险是可接受的。</w:t>
                  </w:r>
                </w:p>
              </w:tc>
            </w:tr>
          </w:tbl>
          <w:p w14:paraId="141F15E4">
            <w:pPr>
              <w:spacing w:before="120" w:beforeLines="50" w:line="360" w:lineRule="auto"/>
              <w:ind w:firstLine="482" w:firstLineChars="200"/>
              <w:jc w:val="left"/>
              <w:rPr>
                <w:b/>
                <w:color w:val="auto"/>
                <w:sz w:val="24"/>
              </w:rPr>
            </w:pPr>
            <w:r>
              <w:rPr>
                <w:b/>
                <w:color w:val="auto"/>
                <w:sz w:val="24"/>
                <w:lang w:bidi="ar"/>
              </w:rPr>
              <w:t>4.7</w:t>
            </w:r>
            <w:r>
              <w:rPr>
                <w:rFonts w:hint="eastAsia" w:ascii="宋体" w:hAnsi="宋体" w:eastAsia="宋体" w:cs="宋体"/>
                <w:b/>
                <w:color w:val="auto"/>
                <w:sz w:val="24"/>
                <w:lang w:bidi="ar"/>
              </w:rPr>
              <w:t>“三同时”</w:t>
            </w:r>
            <w:r>
              <w:rPr>
                <w:rFonts w:hint="eastAsia" w:hAnsi="宋体" w:cs="宋体"/>
                <w:b/>
                <w:color w:val="auto"/>
                <w:sz w:val="24"/>
                <w:lang w:bidi="ar"/>
              </w:rPr>
              <w:t>验收</w:t>
            </w:r>
          </w:p>
          <w:p w14:paraId="50DFD1B2">
            <w:pPr>
              <w:adjustRightInd w:val="0"/>
              <w:snapToGrid w:val="0"/>
              <w:spacing w:line="360" w:lineRule="auto"/>
              <w:ind w:right="145" w:rightChars="69" w:firstLine="720" w:firstLineChars="300"/>
              <w:rPr>
                <w:color w:val="auto"/>
                <w:sz w:val="24"/>
              </w:rPr>
            </w:pPr>
            <w:r>
              <w:rPr>
                <w:rFonts w:hint="eastAsia" w:hAnsi="宋体" w:cs="宋体"/>
                <w:color w:val="auto"/>
                <w:sz w:val="24"/>
                <w:lang w:bidi="ar"/>
              </w:rPr>
              <w:t>项目环保</w:t>
            </w:r>
            <w:r>
              <w:rPr>
                <w:rFonts w:hint="eastAsia" w:ascii="宋体" w:hAnsi="宋体" w:cs="宋体"/>
                <w:color w:val="auto"/>
                <w:sz w:val="24"/>
                <w:lang w:bidi="ar"/>
              </w:rPr>
              <w:t>“三同时”验</w:t>
            </w:r>
            <w:r>
              <w:rPr>
                <w:rFonts w:hint="eastAsia" w:hAnsi="宋体" w:cs="宋体"/>
                <w:color w:val="auto"/>
                <w:sz w:val="24"/>
                <w:lang w:bidi="ar"/>
              </w:rPr>
              <w:t>收情况见表</w:t>
            </w:r>
            <w:r>
              <w:rPr>
                <w:color w:val="auto"/>
                <w:sz w:val="24"/>
                <w:lang w:bidi="ar"/>
              </w:rPr>
              <w:t>4-2</w:t>
            </w:r>
            <w:r>
              <w:rPr>
                <w:rFonts w:hint="eastAsia"/>
                <w:color w:val="auto"/>
                <w:sz w:val="24"/>
                <w:lang w:val="en-US" w:eastAsia="zh-CN" w:bidi="ar"/>
              </w:rPr>
              <w:t>9</w:t>
            </w:r>
            <w:r>
              <w:rPr>
                <w:rFonts w:hint="eastAsia" w:hAnsi="宋体" w:cs="宋体"/>
                <w:color w:val="auto"/>
                <w:sz w:val="24"/>
                <w:lang w:bidi="ar"/>
              </w:rPr>
              <w:t>。</w:t>
            </w:r>
          </w:p>
          <w:p w14:paraId="1AA68D38">
            <w:pPr>
              <w:adjustRightInd w:val="0"/>
              <w:snapToGrid w:val="0"/>
              <w:ind w:right="145" w:rightChars="69" w:firstLine="482"/>
              <w:jc w:val="center"/>
              <w:rPr>
                <w:b/>
                <w:color w:val="auto"/>
                <w:sz w:val="24"/>
              </w:rPr>
            </w:pPr>
            <w:r>
              <w:rPr>
                <w:rFonts w:hint="eastAsia" w:hAnsi="宋体" w:cs="宋体"/>
                <w:b/>
                <w:color w:val="auto"/>
                <w:sz w:val="24"/>
                <w:lang w:bidi="ar"/>
              </w:rPr>
              <w:t>表</w:t>
            </w:r>
            <w:r>
              <w:rPr>
                <w:b/>
                <w:color w:val="auto"/>
                <w:sz w:val="24"/>
                <w:lang w:bidi="ar"/>
              </w:rPr>
              <w:t>4-2</w:t>
            </w:r>
            <w:r>
              <w:rPr>
                <w:rFonts w:hint="eastAsia"/>
                <w:b/>
                <w:color w:val="auto"/>
                <w:sz w:val="24"/>
                <w:lang w:val="en-US" w:eastAsia="zh-CN" w:bidi="ar"/>
              </w:rPr>
              <w:t>9</w:t>
            </w:r>
            <w:r>
              <w:rPr>
                <w:rFonts w:hint="eastAsia" w:hAnsi="宋体" w:cs="宋体"/>
                <w:b/>
                <w:color w:val="auto"/>
                <w:sz w:val="24"/>
                <w:lang w:bidi="ar"/>
              </w:rPr>
              <w:t>项目环保</w:t>
            </w:r>
            <w:r>
              <w:rPr>
                <w:b/>
                <w:color w:val="auto"/>
                <w:sz w:val="24"/>
                <w:lang w:bidi="ar"/>
              </w:rPr>
              <w:t>“</w:t>
            </w:r>
            <w:r>
              <w:rPr>
                <w:rFonts w:hint="eastAsia" w:hAnsi="宋体" w:cs="宋体"/>
                <w:b/>
                <w:color w:val="auto"/>
                <w:sz w:val="24"/>
                <w:lang w:bidi="ar"/>
              </w:rPr>
              <w:t>三同时</w:t>
            </w:r>
            <w:r>
              <w:rPr>
                <w:b/>
                <w:color w:val="auto"/>
                <w:sz w:val="24"/>
                <w:lang w:bidi="ar"/>
              </w:rPr>
              <w:t>”</w:t>
            </w:r>
            <w:r>
              <w:rPr>
                <w:rFonts w:hint="eastAsia" w:hAnsi="宋体" w:cs="宋体"/>
                <w:b/>
                <w:color w:val="auto"/>
                <w:sz w:val="24"/>
                <w:lang w:bidi="ar"/>
              </w:rPr>
              <w:t>验收一览表</w:t>
            </w:r>
          </w:p>
          <w:tbl>
            <w:tblPr>
              <w:tblStyle w:val="88"/>
              <w:tblW w:w="48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23"/>
              <w:gridCol w:w="683"/>
              <w:gridCol w:w="2147"/>
              <w:gridCol w:w="803"/>
              <w:gridCol w:w="535"/>
              <w:gridCol w:w="871"/>
              <w:gridCol w:w="578"/>
              <w:gridCol w:w="1740"/>
              <w:gridCol w:w="531"/>
            </w:tblGrid>
            <w:tr w14:paraId="0D780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6" w:type="pct"/>
                  <w:tcBorders>
                    <w:top w:val="single" w:color="auto" w:sz="12" w:space="0"/>
                    <w:left w:val="nil"/>
                    <w:bottom w:val="single" w:color="auto" w:sz="4" w:space="0"/>
                    <w:right w:val="single" w:color="auto" w:sz="4" w:space="0"/>
                  </w:tcBorders>
                  <w:shd w:val="clear" w:color="auto" w:fill="auto"/>
                  <w:vAlign w:val="center"/>
                </w:tcPr>
                <w:p w14:paraId="402327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bCs/>
                      <w:color w:val="auto"/>
                      <w:szCs w:val="21"/>
                    </w:rPr>
                  </w:pPr>
                  <w:r>
                    <w:rPr>
                      <w:rFonts w:hint="eastAsia" w:hAnsi="宋体" w:cs="宋体"/>
                      <w:b/>
                      <w:bCs/>
                      <w:color w:val="auto"/>
                      <w:szCs w:val="21"/>
                      <w:lang w:bidi="ar"/>
                    </w:rPr>
                    <w:t>污染源</w:t>
                  </w:r>
                </w:p>
              </w:tc>
              <w:tc>
                <w:tcPr>
                  <w:tcW w:w="415" w:type="pct"/>
                  <w:tcBorders>
                    <w:top w:val="single" w:color="auto" w:sz="12" w:space="0"/>
                    <w:left w:val="single" w:color="auto" w:sz="4" w:space="0"/>
                    <w:bottom w:val="single" w:color="auto" w:sz="4" w:space="0"/>
                    <w:right w:val="single" w:color="auto" w:sz="4" w:space="0"/>
                  </w:tcBorders>
                  <w:shd w:val="clear" w:color="auto" w:fill="auto"/>
                  <w:vAlign w:val="center"/>
                </w:tcPr>
                <w:p w14:paraId="0E2A02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bCs/>
                      <w:color w:val="auto"/>
                      <w:szCs w:val="21"/>
                    </w:rPr>
                  </w:pPr>
                  <w:r>
                    <w:rPr>
                      <w:rFonts w:hint="eastAsia" w:hAnsi="宋体" w:cs="宋体"/>
                      <w:b/>
                      <w:bCs/>
                      <w:color w:val="auto"/>
                      <w:szCs w:val="21"/>
                      <w:lang w:bidi="ar"/>
                    </w:rPr>
                    <w:t>环保设施名称</w:t>
                  </w:r>
                </w:p>
              </w:tc>
              <w:tc>
                <w:tcPr>
                  <w:tcW w:w="1307" w:type="pct"/>
                  <w:tcBorders>
                    <w:top w:val="single" w:color="auto" w:sz="12" w:space="0"/>
                    <w:left w:val="single" w:color="auto" w:sz="4" w:space="0"/>
                    <w:bottom w:val="single" w:color="auto" w:sz="4" w:space="0"/>
                    <w:right w:val="single" w:color="auto" w:sz="4" w:space="0"/>
                  </w:tcBorders>
                  <w:shd w:val="clear" w:color="auto" w:fill="auto"/>
                  <w:vAlign w:val="center"/>
                </w:tcPr>
                <w:p w14:paraId="7AA56D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bCs/>
                      <w:color w:val="auto"/>
                      <w:szCs w:val="21"/>
                    </w:rPr>
                  </w:pPr>
                  <w:r>
                    <w:rPr>
                      <w:rFonts w:hint="eastAsia" w:hAnsi="宋体" w:cs="宋体"/>
                      <w:b/>
                      <w:bCs/>
                      <w:color w:val="auto"/>
                      <w:szCs w:val="21"/>
                      <w:lang w:bidi="ar"/>
                    </w:rPr>
                    <w:t>环保设施内容</w:t>
                  </w:r>
                </w:p>
              </w:tc>
              <w:tc>
                <w:tcPr>
                  <w:tcW w:w="488" w:type="pct"/>
                  <w:tcBorders>
                    <w:top w:val="single" w:color="auto" w:sz="12" w:space="0"/>
                    <w:left w:val="single" w:color="auto" w:sz="4" w:space="0"/>
                    <w:bottom w:val="single" w:color="auto" w:sz="4" w:space="0"/>
                    <w:right w:val="single" w:color="auto" w:sz="4" w:space="0"/>
                  </w:tcBorders>
                  <w:shd w:val="clear" w:color="auto" w:fill="auto"/>
                  <w:vAlign w:val="center"/>
                </w:tcPr>
                <w:p w14:paraId="799201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bCs/>
                      <w:color w:val="auto"/>
                      <w:szCs w:val="21"/>
                    </w:rPr>
                  </w:pPr>
                  <w:r>
                    <w:rPr>
                      <w:rFonts w:hint="eastAsia" w:hAnsi="宋体" w:cs="宋体"/>
                      <w:b/>
                      <w:bCs/>
                      <w:color w:val="auto"/>
                      <w:szCs w:val="21"/>
                      <w:lang w:bidi="ar"/>
                    </w:rPr>
                    <w:t>处理能力</w:t>
                  </w:r>
                </w:p>
              </w:tc>
              <w:tc>
                <w:tcPr>
                  <w:tcW w:w="325" w:type="pct"/>
                  <w:tcBorders>
                    <w:top w:val="single" w:color="auto" w:sz="12" w:space="0"/>
                    <w:left w:val="single" w:color="auto" w:sz="4" w:space="0"/>
                    <w:bottom w:val="single" w:color="auto" w:sz="4" w:space="0"/>
                    <w:right w:val="single" w:color="auto" w:sz="4" w:space="0"/>
                  </w:tcBorders>
                  <w:shd w:val="clear" w:color="auto" w:fill="auto"/>
                  <w:vAlign w:val="center"/>
                </w:tcPr>
                <w:p w14:paraId="1BABB4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bCs/>
                      <w:color w:val="auto"/>
                      <w:szCs w:val="21"/>
                    </w:rPr>
                  </w:pPr>
                  <w:r>
                    <w:rPr>
                      <w:rFonts w:hint="eastAsia" w:hAnsi="宋体" w:cs="宋体"/>
                      <w:b/>
                      <w:bCs/>
                      <w:color w:val="auto"/>
                      <w:szCs w:val="21"/>
                      <w:lang w:bidi="ar"/>
                    </w:rPr>
                    <w:t>数量</w:t>
                  </w:r>
                </w:p>
              </w:tc>
              <w:tc>
                <w:tcPr>
                  <w:tcW w:w="530" w:type="pct"/>
                  <w:tcBorders>
                    <w:top w:val="single" w:color="auto" w:sz="12" w:space="0"/>
                    <w:left w:val="single" w:color="auto" w:sz="4" w:space="0"/>
                    <w:bottom w:val="single" w:color="auto" w:sz="4" w:space="0"/>
                    <w:right w:val="single" w:color="auto" w:sz="4" w:space="0"/>
                  </w:tcBorders>
                  <w:shd w:val="clear" w:color="auto" w:fill="auto"/>
                  <w:vAlign w:val="center"/>
                </w:tcPr>
                <w:p w14:paraId="358C07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bCs/>
                      <w:color w:val="auto"/>
                      <w:szCs w:val="21"/>
                    </w:rPr>
                  </w:pPr>
                  <w:r>
                    <w:rPr>
                      <w:rFonts w:hint="eastAsia" w:hAnsi="宋体" w:cs="宋体"/>
                      <w:b/>
                      <w:bCs/>
                      <w:color w:val="auto"/>
                      <w:szCs w:val="21"/>
                      <w:lang w:bidi="ar"/>
                    </w:rPr>
                    <w:t>环保措施说明</w:t>
                  </w:r>
                </w:p>
              </w:tc>
              <w:tc>
                <w:tcPr>
                  <w:tcW w:w="351" w:type="pct"/>
                  <w:tcBorders>
                    <w:top w:val="single" w:color="auto" w:sz="12" w:space="0"/>
                    <w:left w:val="single" w:color="auto" w:sz="4" w:space="0"/>
                    <w:bottom w:val="single" w:color="auto" w:sz="4" w:space="0"/>
                    <w:right w:val="single" w:color="auto" w:sz="4" w:space="0"/>
                  </w:tcBorders>
                  <w:shd w:val="clear" w:color="auto" w:fill="auto"/>
                  <w:tcMar>
                    <w:left w:w="28" w:type="dxa"/>
                    <w:right w:w="28" w:type="dxa"/>
                  </w:tcMar>
                  <w:vAlign w:val="center"/>
                </w:tcPr>
                <w:p w14:paraId="5C3F52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bCs/>
                      <w:color w:val="auto"/>
                      <w:spacing w:val="-20"/>
                      <w:szCs w:val="21"/>
                    </w:rPr>
                  </w:pPr>
                  <w:r>
                    <w:rPr>
                      <w:rFonts w:hint="eastAsia" w:hAnsi="宋体" w:cs="宋体"/>
                      <w:b/>
                      <w:bCs/>
                      <w:color w:val="auto"/>
                      <w:szCs w:val="21"/>
                      <w:lang w:bidi="ar"/>
                    </w:rPr>
                    <w:t>投</w:t>
                  </w:r>
                  <w:r>
                    <w:rPr>
                      <w:rFonts w:hint="eastAsia" w:hAnsi="宋体" w:cs="宋体"/>
                      <w:b/>
                      <w:bCs/>
                      <w:color w:val="auto"/>
                      <w:spacing w:val="-20"/>
                      <w:szCs w:val="21"/>
                      <w:lang w:bidi="ar"/>
                    </w:rPr>
                    <w:t>资</w:t>
                  </w:r>
                </w:p>
                <w:p w14:paraId="20AE67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bCs/>
                      <w:color w:val="auto"/>
                      <w:szCs w:val="21"/>
                    </w:rPr>
                  </w:pPr>
                  <w:r>
                    <w:rPr>
                      <w:rFonts w:hint="eastAsia" w:hAnsi="宋体" w:cs="宋体"/>
                      <w:b/>
                      <w:bCs/>
                      <w:color w:val="auto"/>
                      <w:szCs w:val="21"/>
                      <w:lang w:bidi="ar"/>
                    </w:rPr>
                    <w:t>万元</w:t>
                  </w:r>
                </w:p>
              </w:tc>
              <w:tc>
                <w:tcPr>
                  <w:tcW w:w="1059" w:type="pct"/>
                  <w:tcBorders>
                    <w:top w:val="single" w:color="auto" w:sz="12" w:space="0"/>
                    <w:left w:val="single" w:color="auto" w:sz="4" w:space="0"/>
                    <w:bottom w:val="single" w:color="auto" w:sz="4" w:space="0"/>
                    <w:right w:val="nil"/>
                  </w:tcBorders>
                  <w:shd w:val="clear" w:color="auto" w:fill="auto"/>
                  <w:vAlign w:val="center"/>
                </w:tcPr>
                <w:p w14:paraId="3E70E0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bCs/>
                      <w:color w:val="auto"/>
                      <w:szCs w:val="21"/>
                    </w:rPr>
                  </w:pPr>
                  <w:r>
                    <w:rPr>
                      <w:rFonts w:hint="eastAsia" w:hAnsi="宋体" w:cs="宋体"/>
                      <w:b/>
                      <w:bCs/>
                      <w:color w:val="auto"/>
                      <w:szCs w:val="21"/>
                      <w:lang w:bidi="ar"/>
                    </w:rPr>
                    <w:t>预计效果</w:t>
                  </w:r>
                </w:p>
              </w:tc>
              <w:tc>
                <w:tcPr>
                  <w:tcW w:w="323" w:type="pct"/>
                  <w:tcBorders>
                    <w:top w:val="single" w:color="auto" w:sz="12" w:space="0"/>
                    <w:left w:val="single" w:color="auto" w:sz="4" w:space="0"/>
                    <w:bottom w:val="single" w:color="auto" w:sz="4" w:space="0"/>
                    <w:right w:val="nil"/>
                  </w:tcBorders>
                  <w:shd w:val="clear" w:color="auto" w:fill="auto"/>
                  <w:vAlign w:val="center"/>
                </w:tcPr>
                <w:p w14:paraId="19311B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bCs/>
                      <w:color w:val="auto"/>
                      <w:szCs w:val="21"/>
                    </w:rPr>
                  </w:pPr>
                  <w:r>
                    <w:rPr>
                      <w:rFonts w:hint="eastAsia" w:hAnsi="宋体" w:cs="宋体"/>
                      <w:b/>
                      <w:bCs/>
                      <w:color w:val="auto"/>
                      <w:szCs w:val="21"/>
                      <w:lang w:bidi="ar"/>
                    </w:rPr>
                    <w:t>备注</w:t>
                  </w:r>
                </w:p>
              </w:tc>
            </w:tr>
            <w:tr w14:paraId="54062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2" w:hRule="atLeast"/>
                <w:jc w:val="center"/>
              </w:trPr>
              <w:tc>
                <w:tcPr>
                  <w:tcW w:w="196" w:type="pct"/>
                  <w:vMerge w:val="restart"/>
                  <w:tcBorders>
                    <w:top w:val="single" w:color="auto" w:sz="4" w:space="0"/>
                    <w:left w:val="nil"/>
                    <w:bottom w:val="single" w:color="auto" w:sz="4" w:space="0"/>
                    <w:right w:val="single" w:color="auto" w:sz="4" w:space="0"/>
                  </w:tcBorders>
                  <w:shd w:val="clear" w:color="auto" w:fill="auto"/>
                  <w:vAlign w:val="center"/>
                </w:tcPr>
                <w:p w14:paraId="5A29D2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废</w:t>
                  </w:r>
                </w:p>
                <w:p w14:paraId="692F28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气</w:t>
                  </w:r>
                </w:p>
              </w:tc>
              <w:tc>
                <w:tcPr>
                  <w:tcW w:w="415" w:type="pct"/>
                  <w:tcBorders>
                    <w:top w:val="single" w:color="auto" w:sz="4" w:space="0"/>
                    <w:left w:val="single" w:color="auto" w:sz="4" w:space="0"/>
                    <w:bottom w:val="single" w:color="auto" w:sz="4" w:space="0"/>
                    <w:right w:val="single" w:color="auto" w:sz="4" w:space="0"/>
                  </w:tcBorders>
                  <w:shd w:val="clear" w:color="auto" w:fill="auto"/>
                  <w:vAlign w:val="center"/>
                </w:tcPr>
                <w:p w14:paraId="31563E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废气</w:t>
                  </w:r>
                </w:p>
                <w:p w14:paraId="121D1D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收集系统</w:t>
                  </w:r>
                </w:p>
              </w:tc>
              <w:tc>
                <w:tcPr>
                  <w:tcW w:w="1307" w:type="pct"/>
                  <w:tcBorders>
                    <w:top w:val="single" w:color="auto" w:sz="4" w:space="0"/>
                    <w:left w:val="single" w:color="auto" w:sz="4" w:space="0"/>
                    <w:bottom w:val="single" w:color="auto" w:sz="4" w:space="0"/>
                    <w:right w:val="single" w:color="auto" w:sz="4" w:space="0"/>
                  </w:tcBorders>
                  <w:shd w:val="clear" w:color="auto" w:fill="auto"/>
                  <w:vAlign w:val="center"/>
                </w:tcPr>
                <w:p w14:paraId="796D07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包括管道、风机等</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6A357C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lang w:bidi="ar"/>
                    </w:rPr>
                    <w:t>/</w:t>
                  </w:r>
                </w:p>
              </w:tc>
              <w:tc>
                <w:tcPr>
                  <w:tcW w:w="325" w:type="pct"/>
                  <w:tcBorders>
                    <w:top w:val="single" w:color="auto" w:sz="4" w:space="0"/>
                    <w:left w:val="single" w:color="auto" w:sz="4" w:space="0"/>
                    <w:bottom w:val="single" w:color="auto" w:sz="4" w:space="0"/>
                    <w:right w:val="single" w:color="auto" w:sz="4" w:space="0"/>
                  </w:tcBorders>
                  <w:shd w:val="clear" w:color="auto" w:fill="auto"/>
                  <w:vAlign w:val="center"/>
                </w:tcPr>
                <w:p w14:paraId="60F12D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lang w:bidi="ar"/>
                    </w:rPr>
                    <w:t>/</w:t>
                  </w:r>
                </w:p>
              </w:tc>
              <w:tc>
                <w:tcPr>
                  <w:tcW w:w="530" w:type="pct"/>
                  <w:tcBorders>
                    <w:top w:val="single" w:color="auto" w:sz="4" w:space="0"/>
                    <w:left w:val="single" w:color="auto" w:sz="4" w:space="0"/>
                    <w:bottom w:val="single" w:color="auto" w:sz="4" w:space="0"/>
                    <w:right w:val="single" w:color="auto" w:sz="4" w:space="0"/>
                  </w:tcBorders>
                  <w:shd w:val="clear" w:color="auto" w:fill="auto"/>
                  <w:vAlign w:val="center"/>
                </w:tcPr>
                <w:p w14:paraId="5506E1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新建</w:t>
                  </w:r>
                </w:p>
              </w:tc>
              <w:tc>
                <w:tcPr>
                  <w:tcW w:w="35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6C4C6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lang w:bidi="ar"/>
                    </w:rPr>
                    <w:t>1</w:t>
                  </w:r>
                  <w:r>
                    <w:rPr>
                      <w:rFonts w:hint="eastAsia"/>
                      <w:color w:val="auto"/>
                      <w:szCs w:val="21"/>
                      <w:lang w:bidi="ar"/>
                    </w:rPr>
                    <w:t>5</w:t>
                  </w:r>
                </w:p>
              </w:tc>
              <w:tc>
                <w:tcPr>
                  <w:tcW w:w="1059" w:type="pct"/>
                  <w:vMerge w:val="restart"/>
                  <w:tcBorders>
                    <w:top w:val="single" w:color="auto" w:sz="4" w:space="0"/>
                    <w:left w:val="single" w:color="auto" w:sz="4" w:space="0"/>
                    <w:bottom w:val="single" w:color="auto" w:sz="4" w:space="0"/>
                    <w:right w:val="nil"/>
                  </w:tcBorders>
                  <w:shd w:val="clear" w:color="auto" w:fill="auto"/>
                  <w:vAlign w:val="center"/>
                </w:tcPr>
                <w:p w14:paraId="151C9F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1#排气筒排放的颗粒物达《大气污染物综合排放标准》（DB32/4041-2021）表1排放限值；2#排气筒排放的NMHC、颗粒物达</w:t>
                  </w:r>
                  <w:r>
                    <w:rPr>
                      <w:color w:val="auto"/>
                      <w:szCs w:val="21"/>
                    </w:rPr>
                    <w:t>《</w:t>
                  </w:r>
                  <w:r>
                    <w:rPr>
                      <w:rFonts w:hint="eastAsia"/>
                      <w:color w:val="auto"/>
                      <w:szCs w:val="21"/>
                    </w:rPr>
                    <w:t>工业涂装工序大气污染物</w:t>
                  </w:r>
                  <w:r>
                    <w:rPr>
                      <w:color w:val="auto"/>
                      <w:szCs w:val="21"/>
                    </w:rPr>
                    <w:t>排放标准》（</w:t>
                  </w:r>
                  <w:r>
                    <w:rPr>
                      <w:rFonts w:hint="eastAsia"/>
                      <w:color w:val="auto"/>
                      <w:szCs w:val="21"/>
                    </w:rPr>
                    <w:t>D</w:t>
                  </w:r>
                  <w:r>
                    <w:rPr>
                      <w:color w:val="auto"/>
                      <w:szCs w:val="21"/>
                    </w:rPr>
                    <w:t>B</w:t>
                  </w:r>
                  <w:r>
                    <w:rPr>
                      <w:rFonts w:hint="eastAsia"/>
                      <w:color w:val="auto"/>
                      <w:szCs w:val="21"/>
                    </w:rPr>
                    <w:t>32/4439-2022</w:t>
                  </w:r>
                  <w:r>
                    <w:rPr>
                      <w:color w:val="auto"/>
                      <w:szCs w:val="21"/>
                    </w:rPr>
                    <w:t>）</w:t>
                  </w:r>
                  <w:r>
                    <w:rPr>
                      <w:rFonts w:hint="eastAsia"/>
                      <w:color w:val="auto"/>
                      <w:szCs w:val="21"/>
                    </w:rPr>
                    <w:t>表1排放限值</w:t>
                  </w:r>
                </w:p>
              </w:tc>
              <w:tc>
                <w:tcPr>
                  <w:tcW w:w="323" w:type="pct"/>
                  <w:vMerge w:val="restart"/>
                  <w:tcBorders>
                    <w:top w:val="single" w:color="auto" w:sz="4" w:space="0"/>
                    <w:left w:val="single" w:color="auto" w:sz="4" w:space="0"/>
                    <w:bottom w:val="single" w:color="auto" w:sz="12" w:space="0"/>
                    <w:right w:val="nil"/>
                  </w:tcBorders>
                  <w:shd w:val="clear" w:color="auto" w:fill="auto"/>
                  <w:vAlign w:val="center"/>
                </w:tcPr>
                <w:p w14:paraId="3909EE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Cs/>
                      <w:color w:val="auto"/>
                      <w:spacing w:val="4"/>
                      <w:szCs w:val="21"/>
                    </w:rPr>
                  </w:pPr>
                  <w:r>
                    <w:rPr>
                      <w:rFonts w:hint="eastAsia" w:hAnsi="宋体" w:cs="宋体"/>
                      <w:bCs/>
                      <w:color w:val="auto"/>
                      <w:spacing w:val="4"/>
                      <w:szCs w:val="21"/>
                      <w:lang w:bidi="ar"/>
                    </w:rPr>
                    <w:t>与主体工程同时设计、同时施工、同时投入使用</w:t>
                  </w:r>
                </w:p>
              </w:tc>
            </w:tr>
            <w:tr w14:paraId="34B14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44" w:hRule="atLeast"/>
                <w:jc w:val="center"/>
              </w:trPr>
              <w:tc>
                <w:tcPr>
                  <w:tcW w:w="196" w:type="pct"/>
                  <w:vMerge w:val="continue"/>
                  <w:tcBorders>
                    <w:top w:val="single" w:color="auto" w:sz="4" w:space="0"/>
                    <w:left w:val="nil"/>
                    <w:bottom w:val="single" w:color="auto" w:sz="4" w:space="0"/>
                    <w:right w:val="single" w:color="auto" w:sz="4" w:space="0"/>
                  </w:tcBorders>
                  <w:shd w:val="clear" w:color="auto" w:fill="auto"/>
                  <w:vAlign w:val="center"/>
                </w:tcPr>
                <w:p w14:paraId="74808CED">
                  <w:pPr>
                    <w:keepNext w:val="0"/>
                    <w:keepLines w:val="0"/>
                    <w:pageBreakBefore w:val="0"/>
                    <w:widowControl w:val="0"/>
                    <w:kinsoku/>
                    <w:wordWrap/>
                    <w:overflowPunct/>
                    <w:topLinePunct w:val="0"/>
                    <w:autoSpaceDE/>
                    <w:autoSpaceDN/>
                    <w:bidi w:val="0"/>
                    <w:adjustRightInd w:val="0"/>
                    <w:snapToGrid w:val="0"/>
                    <w:ind w:firstLine="0" w:firstLineChars="0"/>
                    <w:textAlignment w:val="auto"/>
                    <w:rPr>
                      <w:color w:val="auto"/>
                      <w:sz w:val="20"/>
                      <w:szCs w:val="20"/>
                    </w:rPr>
                  </w:pPr>
                </w:p>
              </w:tc>
              <w:tc>
                <w:tcPr>
                  <w:tcW w:w="415" w:type="pct"/>
                  <w:vMerge w:val="restart"/>
                  <w:tcBorders>
                    <w:top w:val="single" w:color="auto" w:sz="4" w:space="0"/>
                    <w:left w:val="single" w:color="auto" w:sz="4" w:space="0"/>
                    <w:right w:val="single" w:color="auto" w:sz="4" w:space="0"/>
                  </w:tcBorders>
                  <w:shd w:val="clear" w:color="auto" w:fill="auto"/>
                  <w:vAlign w:val="center"/>
                </w:tcPr>
                <w:p w14:paraId="19B9C4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工艺尾气处理系统</w:t>
                  </w:r>
                </w:p>
              </w:tc>
              <w:tc>
                <w:tcPr>
                  <w:tcW w:w="1307" w:type="pct"/>
                  <w:tcBorders>
                    <w:top w:val="single" w:color="auto" w:sz="4" w:space="0"/>
                    <w:left w:val="single" w:color="auto" w:sz="4" w:space="0"/>
                    <w:bottom w:val="single" w:color="auto" w:sz="4" w:space="0"/>
                    <w:right w:val="single" w:color="auto" w:sz="4" w:space="0"/>
                  </w:tcBorders>
                  <w:shd w:val="clear" w:color="auto" w:fill="auto"/>
                  <w:vAlign w:val="center"/>
                </w:tcPr>
                <w:p w14:paraId="30F5A9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Ansi="宋体" w:cs="宋体"/>
                      <w:color w:val="auto"/>
                      <w:szCs w:val="21"/>
                      <w:lang w:bidi="ar"/>
                    </w:rPr>
                  </w:pPr>
                  <w:r>
                    <w:rPr>
                      <w:rFonts w:hint="eastAsia" w:hAnsi="宋体" w:cs="宋体"/>
                      <w:color w:val="auto"/>
                      <w:szCs w:val="21"/>
                      <w:lang w:bidi="ar"/>
                    </w:rPr>
                    <w:t>布袋除尘器+</w:t>
                  </w:r>
                  <w:r>
                    <w:rPr>
                      <w:rFonts w:hint="eastAsia"/>
                      <w:color w:val="auto"/>
                      <w:szCs w:val="21"/>
                      <w:lang w:bidi="ar"/>
                    </w:rPr>
                    <w:t>15</w:t>
                  </w:r>
                  <w:r>
                    <w:rPr>
                      <w:color w:val="auto"/>
                      <w:szCs w:val="21"/>
                      <w:lang w:bidi="ar"/>
                    </w:rPr>
                    <w:t>m</w:t>
                  </w:r>
                  <w:r>
                    <w:rPr>
                      <w:rFonts w:hint="eastAsia" w:hAnsi="宋体" w:cs="宋体"/>
                      <w:color w:val="auto"/>
                      <w:szCs w:val="21"/>
                      <w:lang w:bidi="ar"/>
                    </w:rPr>
                    <w:t>高</w:t>
                  </w:r>
                  <w:r>
                    <w:rPr>
                      <w:color w:val="auto"/>
                      <w:szCs w:val="21"/>
                      <w:lang w:bidi="ar"/>
                    </w:rPr>
                    <w:t>1#</w:t>
                  </w:r>
                  <w:r>
                    <w:rPr>
                      <w:rFonts w:hint="eastAsia" w:hAnsi="宋体" w:cs="宋体"/>
                      <w:color w:val="auto"/>
                      <w:szCs w:val="21"/>
                      <w:lang w:bidi="ar"/>
                    </w:rPr>
                    <w:t>排气筒</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0F0692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lang w:bidi="ar"/>
                    </w:rPr>
                    <w:t>5</w:t>
                  </w:r>
                  <w:r>
                    <w:rPr>
                      <w:color w:val="auto"/>
                      <w:szCs w:val="21"/>
                      <w:lang w:bidi="ar"/>
                    </w:rPr>
                    <w:t>000m</w:t>
                  </w:r>
                  <w:r>
                    <w:rPr>
                      <w:color w:val="auto"/>
                      <w:szCs w:val="21"/>
                      <w:vertAlign w:val="superscript"/>
                      <w:lang w:bidi="ar"/>
                    </w:rPr>
                    <w:t>3</w:t>
                  </w:r>
                  <w:r>
                    <w:rPr>
                      <w:color w:val="auto"/>
                      <w:szCs w:val="21"/>
                      <w:lang w:bidi="ar"/>
                    </w:rPr>
                    <w:t>/h</w:t>
                  </w:r>
                </w:p>
              </w:tc>
              <w:tc>
                <w:tcPr>
                  <w:tcW w:w="325" w:type="pct"/>
                  <w:tcBorders>
                    <w:top w:val="single" w:color="auto" w:sz="4" w:space="0"/>
                    <w:left w:val="single" w:color="auto" w:sz="4" w:space="0"/>
                    <w:bottom w:val="single" w:color="auto" w:sz="4" w:space="0"/>
                    <w:right w:val="single" w:color="auto" w:sz="4" w:space="0"/>
                  </w:tcBorders>
                  <w:shd w:val="clear" w:color="auto" w:fill="auto"/>
                  <w:vAlign w:val="center"/>
                </w:tcPr>
                <w:p w14:paraId="2BCD3F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lang w:bidi="ar"/>
                    </w:rPr>
                    <w:t>1</w:t>
                  </w:r>
                  <w:r>
                    <w:rPr>
                      <w:rFonts w:hint="eastAsia" w:hAnsi="宋体" w:cs="宋体"/>
                      <w:color w:val="auto"/>
                      <w:szCs w:val="21"/>
                      <w:lang w:bidi="ar"/>
                    </w:rPr>
                    <w:t>套</w:t>
                  </w:r>
                </w:p>
              </w:tc>
              <w:tc>
                <w:tcPr>
                  <w:tcW w:w="530" w:type="pct"/>
                  <w:tcBorders>
                    <w:top w:val="single" w:color="auto" w:sz="4" w:space="0"/>
                    <w:left w:val="single" w:color="auto" w:sz="4" w:space="0"/>
                    <w:bottom w:val="single" w:color="auto" w:sz="4" w:space="0"/>
                    <w:right w:val="single" w:color="auto" w:sz="4" w:space="0"/>
                  </w:tcBorders>
                  <w:shd w:val="clear" w:color="auto" w:fill="auto"/>
                  <w:vAlign w:val="center"/>
                </w:tcPr>
                <w:p w14:paraId="492A2F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新建</w:t>
                  </w:r>
                </w:p>
              </w:tc>
              <w:tc>
                <w:tcPr>
                  <w:tcW w:w="35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743909">
                  <w:pPr>
                    <w:keepNext w:val="0"/>
                    <w:keepLines w:val="0"/>
                    <w:pageBreakBefore w:val="0"/>
                    <w:widowControl w:val="0"/>
                    <w:kinsoku/>
                    <w:wordWrap/>
                    <w:overflowPunct/>
                    <w:topLinePunct w:val="0"/>
                    <w:autoSpaceDE/>
                    <w:autoSpaceDN/>
                    <w:bidi w:val="0"/>
                    <w:adjustRightInd w:val="0"/>
                    <w:snapToGrid w:val="0"/>
                    <w:ind w:firstLine="0" w:firstLineChars="0"/>
                    <w:textAlignment w:val="auto"/>
                    <w:rPr>
                      <w:color w:val="auto"/>
                      <w:sz w:val="20"/>
                      <w:szCs w:val="20"/>
                    </w:rPr>
                  </w:pPr>
                </w:p>
              </w:tc>
              <w:tc>
                <w:tcPr>
                  <w:tcW w:w="1059" w:type="pct"/>
                  <w:vMerge w:val="continue"/>
                  <w:tcBorders>
                    <w:top w:val="single" w:color="auto" w:sz="4" w:space="0"/>
                    <w:left w:val="single" w:color="auto" w:sz="4" w:space="0"/>
                    <w:bottom w:val="single" w:color="auto" w:sz="4" w:space="0"/>
                    <w:right w:val="nil"/>
                  </w:tcBorders>
                  <w:shd w:val="clear" w:color="auto" w:fill="auto"/>
                  <w:vAlign w:val="center"/>
                </w:tcPr>
                <w:p w14:paraId="660872E0">
                  <w:pPr>
                    <w:keepNext w:val="0"/>
                    <w:keepLines w:val="0"/>
                    <w:pageBreakBefore w:val="0"/>
                    <w:widowControl w:val="0"/>
                    <w:kinsoku/>
                    <w:wordWrap/>
                    <w:overflowPunct/>
                    <w:topLinePunct w:val="0"/>
                    <w:autoSpaceDE/>
                    <w:autoSpaceDN/>
                    <w:bidi w:val="0"/>
                    <w:adjustRightInd w:val="0"/>
                    <w:snapToGrid w:val="0"/>
                    <w:ind w:firstLine="0" w:firstLineChars="0"/>
                    <w:textAlignment w:val="auto"/>
                    <w:rPr>
                      <w:color w:val="auto"/>
                      <w:sz w:val="20"/>
                      <w:szCs w:val="20"/>
                    </w:rPr>
                  </w:pPr>
                </w:p>
              </w:tc>
              <w:tc>
                <w:tcPr>
                  <w:tcW w:w="323" w:type="pct"/>
                  <w:vMerge w:val="continue"/>
                  <w:tcBorders>
                    <w:top w:val="single" w:color="auto" w:sz="4" w:space="0"/>
                    <w:left w:val="single" w:color="auto" w:sz="4" w:space="0"/>
                    <w:bottom w:val="single" w:color="auto" w:sz="12" w:space="0"/>
                    <w:right w:val="nil"/>
                  </w:tcBorders>
                  <w:shd w:val="clear" w:color="auto" w:fill="auto"/>
                  <w:vAlign w:val="center"/>
                </w:tcPr>
                <w:p w14:paraId="20792204">
                  <w:pPr>
                    <w:keepNext w:val="0"/>
                    <w:keepLines w:val="0"/>
                    <w:pageBreakBefore w:val="0"/>
                    <w:widowControl w:val="0"/>
                    <w:kinsoku/>
                    <w:wordWrap/>
                    <w:overflowPunct/>
                    <w:topLinePunct w:val="0"/>
                    <w:autoSpaceDE/>
                    <w:autoSpaceDN/>
                    <w:bidi w:val="0"/>
                    <w:adjustRightInd w:val="0"/>
                    <w:snapToGrid w:val="0"/>
                    <w:ind w:firstLine="0" w:firstLineChars="0"/>
                    <w:textAlignment w:val="auto"/>
                    <w:rPr>
                      <w:color w:val="auto"/>
                      <w:sz w:val="20"/>
                      <w:szCs w:val="20"/>
                    </w:rPr>
                  </w:pPr>
                </w:p>
              </w:tc>
            </w:tr>
            <w:tr w14:paraId="466F3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44" w:hRule="atLeast"/>
                <w:jc w:val="center"/>
              </w:trPr>
              <w:tc>
                <w:tcPr>
                  <w:tcW w:w="196" w:type="pct"/>
                  <w:vMerge w:val="continue"/>
                  <w:tcBorders>
                    <w:top w:val="single" w:color="auto" w:sz="4" w:space="0"/>
                    <w:left w:val="nil"/>
                    <w:bottom w:val="single" w:color="auto" w:sz="4" w:space="0"/>
                    <w:right w:val="single" w:color="auto" w:sz="4" w:space="0"/>
                  </w:tcBorders>
                  <w:shd w:val="clear" w:color="auto" w:fill="auto"/>
                  <w:vAlign w:val="center"/>
                </w:tcPr>
                <w:p w14:paraId="47CA465C">
                  <w:pPr>
                    <w:keepNext w:val="0"/>
                    <w:keepLines w:val="0"/>
                    <w:pageBreakBefore w:val="0"/>
                    <w:widowControl w:val="0"/>
                    <w:kinsoku/>
                    <w:wordWrap/>
                    <w:overflowPunct/>
                    <w:topLinePunct w:val="0"/>
                    <w:autoSpaceDE/>
                    <w:autoSpaceDN/>
                    <w:bidi w:val="0"/>
                    <w:adjustRightInd w:val="0"/>
                    <w:snapToGrid w:val="0"/>
                    <w:ind w:firstLine="0" w:firstLineChars="0"/>
                    <w:textAlignment w:val="auto"/>
                    <w:rPr>
                      <w:color w:val="auto"/>
                      <w:sz w:val="20"/>
                      <w:szCs w:val="20"/>
                    </w:rPr>
                  </w:pPr>
                </w:p>
              </w:tc>
              <w:tc>
                <w:tcPr>
                  <w:tcW w:w="415" w:type="pct"/>
                  <w:vMerge w:val="continue"/>
                  <w:tcBorders>
                    <w:left w:val="single" w:color="auto" w:sz="4" w:space="0"/>
                    <w:right w:val="single" w:color="auto" w:sz="4" w:space="0"/>
                  </w:tcBorders>
                  <w:shd w:val="clear" w:color="auto" w:fill="auto"/>
                  <w:vAlign w:val="center"/>
                </w:tcPr>
                <w:p w14:paraId="7911D6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p>
              </w:tc>
              <w:tc>
                <w:tcPr>
                  <w:tcW w:w="1307" w:type="pct"/>
                  <w:tcBorders>
                    <w:top w:val="single" w:color="auto" w:sz="4" w:space="0"/>
                    <w:left w:val="single" w:color="auto" w:sz="4" w:space="0"/>
                    <w:bottom w:val="single" w:color="auto" w:sz="4" w:space="0"/>
                    <w:right w:val="single" w:color="auto" w:sz="4" w:space="0"/>
                  </w:tcBorders>
                  <w:shd w:val="clear" w:color="auto" w:fill="auto"/>
                  <w:vAlign w:val="center"/>
                </w:tcPr>
                <w:p w14:paraId="575D1E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干式过滤棉+二级活性炭</w:t>
                  </w:r>
                  <w:r>
                    <w:rPr>
                      <w:color w:val="auto"/>
                      <w:szCs w:val="21"/>
                      <w:lang w:bidi="ar"/>
                    </w:rPr>
                    <w:t>+</w:t>
                  </w:r>
                  <w:r>
                    <w:rPr>
                      <w:rFonts w:hint="eastAsia"/>
                      <w:color w:val="auto"/>
                      <w:szCs w:val="21"/>
                      <w:lang w:bidi="ar"/>
                    </w:rPr>
                    <w:t>15</w:t>
                  </w:r>
                  <w:r>
                    <w:rPr>
                      <w:color w:val="auto"/>
                      <w:szCs w:val="21"/>
                      <w:lang w:bidi="ar"/>
                    </w:rPr>
                    <w:t>m</w:t>
                  </w:r>
                  <w:r>
                    <w:rPr>
                      <w:rFonts w:hint="eastAsia" w:hAnsi="宋体" w:cs="宋体"/>
                      <w:color w:val="auto"/>
                      <w:szCs w:val="21"/>
                      <w:lang w:bidi="ar"/>
                    </w:rPr>
                    <w:t>高</w:t>
                  </w:r>
                  <w:r>
                    <w:rPr>
                      <w:rFonts w:hint="eastAsia"/>
                      <w:color w:val="auto"/>
                      <w:szCs w:val="21"/>
                      <w:lang w:bidi="ar"/>
                    </w:rPr>
                    <w:t>2</w:t>
                  </w:r>
                  <w:r>
                    <w:rPr>
                      <w:color w:val="auto"/>
                      <w:szCs w:val="21"/>
                      <w:lang w:bidi="ar"/>
                    </w:rPr>
                    <w:t>#</w:t>
                  </w:r>
                  <w:r>
                    <w:rPr>
                      <w:rFonts w:hint="eastAsia" w:hAnsi="宋体" w:cs="宋体"/>
                      <w:color w:val="auto"/>
                      <w:szCs w:val="21"/>
                      <w:lang w:bidi="ar"/>
                    </w:rPr>
                    <w:t>排气筒</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0BF843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lang w:val="en-US" w:eastAsia="zh-CN" w:bidi="ar"/>
                    </w:rPr>
                    <w:t>12</w:t>
                  </w:r>
                  <w:r>
                    <w:rPr>
                      <w:color w:val="auto"/>
                      <w:szCs w:val="21"/>
                      <w:lang w:bidi="ar"/>
                    </w:rPr>
                    <w:t>000m</w:t>
                  </w:r>
                  <w:r>
                    <w:rPr>
                      <w:color w:val="auto"/>
                      <w:szCs w:val="21"/>
                      <w:vertAlign w:val="superscript"/>
                      <w:lang w:bidi="ar"/>
                    </w:rPr>
                    <w:t>3</w:t>
                  </w:r>
                  <w:r>
                    <w:rPr>
                      <w:color w:val="auto"/>
                      <w:szCs w:val="21"/>
                      <w:lang w:bidi="ar"/>
                    </w:rPr>
                    <w:t>/h</w:t>
                  </w:r>
                </w:p>
              </w:tc>
              <w:tc>
                <w:tcPr>
                  <w:tcW w:w="325" w:type="pct"/>
                  <w:tcBorders>
                    <w:top w:val="single" w:color="auto" w:sz="4" w:space="0"/>
                    <w:left w:val="single" w:color="auto" w:sz="4" w:space="0"/>
                    <w:bottom w:val="single" w:color="auto" w:sz="4" w:space="0"/>
                    <w:right w:val="single" w:color="auto" w:sz="4" w:space="0"/>
                  </w:tcBorders>
                  <w:shd w:val="clear" w:color="auto" w:fill="auto"/>
                  <w:vAlign w:val="center"/>
                </w:tcPr>
                <w:p w14:paraId="3CF41F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lang w:bidi="ar"/>
                    </w:rPr>
                    <w:t>1</w:t>
                  </w:r>
                  <w:r>
                    <w:rPr>
                      <w:rFonts w:hint="eastAsia" w:hAnsi="宋体" w:cs="宋体"/>
                      <w:color w:val="auto"/>
                      <w:szCs w:val="21"/>
                      <w:lang w:bidi="ar"/>
                    </w:rPr>
                    <w:t>套</w:t>
                  </w:r>
                </w:p>
              </w:tc>
              <w:tc>
                <w:tcPr>
                  <w:tcW w:w="530" w:type="pct"/>
                  <w:tcBorders>
                    <w:top w:val="single" w:color="auto" w:sz="4" w:space="0"/>
                    <w:left w:val="single" w:color="auto" w:sz="4" w:space="0"/>
                    <w:bottom w:val="single" w:color="auto" w:sz="4" w:space="0"/>
                    <w:right w:val="single" w:color="auto" w:sz="4" w:space="0"/>
                  </w:tcBorders>
                  <w:shd w:val="clear" w:color="auto" w:fill="auto"/>
                  <w:vAlign w:val="center"/>
                </w:tcPr>
                <w:p w14:paraId="3F3F35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新建</w:t>
                  </w:r>
                </w:p>
              </w:tc>
              <w:tc>
                <w:tcPr>
                  <w:tcW w:w="35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D6D4DE">
                  <w:pPr>
                    <w:keepNext w:val="0"/>
                    <w:keepLines w:val="0"/>
                    <w:pageBreakBefore w:val="0"/>
                    <w:widowControl w:val="0"/>
                    <w:kinsoku/>
                    <w:wordWrap/>
                    <w:overflowPunct/>
                    <w:topLinePunct w:val="0"/>
                    <w:autoSpaceDE/>
                    <w:autoSpaceDN/>
                    <w:bidi w:val="0"/>
                    <w:adjustRightInd w:val="0"/>
                    <w:snapToGrid w:val="0"/>
                    <w:ind w:firstLine="0" w:firstLineChars="0"/>
                    <w:textAlignment w:val="auto"/>
                    <w:rPr>
                      <w:color w:val="auto"/>
                      <w:sz w:val="20"/>
                      <w:szCs w:val="20"/>
                    </w:rPr>
                  </w:pPr>
                </w:p>
              </w:tc>
              <w:tc>
                <w:tcPr>
                  <w:tcW w:w="1059" w:type="pct"/>
                  <w:vMerge w:val="continue"/>
                  <w:tcBorders>
                    <w:top w:val="single" w:color="auto" w:sz="4" w:space="0"/>
                    <w:left w:val="single" w:color="auto" w:sz="4" w:space="0"/>
                    <w:bottom w:val="single" w:color="auto" w:sz="4" w:space="0"/>
                    <w:right w:val="nil"/>
                  </w:tcBorders>
                  <w:shd w:val="clear" w:color="auto" w:fill="auto"/>
                  <w:vAlign w:val="center"/>
                </w:tcPr>
                <w:p w14:paraId="57DECC1B">
                  <w:pPr>
                    <w:keepNext w:val="0"/>
                    <w:keepLines w:val="0"/>
                    <w:pageBreakBefore w:val="0"/>
                    <w:widowControl w:val="0"/>
                    <w:kinsoku/>
                    <w:wordWrap/>
                    <w:overflowPunct/>
                    <w:topLinePunct w:val="0"/>
                    <w:autoSpaceDE/>
                    <w:autoSpaceDN/>
                    <w:bidi w:val="0"/>
                    <w:adjustRightInd w:val="0"/>
                    <w:snapToGrid w:val="0"/>
                    <w:ind w:firstLine="0" w:firstLineChars="0"/>
                    <w:textAlignment w:val="auto"/>
                    <w:rPr>
                      <w:color w:val="auto"/>
                      <w:sz w:val="20"/>
                      <w:szCs w:val="20"/>
                    </w:rPr>
                  </w:pPr>
                </w:p>
              </w:tc>
              <w:tc>
                <w:tcPr>
                  <w:tcW w:w="323" w:type="pct"/>
                  <w:vMerge w:val="continue"/>
                  <w:tcBorders>
                    <w:top w:val="single" w:color="auto" w:sz="4" w:space="0"/>
                    <w:left w:val="single" w:color="auto" w:sz="4" w:space="0"/>
                    <w:bottom w:val="single" w:color="auto" w:sz="12" w:space="0"/>
                    <w:right w:val="nil"/>
                  </w:tcBorders>
                  <w:shd w:val="clear" w:color="auto" w:fill="auto"/>
                  <w:vAlign w:val="center"/>
                </w:tcPr>
                <w:p w14:paraId="5A40D2D1">
                  <w:pPr>
                    <w:keepNext w:val="0"/>
                    <w:keepLines w:val="0"/>
                    <w:pageBreakBefore w:val="0"/>
                    <w:widowControl w:val="0"/>
                    <w:kinsoku/>
                    <w:wordWrap/>
                    <w:overflowPunct/>
                    <w:topLinePunct w:val="0"/>
                    <w:autoSpaceDE/>
                    <w:autoSpaceDN/>
                    <w:bidi w:val="0"/>
                    <w:adjustRightInd w:val="0"/>
                    <w:snapToGrid w:val="0"/>
                    <w:ind w:firstLine="0" w:firstLineChars="0"/>
                    <w:textAlignment w:val="auto"/>
                    <w:rPr>
                      <w:color w:val="auto"/>
                      <w:sz w:val="20"/>
                      <w:szCs w:val="20"/>
                    </w:rPr>
                  </w:pPr>
                </w:p>
              </w:tc>
            </w:tr>
            <w:tr w14:paraId="11F20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44" w:hRule="atLeast"/>
                <w:jc w:val="center"/>
              </w:trPr>
              <w:tc>
                <w:tcPr>
                  <w:tcW w:w="196" w:type="pct"/>
                  <w:vMerge w:val="continue"/>
                  <w:tcBorders>
                    <w:top w:val="single" w:color="auto" w:sz="4" w:space="0"/>
                    <w:left w:val="nil"/>
                    <w:bottom w:val="single" w:color="auto" w:sz="4" w:space="0"/>
                    <w:right w:val="single" w:color="auto" w:sz="4" w:space="0"/>
                  </w:tcBorders>
                  <w:shd w:val="clear" w:color="auto" w:fill="auto"/>
                  <w:vAlign w:val="center"/>
                </w:tcPr>
                <w:p w14:paraId="4849313B">
                  <w:pPr>
                    <w:keepNext w:val="0"/>
                    <w:keepLines w:val="0"/>
                    <w:pageBreakBefore w:val="0"/>
                    <w:widowControl w:val="0"/>
                    <w:kinsoku/>
                    <w:wordWrap/>
                    <w:overflowPunct/>
                    <w:topLinePunct w:val="0"/>
                    <w:autoSpaceDE/>
                    <w:autoSpaceDN/>
                    <w:bidi w:val="0"/>
                    <w:adjustRightInd w:val="0"/>
                    <w:snapToGrid w:val="0"/>
                    <w:ind w:firstLine="0" w:firstLineChars="0"/>
                    <w:textAlignment w:val="auto"/>
                    <w:rPr>
                      <w:color w:val="auto"/>
                      <w:sz w:val="20"/>
                      <w:szCs w:val="20"/>
                    </w:rPr>
                  </w:pPr>
                </w:p>
              </w:tc>
              <w:tc>
                <w:tcPr>
                  <w:tcW w:w="415" w:type="pct"/>
                  <w:vMerge w:val="continue"/>
                  <w:tcBorders>
                    <w:left w:val="single" w:color="auto" w:sz="4" w:space="0"/>
                    <w:bottom w:val="single" w:color="auto" w:sz="4" w:space="0"/>
                    <w:right w:val="single" w:color="auto" w:sz="4" w:space="0"/>
                  </w:tcBorders>
                  <w:shd w:val="clear" w:color="auto" w:fill="auto"/>
                  <w:vAlign w:val="center"/>
                </w:tcPr>
                <w:p w14:paraId="010E94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Ansi="宋体" w:cs="宋体"/>
                      <w:color w:val="auto"/>
                      <w:szCs w:val="21"/>
                      <w:lang w:bidi="ar"/>
                    </w:rPr>
                  </w:pPr>
                </w:p>
              </w:tc>
              <w:tc>
                <w:tcPr>
                  <w:tcW w:w="1307" w:type="pct"/>
                  <w:tcBorders>
                    <w:top w:val="single" w:color="auto" w:sz="4" w:space="0"/>
                    <w:left w:val="single" w:color="auto" w:sz="4" w:space="0"/>
                    <w:bottom w:val="single" w:color="auto" w:sz="4" w:space="0"/>
                    <w:right w:val="single" w:color="auto" w:sz="4" w:space="0"/>
                  </w:tcBorders>
                  <w:shd w:val="clear" w:color="auto" w:fill="auto"/>
                  <w:vAlign w:val="center"/>
                </w:tcPr>
                <w:p w14:paraId="0AF93B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hAnsi="宋体" w:eastAsia="宋体" w:cs="宋体"/>
                      <w:color w:val="auto"/>
                      <w:szCs w:val="21"/>
                      <w:lang w:eastAsia="zh-CN" w:bidi="ar"/>
                    </w:rPr>
                  </w:pPr>
                  <w:r>
                    <w:rPr>
                      <w:rFonts w:hint="eastAsia" w:hAnsi="宋体" w:cs="宋体"/>
                      <w:color w:val="auto"/>
                      <w:szCs w:val="21"/>
                      <w:lang w:eastAsia="zh-CN" w:bidi="ar"/>
                    </w:rPr>
                    <w:t>油烟净化器</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49E8CA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bidi="ar"/>
                    </w:rPr>
                    <w:t>6</w:t>
                  </w:r>
                  <w:r>
                    <w:rPr>
                      <w:color w:val="auto"/>
                      <w:szCs w:val="21"/>
                      <w:lang w:bidi="ar"/>
                    </w:rPr>
                    <w:t>000m</w:t>
                  </w:r>
                  <w:r>
                    <w:rPr>
                      <w:color w:val="auto"/>
                      <w:szCs w:val="21"/>
                      <w:vertAlign w:val="superscript"/>
                      <w:lang w:bidi="ar"/>
                    </w:rPr>
                    <w:t>3</w:t>
                  </w:r>
                  <w:r>
                    <w:rPr>
                      <w:color w:val="auto"/>
                      <w:szCs w:val="21"/>
                      <w:lang w:bidi="ar"/>
                    </w:rPr>
                    <w:t>/h</w:t>
                  </w:r>
                </w:p>
              </w:tc>
              <w:tc>
                <w:tcPr>
                  <w:tcW w:w="325" w:type="pct"/>
                  <w:tcBorders>
                    <w:top w:val="single" w:color="auto" w:sz="4" w:space="0"/>
                    <w:left w:val="single" w:color="auto" w:sz="4" w:space="0"/>
                    <w:bottom w:val="single" w:color="auto" w:sz="4" w:space="0"/>
                    <w:right w:val="single" w:color="auto" w:sz="4" w:space="0"/>
                  </w:tcBorders>
                  <w:shd w:val="clear" w:color="auto" w:fill="auto"/>
                  <w:vAlign w:val="center"/>
                </w:tcPr>
                <w:p w14:paraId="779F59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kern w:val="2"/>
                      <w:sz w:val="21"/>
                      <w:szCs w:val="21"/>
                      <w:lang w:val="en-US" w:eastAsia="zh-CN" w:bidi="ar-SA"/>
                    </w:rPr>
                  </w:pPr>
                  <w:r>
                    <w:rPr>
                      <w:color w:val="auto"/>
                      <w:szCs w:val="21"/>
                      <w:lang w:bidi="ar"/>
                    </w:rPr>
                    <w:t>1</w:t>
                  </w:r>
                  <w:r>
                    <w:rPr>
                      <w:rFonts w:hint="eastAsia" w:hAnsi="宋体" w:cs="宋体"/>
                      <w:color w:val="auto"/>
                      <w:szCs w:val="21"/>
                      <w:lang w:bidi="ar"/>
                    </w:rPr>
                    <w:t>套</w:t>
                  </w:r>
                </w:p>
              </w:tc>
              <w:tc>
                <w:tcPr>
                  <w:tcW w:w="530" w:type="pct"/>
                  <w:tcBorders>
                    <w:top w:val="single" w:color="auto" w:sz="4" w:space="0"/>
                    <w:left w:val="single" w:color="auto" w:sz="4" w:space="0"/>
                    <w:bottom w:val="single" w:color="auto" w:sz="4" w:space="0"/>
                    <w:right w:val="single" w:color="auto" w:sz="4" w:space="0"/>
                  </w:tcBorders>
                  <w:shd w:val="clear" w:color="auto" w:fill="auto"/>
                  <w:vAlign w:val="center"/>
                </w:tcPr>
                <w:p w14:paraId="08A144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hAnsi="宋体" w:cs="宋体"/>
                      <w:color w:val="auto"/>
                      <w:szCs w:val="21"/>
                      <w:lang w:bidi="ar"/>
                    </w:rPr>
                    <w:t>新建</w:t>
                  </w:r>
                </w:p>
              </w:tc>
              <w:tc>
                <w:tcPr>
                  <w:tcW w:w="35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6C56F4">
                  <w:pPr>
                    <w:keepNext w:val="0"/>
                    <w:keepLines w:val="0"/>
                    <w:pageBreakBefore w:val="0"/>
                    <w:widowControl w:val="0"/>
                    <w:kinsoku/>
                    <w:wordWrap/>
                    <w:overflowPunct/>
                    <w:topLinePunct w:val="0"/>
                    <w:autoSpaceDE/>
                    <w:autoSpaceDN/>
                    <w:bidi w:val="0"/>
                    <w:adjustRightInd w:val="0"/>
                    <w:snapToGrid w:val="0"/>
                    <w:ind w:firstLine="0" w:firstLineChars="0"/>
                    <w:textAlignment w:val="auto"/>
                    <w:rPr>
                      <w:color w:val="auto"/>
                      <w:sz w:val="20"/>
                      <w:szCs w:val="20"/>
                    </w:rPr>
                  </w:pPr>
                </w:p>
              </w:tc>
              <w:tc>
                <w:tcPr>
                  <w:tcW w:w="1059" w:type="pct"/>
                  <w:vMerge w:val="continue"/>
                  <w:tcBorders>
                    <w:top w:val="single" w:color="auto" w:sz="4" w:space="0"/>
                    <w:left w:val="single" w:color="auto" w:sz="4" w:space="0"/>
                    <w:bottom w:val="single" w:color="auto" w:sz="4" w:space="0"/>
                    <w:right w:val="nil"/>
                  </w:tcBorders>
                  <w:shd w:val="clear" w:color="auto" w:fill="auto"/>
                  <w:vAlign w:val="center"/>
                </w:tcPr>
                <w:p w14:paraId="26C63D86">
                  <w:pPr>
                    <w:keepNext w:val="0"/>
                    <w:keepLines w:val="0"/>
                    <w:pageBreakBefore w:val="0"/>
                    <w:widowControl w:val="0"/>
                    <w:kinsoku/>
                    <w:wordWrap/>
                    <w:overflowPunct/>
                    <w:topLinePunct w:val="0"/>
                    <w:autoSpaceDE/>
                    <w:autoSpaceDN/>
                    <w:bidi w:val="0"/>
                    <w:adjustRightInd w:val="0"/>
                    <w:snapToGrid w:val="0"/>
                    <w:ind w:firstLine="0" w:firstLineChars="0"/>
                    <w:textAlignment w:val="auto"/>
                    <w:rPr>
                      <w:color w:val="auto"/>
                      <w:sz w:val="20"/>
                      <w:szCs w:val="20"/>
                    </w:rPr>
                  </w:pPr>
                </w:p>
              </w:tc>
              <w:tc>
                <w:tcPr>
                  <w:tcW w:w="323" w:type="pct"/>
                  <w:vMerge w:val="continue"/>
                  <w:tcBorders>
                    <w:top w:val="single" w:color="auto" w:sz="4" w:space="0"/>
                    <w:left w:val="single" w:color="auto" w:sz="4" w:space="0"/>
                    <w:bottom w:val="single" w:color="auto" w:sz="12" w:space="0"/>
                    <w:right w:val="nil"/>
                  </w:tcBorders>
                  <w:shd w:val="clear" w:color="auto" w:fill="auto"/>
                  <w:vAlign w:val="center"/>
                </w:tcPr>
                <w:p w14:paraId="757577FA">
                  <w:pPr>
                    <w:keepNext w:val="0"/>
                    <w:keepLines w:val="0"/>
                    <w:pageBreakBefore w:val="0"/>
                    <w:widowControl w:val="0"/>
                    <w:kinsoku/>
                    <w:wordWrap/>
                    <w:overflowPunct/>
                    <w:topLinePunct w:val="0"/>
                    <w:autoSpaceDE/>
                    <w:autoSpaceDN/>
                    <w:bidi w:val="0"/>
                    <w:adjustRightInd w:val="0"/>
                    <w:snapToGrid w:val="0"/>
                    <w:ind w:firstLine="0" w:firstLineChars="0"/>
                    <w:textAlignment w:val="auto"/>
                    <w:rPr>
                      <w:color w:val="auto"/>
                      <w:sz w:val="20"/>
                      <w:szCs w:val="20"/>
                    </w:rPr>
                  </w:pPr>
                </w:p>
              </w:tc>
            </w:tr>
            <w:tr w14:paraId="1A0FA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44" w:hRule="atLeast"/>
                <w:jc w:val="center"/>
              </w:trPr>
              <w:tc>
                <w:tcPr>
                  <w:tcW w:w="196" w:type="pct"/>
                  <w:vMerge w:val="continue"/>
                  <w:tcBorders>
                    <w:top w:val="single" w:color="auto" w:sz="4" w:space="0"/>
                    <w:left w:val="nil"/>
                    <w:bottom w:val="single" w:color="auto" w:sz="4" w:space="0"/>
                    <w:right w:val="single" w:color="auto" w:sz="4" w:space="0"/>
                  </w:tcBorders>
                  <w:shd w:val="clear" w:color="auto" w:fill="auto"/>
                  <w:vAlign w:val="center"/>
                </w:tcPr>
                <w:p w14:paraId="5EFCDF7F">
                  <w:pPr>
                    <w:keepNext w:val="0"/>
                    <w:keepLines w:val="0"/>
                    <w:pageBreakBefore w:val="0"/>
                    <w:widowControl w:val="0"/>
                    <w:kinsoku/>
                    <w:wordWrap/>
                    <w:overflowPunct/>
                    <w:topLinePunct w:val="0"/>
                    <w:autoSpaceDE/>
                    <w:autoSpaceDN/>
                    <w:bidi w:val="0"/>
                    <w:adjustRightInd w:val="0"/>
                    <w:snapToGrid w:val="0"/>
                    <w:ind w:firstLine="0" w:firstLineChars="0"/>
                    <w:textAlignment w:val="auto"/>
                    <w:rPr>
                      <w:color w:val="auto"/>
                      <w:sz w:val="20"/>
                      <w:szCs w:val="20"/>
                    </w:rPr>
                  </w:pPr>
                </w:p>
              </w:tc>
              <w:tc>
                <w:tcPr>
                  <w:tcW w:w="415" w:type="pct"/>
                  <w:tcBorders>
                    <w:top w:val="single" w:color="auto" w:sz="4" w:space="0"/>
                    <w:left w:val="single" w:color="auto" w:sz="4" w:space="0"/>
                    <w:bottom w:val="single" w:color="auto" w:sz="4" w:space="0"/>
                    <w:right w:val="single" w:color="auto" w:sz="4" w:space="0"/>
                  </w:tcBorders>
                  <w:shd w:val="clear" w:color="auto" w:fill="auto"/>
                  <w:vAlign w:val="center"/>
                </w:tcPr>
                <w:p w14:paraId="39EFB9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排气口规范化</w:t>
                  </w:r>
                </w:p>
              </w:tc>
              <w:tc>
                <w:tcPr>
                  <w:tcW w:w="1307" w:type="pct"/>
                  <w:tcBorders>
                    <w:top w:val="single" w:color="auto" w:sz="4" w:space="0"/>
                    <w:left w:val="single" w:color="auto" w:sz="4" w:space="0"/>
                    <w:bottom w:val="single" w:color="auto" w:sz="4" w:space="0"/>
                    <w:right w:val="single" w:color="auto" w:sz="4" w:space="0"/>
                  </w:tcBorders>
                  <w:shd w:val="clear" w:color="auto" w:fill="auto"/>
                  <w:vAlign w:val="center"/>
                </w:tcPr>
                <w:p w14:paraId="55C14F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lang w:bidi="ar"/>
                    </w:rPr>
                    <w:t>a.</w:t>
                  </w:r>
                  <w:r>
                    <w:rPr>
                      <w:rFonts w:hint="eastAsia" w:hAnsi="宋体" w:cs="宋体"/>
                      <w:color w:val="auto"/>
                      <w:szCs w:val="21"/>
                      <w:lang w:bidi="ar"/>
                    </w:rPr>
                    <w:t>排气筒应设置便于采样、监测的采样口、监测平台；在净化设施前同样设采样口；</w:t>
                  </w:r>
                </w:p>
                <w:p w14:paraId="416835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lang w:bidi="ar"/>
                    </w:rPr>
                    <w:t>b.</w:t>
                  </w:r>
                  <w:r>
                    <w:rPr>
                      <w:rFonts w:hint="eastAsia" w:hAnsi="宋体" w:cs="宋体"/>
                      <w:color w:val="auto"/>
                      <w:szCs w:val="21"/>
                      <w:lang w:bidi="ar"/>
                    </w:rPr>
                    <w:t>在排气筒附近醒目处</w:t>
                  </w:r>
                  <w:r>
                    <w:rPr>
                      <w:rFonts w:hint="eastAsia" w:hAnsi="宋体" w:cs="宋体"/>
                      <w:color w:val="auto"/>
                      <w:szCs w:val="21"/>
                      <w:lang w:eastAsia="zh-CN" w:bidi="ar"/>
                    </w:rPr>
                    <w:t>设立</w:t>
                  </w:r>
                  <w:r>
                    <w:rPr>
                      <w:rFonts w:hint="eastAsia" w:hAnsi="宋体" w:cs="宋体"/>
                      <w:color w:val="auto"/>
                      <w:szCs w:val="21"/>
                      <w:lang w:bidi="ar"/>
                    </w:rPr>
                    <w:t>环境保护图形标志牌。</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13F3C4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lang w:bidi="ar"/>
                    </w:rPr>
                    <w:t>/</w:t>
                  </w:r>
                </w:p>
              </w:tc>
              <w:tc>
                <w:tcPr>
                  <w:tcW w:w="325" w:type="pct"/>
                  <w:tcBorders>
                    <w:top w:val="single" w:color="auto" w:sz="4" w:space="0"/>
                    <w:left w:val="single" w:color="auto" w:sz="4" w:space="0"/>
                    <w:bottom w:val="single" w:color="auto" w:sz="4" w:space="0"/>
                    <w:right w:val="single" w:color="auto" w:sz="4" w:space="0"/>
                  </w:tcBorders>
                  <w:shd w:val="clear" w:color="auto" w:fill="auto"/>
                  <w:vAlign w:val="center"/>
                </w:tcPr>
                <w:p w14:paraId="35C1BB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lang w:bidi="ar"/>
                    </w:rPr>
                    <w:t>1</w:t>
                  </w:r>
                  <w:r>
                    <w:rPr>
                      <w:rFonts w:hint="eastAsia" w:hAnsi="宋体" w:cs="宋体"/>
                      <w:color w:val="auto"/>
                      <w:szCs w:val="21"/>
                      <w:lang w:bidi="ar"/>
                    </w:rPr>
                    <w:t>套</w:t>
                  </w:r>
                </w:p>
              </w:tc>
              <w:tc>
                <w:tcPr>
                  <w:tcW w:w="530" w:type="pct"/>
                  <w:tcBorders>
                    <w:top w:val="single" w:color="auto" w:sz="4" w:space="0"/>
                    <w:left w:val="single" w:color="auto" w:sz="4" w:space="0"/>
                    <w:bottom w:val="single" w:color="auto" w:sz="4" w:space="0"/>
                    <w:right w:val="single" w:color="auto" w:sz="4" w:space="0"/>
                  </w:tcBorders>
                  <w:shd w:val="clear" w:color="auto" w:fill="auto"/>
                  <w:vAlign w:val="center"/>
                </w:tcPr>
                <w:p w14:paraId="6C358D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新建</w:t>
                  </w:r>
                </w:p>
              </w:tc>
              <w:tc>
                <w:tcPr>
                  <w:tcW w:w="35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CCF4B0">
                  <w:pPr>
                    <w:keepNext w:val="0"/>
                    <w:keepLines w:val="0"/>
                    <w:pageBreakBefore w:val="0"/>
                    <w:widowControl w:val="0"/>
                    <w:kinsoku/>
                    <w:wordWrap/>
                    <w:overflowPunct/>
                    <w:topLinePunct w:val="0"/>
                    <w:autoSpaceDE/>
                    <w:autoSpaceDN/>
                    <w:bidi w:val="0"/>
                    <w:adjustRightInd w:val="0"/>
                    <w:snapToGrid w:val="0"/>
                    <w:ind w:firstLine="0" w:firstLineChars="0"/>
                    <w:textAlignment w:val="auto"/>
                    <w:rPr>
                      <w:color w:val="auto"/>
                      <w:sz w:val="20"/>
                      <w:szCs w:val="20"/>
                    </w:rPr>
                  </w:pPr>
                </w:p>
              </w:tc>
              <w:tc>
                <w:tcPr>
                  <w:tcW w:w="1059" w:type="pct"/>
                  <w:vMerge w:val="continue"/>
                  <w:tcBorders>
                    <w:top w:val="single" w:color="auto" w:sz="4" w:space="0"/>
                    <w:left w:val="single" w:color="auto" w:sz="4" w:space="0"/>
                    <w:bottom w:val="single" w:color="auto" w:sz="4" w:space="0"/>
                    <w:right w:val="nil"/>
                  </w:tcBorders>
                  <w:shd w:val="clear" w:color="auto" w:fill="auto"/>
                  <w:vAlign w:val="center"/>
                </w:tcPr>
                <w:p w14:paraId="0726D9F7">
                  <w:pPr>
                    <w:keepNext w:val="0"/>
                    <w:keepLines w:val="0"/>
                    <w:pageBreakBefore w:val="0"/>
                    <w:widowControl w:val="0"/>
                    <w:kinsoku/>
                    <w:wordWrap/>
                    <w:overflowPunct/>
                    <w:topLinePunct w:val="0"/>
                    <w:autoSpaceDE/>
                    <w:autoSpaceDN/>
                    <w:bidi w:val="0"/>
                    <w:adjustRightInd w:val="0"/>
                    <w:snapToGrid w:val="0"/>
                    <w:ind w:firstLine="0" w:firstLineChars="0"/>
                    <w:textAlignment w:val="auto"/>
                    <w:rPr>
                      <w:color w:val="auto"/>
                      <w:sz w:val="20"/>
                      <w:szCs w:val="20"/>
                    </w:rPr>
                  </w:pPr>
                </w:p>
              </w:tc>
              <w:tc>
                <w:tcPr>
                  <w:tcW w:w="323" w:type="pct"/>
                  <w:vMerge w:val="continue"/>
                  <w:tcBorders>
                    <w:top w:val="single" w:color="auto" w:sz="4" w:space="0"/>
                    <w:left w:val="single" w:color="auto" w:sz="4" w:space="0"/>
                    <w:bottom w:val="single" w:color="auto" w:sz="12" w:space="0"/>
                    <w:right w:val="nil"/>
                  </w:tcBorders>
                  <w:shd w:val="clear" w:color="auto" w:fill="auto"/>
                  <w:vAlign w:val="center"/>
                </w:tcPr>
                <w:p w14:paraId="0C26B3B6">
                  <w:pPr>
                    <w:keepNext w:val="0"/>
                    <w:keepLines w:val="0"/>
                    <w:pageBreakBefore w:val="0"/>
                    <w:widowControl w:val="0"/>
                    <w:kinsoku/>
                    <w:wordWrap/>
                    <w:overflowPunct/>
                    <w:topLinePunct w:val="0"/>
                    <w:autoSpaceDE/>
                    <w:autoSpaceDN/>
                    <w:bidi w:val="0"/>
                    <w:adjustRightInd w:val="0"/>
                    <w:snapToGrid w:val="0"/>
                    <w:ind w:firstLine="0" w:firstLineChars="0"/>
                    <w:textAlignment w:val="auto"/>
                    <w:rPr>
                      <w:color w:val="auto"/>
                      <w:sz w:val="20"/>
                      <w:szCs w:val="20"/>
                    </w:rPr>
                  </w:pPr>
                </w:p>
              </w:tc>
            </w:tr>
            <w:tr w14:paraId="435BD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2" w:hRule="atLeast"/>
                <w:jc w:val="center"/>
              </w:trPr>
              <w:tc>
                <w:tcPr>
                  <w:tcW w:w="196" w:type="pct"/>
                  <w:vMerge w:val="restart"/>
                  <w:tcBorders>
                    <w:top w:val="single" w:color="auto" w:sz="4" w:space="0"/>
                    <w:left w:val="nil"/>
                    <w:bottom w:val="single" w:color="auto" w:sz="4" w:space="0"/>
                    <w:right w:val="single" w:color="auto" w:sz="4" w:space="0"/>
                  </w:tcBorders>
                  <w:shd w:val="clear" w:color="auto" w:fill="auto"/>
                  <w:vAlign w:val="center"/>
                </w:tcPr>
                <w:p w14:paraId="32328AF5">
                  <w:pPr>
                    <w:keepNext w:val="0"/>
                    <w:keepLines w:val="0"/>
                    <w:pageBreakBefore w:val="0"/>
                    <w:widowControl w:val="0"/>
                    <w:kinsoku/>
                    <w:wordWrap/>
                    <w:overflowPunct/>
                    <w:topLinePunct w:val="0"/>
                    <w:autoSpaceDE/>
                    <w:autoSpaceDN/>
                    <w:bidi w:val="0"/>
                    <w:adjustRightInd w:val="0"/>
                    <w:snapToGrid w:val="0"/>
                    <w:ind w:left="-111" w:leftChars="-53" w:right="-113" w:rightChars="-54" w:firstLine="0" w:firstLineChars="0"/>
                    <w:jc w:val="center"/>
                    <w:textAlignment w:val="auto"/>
                    <w:rPr>
                      <w:color w:val="auto"/>
                      <w:szCs w:val="21"/>
                    </w:rPr>
                  </w:pPr>
                  <w:r>
                    <w:rPr>
                      <w:rFonts w:hint="eastAsia" w:hAnsi="宋体" w:cs="宋体"/>
                      <w:color w:val="auto"/>
                      <w:szCs w:val="21"/>
                      <w:lang w:bidi="ar"/>
                    </w:rPr>
                    <w:t>废</w:t>
                  </w:r>
                </w:p>
                <w:p w14:paraId="75844DF7">
                  <w:pPr>
                    <w:keepNext w:val="0"/>
                    <w:keepLines w:val="0"/>
                    <w:pageBreakBefore w:val="0"/>
                    <w:widowControl w:val="0"/>
                    <w:kinsoku/>
                    <w:wordWrap/>
                    <w:overflowPunct/>
                    <w:topLinePunct w:val="0"/>
                    <w:autoSpaceDE/>
                    <w:autoSpaceDN/>
                    <w:bidi w:val="0"/>
                    <w:adjustRightInd w:val="0"/>
                    <w:snapToGrid w:val="0"/>
                    <w:ind w:left="-111" w:leftChars="-53" w:right="-113" w:rightChars="-54" w:firstLine="0" w:firstLineChars="0"/>
                    <w:jc w:val="center"/>
                    <w:textAlignment w:val="auto"/>
                    <w:rPr>
                      <w:color w:val="auto"/>
                      <w:szCs w:val="21"/>
                    </w:rPr>
                  </w:pPr>
                  <w:r>
                    <w:rPr>
                      <w:rFonts w:hint="eastAsia" w:hAnsi="宋体" w:cs="宋体"/>
                      <w:color w:val="auto"/>
                      <w:szCs w:val="21"/>
                      <w:lang w:bidi="ar"/>
                    </w:rPr>
                    <w:t>水</w:t>
                  </w:r>
                </w:p>
              </w:tc>
              <w:tc>
                <w:tcPr>
                  <w:tcW w:w="415" w:type="pct"/>
                  <w:tcBorders>
                    <w:top w:val="single" w:color="auto" w:sz="4" w:space="0"/>
                    <w:left w:val="single" w:color="auto" w:sz="4" w:space="0"/>
                    <w:bottom w:val="single" w:color="auto" w:sz="4" w:space="0"/>
                    <w:right w:val="single" w:color="auto" w:sz="4" w:space="0"/>
                  </w:tcBorders>
                  <w:shd w:val="clear" w:color="auto" w:fill="auto"/>
                  <w:vAlign w:val="center"/>
                </w:tcPr>
                <w:p w14:paraId="33E6BD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排水</w:t>
                  </w:r>
                </w:p>
                <w:p w14:paraId="25D774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收集系统</w:t>
                  </w:r>
                </w:p>
              </w:tc>
              <w:tc>
                <w:tcPr>
                  <w:tcW w:w="1307" w:type="pct"/>
                  <w:tcBorders>
                    <w:top w:val="single" w:color="auto" w:sz="4" w:space="0"/>
                    <w:left w:val="single" w:color="auto" w:sz="4" w:space="0"/>
                    <w:bottom w:val="single" w:color="auto" w:sz="4" w:space="0"/>
                    <w:right w:val="single" w:color="auto" w:sz="4" w:space="0"/>
                  </w:tcBorders>
                  <w:shd w:val="clear" w:color="auto" w:fill="auto"/>
                  <w:vAlign w:val="center"/>
                </w:tcPr>
                <w:p w14:paraId="3E324C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按照雨污分流原则建设排水管网</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67839E5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lang w:bidi="ar"/>
                    </w:rPr>
                    <w:t>/</w:t>
                  </w:r>
                </w:p>
              </w:tc>
              <w:tc>
                <w:tcPr>
                  <w:tcW w:w="325" w:type="pct"/>
                  <w:tcBorders>
                    <w:top w:val="single" w:color="auto" w:sz="4" w:space="0"/>
                    <w:left w:val="single" w:color="auto" w:sz="4" w:space="0"/>
                    <w:bottom w:val="single" w:color="auto" w:sz="4" w:space="0"/>
                    <w:right w:val="single" w:color="auto" w:sz="4" w:space="0"/>
                  </w:tcBorders>
                  <w:shd w:val="clear" w:color="auto" w:fill="auto"/>
                  <w:vAlign w:val="center"/>
                </w:tcPr>
                <w:p w14:paraId="0E995C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lang w:bidi="ar"/>
                    </w:rPr>
                    <w:t>1</w:t>
                  </w:r>
                  <w:r>
                    <w:rPr>
                      <w:rFonts w:hint="eastAsia" w:hAnsi="宋体" w:cs="宋体"/>
                      <w:color w:val="auto"/>
                      <w:szCs w:val="21"/>
                      <w:lang w:bidi="ar"/>
                    </w:rPr>
                    <w:t>套</w:t>
                  </w:r>
                </w:p>
              </w:tc>
              <w:tc>
                <w:tcPr>
                  <w:tcW w:w="530" w:type="pct"/>
                  <w:tcBorders>
                    <w:top w:val="single" w:color="auto" w:sz="4" w:space="0"/>
                    <w:left w:val="single" w:color="auto" w:sz="4" w:space="0"/>
                    <w:bottom w:val="single" w:color="auto" w:sz="4" w:space="0"/>
                    <w:right w:val="single" w:color="auto" w:sz="4" w:space="0"/>
                  </w:tcBorders>
                  <w:shd w:val="clear" w:color="auto" w:fill="auto"/>
                  <w:vAlign w:val="center"/>
                </w:tcPr>
                <w:p w14:paraId="296A78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依托出租方现有</w:t>
                  </w:r>
                </w:p>
              </w:tc>
              <w:tc>
                <w:tcPr>
                  <w:tcW w:w="351" w:type="pct"/>
                  <w:tcBorders>
                    <w:top w:val="single" w:color="auto" w:sz="4" w:space="0"/>
                    <w:left w:val="single" w:color="auto" w:sz="4" w:space="0"/>
                    <w:bottom w:val="single" w:color="auto" w:sz="4" w:space="0"/>
                    <w:right w:val="single" w:color="auto" w:sz="4" w:space="0"/>
                  </w:tcBorders>
                  <w:shd w:val="clear" w:color="auto" w:fill="auto"/>
                  <w:vAlign w:val="center"/>
                </w:tcPr>
                <w:p w14:paraId="088CA2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lang w:bidi="ar"/>
                    </w:rPr>
                    <w:t>/</w:t>
                  </w:r>
                </w:p>
              </w:tc>
              <w:tc>
                <w:tcPr>
                  <w:tcW w:w="1059" w:type="pct"/>
                  <w:tcBorders>
                    <w:top w:val="single" w:color="auto" w:sz="4" w:space="0"/>
                    <w:left w:val="single" w:color="auto" w:sz="4" w:space="0"/>
                    <w:bottom w:val="single" w:color="auto" w:sz="4" w:space="0"/>
                    <w:right w:val="nil"/>
                  </w:tcBorders>
                  <w:shd w:val="clear" w:color="auto" w:fill="auto"/>
                  <w:vAlign w:val="center"/>
                </w:tcPr>
                <w:p w14:paraId="6191B0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Cs/>
                      <w:color w:val="auto"/>
                      <w:szCs w:val="21"/>
                    </w:rPr>
                  </w:pPr>
                  <w:r>
                    <w:rPr>
                      <w:bCs/>
                      <w:color w:val="auto"/>
                      <w:szCs w:val="21"/>
                      <w:lang w:bidi="ar"/>
                    </w:rPr>
                    <w:t>/</w:t>
                  </w:r>
                </w:p>
              </w:tc>
              <w:tc>
                <w:tcPr>
                  <w:tcW w:w="323" w:type="pct"/>
                  <w:vMerge w:val="continue"/>
                  <w:tcBorders>
                    <w:top w:val="single" w:color="auto" w:sz="4" w:space="0"/>
                    <w:left w:val="single" w:color="auto" w:sz="4" w:space="0"/>
                    <w:bottom w:val="single" w:color="auto" w:sz="12" w:space="0"/>
                    <w:right w:val="nil"/>
                  </w:tcBorders>
                  <w:shd w:val="clear" w:color="auto" w:fill="auto"/>
                  <w:vAlign w:val="center"/>
                </w:tcPr>
                <w:p w14:paraId="7B33FBDD">
                  <w:pPr>
                    <w:keepNext w:val="0"/>
                    <w:keepLines w:val="0"/>
                    <w:pageBreakBefore w:val="0"/>
                    <w:widowControl w:val="0"/>
                    <w:kinsoku/>
                    <w:wordWrap/>
                    <w:overflowPunct/>
                    <w:topLinePunct w:val="0"/>
                    <w:autoSpaceDE/>
                    <w:autoSpaceDN/>
                    <w:bidi w:val="0"/>
                    <w:adjustRightInd w:val="0"/>
                    <w:snapToGrid w:val="0"/>
                    <w:ind w:firstLine="0" w:firstLineChars="0"/>
                    <w:textAlignment w:val="auto"/>
                    <w:rPr>
                      <w:color w:val="auto"/>
                      <w:sz w:val="20"/>
                      <w:szCs w:val="20"/>
                    </w:rPr>
                  </w:pPr>
                </w:p>
              </w:tc>
            </w:tr>
            <w:tr w14:paraId="14B87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0" w:hRule="atLeast"/>
                <w:jc w:val="center"/>
              </w:trPr>
              <w:tc>
                <w:tcPr>
                  <w:tcW w:w="196" w:type="pct"/>
                  <w:vMerge w:val="continue"/>
                  <w:tcBorders>
                    <w:top w:val="single" w:color="auto" w:sz="4" w:space="0"/>
                    <w:left w:val="nil"/>
                    <w:bottom w:val="single" w:color="auto" w:sz="4" w:space="0"/>
                    <w:right w:val="single" w:color="auto" w:sz="4" w:space="0"/>
                  </w:tcBorders>
                  <w:shd w:val="clear" w:color="auto" w:fill="auto"/>
                  <w:vAlign w:val="center"/>
                </w:tcPr>
                <w:p w14:paraId="030BB3CB">
                  <w:pPr>
                    <w:keepNext w:val="0"/>
                    <w:keepLines w:val="0"/>
                    <w:pageBreakBefore w:val="0"/>
                    <w:widowControl w:val="0"/>
                    <w:kinsoku/>
                    <w:wordWrap/>
                    <w:overflowPunct/>
                    <w:topLinePunct w:val="0"/>
                    <w:autoSpaceDE/>
                    <w:autoSpaceDN/>
                    <w:bidi w:val="0"/>
                    <w:adjustRightInd w:val="0"/>
                    <w:snapToGrid w:val="0"/>
                    <w:ind w:firstLine="0" w:firstLineChars="0"/>
                    <w:textAlignment w:val="auto"/>
                    <w:rPr>
                      <w:color w:val="auto"/>
                      <w:sz w:val="20"/>
                      <w:szCs w:val="20"/>
                    </w:rPr>
                  </w:pPr>
                </w:p>
              </w:tc>
              <w:tc>
                <w:tcPr>
                  <w:tcW w:w="415" w:type="pct"/>
                  <w:vMerge w:val="restart"/>
                  <w:tcBorders>
                    <w:top w:val="single" w:color="auto" w:sz="4" w:space="0"/>
                    <w:left w:val="single" w:color="auto" w:sz="4" w:space="0"/>
                    <w:right w:val="single" w:color="auto" w:sz="4" w:space="0"/>
                  </w:tcBorders>
                  <w:shd w:val="clear" w:color="auto" w:fill="auto"/>
                  <w:vAlign w:val="center"/>
                </w:tcPr>
                <w:p w14:paraId="6090E4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生活污水预处理</w:t>
                  </w:r>
                </w:p>
              </w:tc>
              <w:tc>
                <w:tcPr>
                  <w:tcW w:w="1307" w:type="pct"/>
                  <w:tcBorders>
                    <w:top w:val="single" w:color="auto" w:sz="4" w:space="0"/>
                    <w:left w:val="single" w:color="auto" w:sz="4" w:space="0"/>
                    <w:bottom w:val="single" w:color="auto" w:sz="4" w:space="0"/>
                    <w:right w:val="single" w:color="auto" w:sz="4" w:space="0"/>
                  </w:tcBorders>
                  <w:shd w:val="clear" w:color="auto" w:fill="auto"/>
                  <w:vAlign w:val="center"/>
                </w:tcPr>
                <w:p w14:paraId="4ABEC5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化粪池</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7DFF35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kern w:val="0"/>
                      <w:szCs w:val="21"/>
                      <w:lang w:val="zh-CN"/>
                    </w:rPr>
                  </w:pPr>
                  <w:r>
                    <w:rPr>
                      <w:rFonts w:hint="eastAsia"/>
                      <w:color w:val="auto"/>
                      <w:kern w:val="0"/>
                      <w:szCs w:val="21"/>
                      <w:lang w:val="en-US" w:eastAsia="zh-CN" w:bidi="ar"/>
                    </w:rPr>
                    <w:t>10</w:t>
                  </w:r>
                  <w:r>
                    <w:rPr>
                      <w:color w:val="auto"/>
                      <w:kern w:val="0"/>
                      <w:szCs w:val="21"/>
                      <w:lang w:val="zh-CN" w:bidi="ar"/>
                    </w:rPr>
                    <w:t>t/d</w:t>
                  </w:r>
                </w:p>
              </w:tc>
              <w:tc>
                <w:tcPr>
                  <w:tcW w:w="325" w:type="pct"/>
                  <w:tcBorders>
                    <w:top w:val="single" w:color="auto" w:sz="4" w:space="0"/>
                    <w:left w:val="single" w:color="auto" w:sz="4" w:space="0"/>
                    <w:bottom w:val="single" w:color="auto" w:sz="4" w:space="0"/>
                    <w:right w:val="single" w:color="auto" w:sz="4" w:space="0"/>
                  </w:tcBorders>
                  <w:shd w:val="clear" w:color="auto" w:fill="auto"/>
                  <w:vAlign w:val="center"/>
                </w:tcPr>
                <w:p w14:paraId="06718D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lang w:bidi="ar"/>
                    </w:rPr>
                    <w:t>1</w:t>
                  </w:r>
                  <w:r>
                    <w:rPr>
                      <w:rFonts w:hint="eastAsia" w:hAnsi="宋体" w:cs="宋体"/>
                      <w:color w:val="auto"/>
                      <w:szCs w:val="21"/>
                      <w:lang w:bidi="ar"/>
                    </w:rPr>
                    <w:t>个</w:t>
                  </w:r>
                </w:p>
              </w:tc>
              <w:tc>
                <w:tcPr>
                  <w:tcW w:w="530" w:type="pct"/>
                  <w:tcBorders>
                    <w:top w:val="single" w:color="auto" w:sz="4" w:space="0"/>
                    <w:left w:val="single" w:color="auto" w:sz="4" w:space="0"/>
                    <w:bottom w:val="single" w:color="auto" w:sz="4" w:space="0"/>
                    <w:right w:val="single" w:color="auto" w:sz="4" w:space="0"/>
                  </w:tcBorders>
                  <w:shd w:val="clear" w:color="auto" w:fill="auto"/>
                  <w:vAlign w:val="center"/>
                </w:tcPr>
                <w:p w14:paraId="76A2C8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新建</w:t>
                  </w:r>
                </w:p>
              </w:tc>
              <w:tc>
                <w:tcPr>
                  <w:tcW w:w="351" w:type="pct"/>
                  <w:tcBorders>
                    <w:top w:val="single" w:color="auto" w:sz="4" w:space="0"/>
                    <w:left w:val="single" w:color="auto" w:sz="4" w:space="0"/>
                    <w:bottom w:val="single" w:color="auto" w:sz="4" w:space="0"/>
                    <w:right w:val="single" w:color="auto" w:sz="4" w:space="0"/>
                  </w:tcBorders>
                  <w:shd w:val="clear" w:color="auto" w:fill="auto"/>
                  <w:vAlign w:val="center"/>
                </w:tcPr>
                <w:p w14:paraId="326C79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lang w:bidi="ar"/>
                    </w:rPr>
                    <w:t>0.1</w:t>
                  </w:r>
                </w:p>
              </w:tc>
              <w:tc>
                <w:tcPr>
                  <w:tcW w:w="1059" w:type="pct"/>
                  <w:vMerge w:val="restart"/>
                  <w:tcBorders>
                    <w:top w:val="single" w:color="auto" w:sz="4" w:space="0"/>
                    <w:left w:val="single" w:color="auto" w:sz="4" w:space="0"/>
                    <w:right w:val="nil"/>
                  </w:tcBorders>
                  <w:shd w:val="clear" w:color="auto" w:fill="auto"/>
                  <w:vAlign w:val="center"/>
                </w:tcPr>
                <w:p w14:paraId="52685A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达</w:t>
                  </w:r>
                  <w:r>
                    <w:rPr>
                      <w:rFonts w:hint="eastAsia"/>
                      <w:color w:val="auto"/>
                      <w:szCs w:val="21"/>
                    </w:rPr>
                    <w:t>涟水经济开发区西区污水处理厂</w:t>
                  </w:r>
                  <w:r>
                    <w:rPr>
                      <w:rFonts w:hint="eastAsia" w:hAnsi="宋体" w:cs="宋体"/>
                      <w:color w:val="auto"/>
                      <w:szCs w:val="21"/>
                      <w:lang w:bidi="ar"/>
                    </w:rPr>
                    <w:t>接管标准</w:t>
                  </w:r>
                </w:p>
              </w:tc>
              <w:tc>
                <w:tcPr>
                  <w:tcW w:w="323" w:type="pct"/>
                  <w:vMerge w:val="continue"/>
                  <w:tcBorders>
                    <w:top w:val="single" w:color="auto" w:sz="4" w:space="0"/>
                    <w:left w:val="single" w:color="auto" w:sz="4" w:space="0"/>
                    <w:bottom w:val="single" w:color="auto" w:sz="12" w:space="0"/>
                    <w:right w:val="nil"/>
                  </w:tcBorders>
                  <w:shd w:val="clear" w:color="auto" w:fill="auto"/>
                  <w:vAlign w:val="center"/>
                </w:tcPr>
                <w:p w14:paraId="0D6DF70F">
                  <w:pPr>
                    <w:keepNext w:val="0"/>
                    <w:keepLines w:val="0"/>
                    <w:pageBreakBefore w:val="0"/>
                    <w:widowControl w:val="0"/>
                    <w:kinsoku/>
                    <w:wordWrap/>
                    <w:overflowPunct/>
                    <w:topLinePunct w:val="0"/>
                    <w:autoSpaceDE/>
                    <w:autoSpaceDN/>
                    <w:bidi w:val="0"/>
                    <w:adjustRightInd w:val="0"/>
                    <w:snapToGrid w:val="0"/>
                    <w:ind w:firstLine="0" w:firstLineChars="0"/>
                    <w:textAlignment w:val="auto"/>
                    <w:rPr>
                      <w:color w:val="auto"/>
                      <w:sz w:val="20"/>
                      <w:szCs w:val="20"/>
                    </w:rPr>
                  </w:pPr>
                </w:p>
              </w:tc>
            </w:tr>
            <w:tr w14:paraId="6C8BA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0" w:hRule="atLeast"/>
                <w:jc w:val="center"/>
              </w:trPr>
              <w:tc>
                <w:tcPr>
                  <w:tcW w:w="196" w:type="pct"/>
                  <w:vMerge w:val="continue"/>
                  <w:tcBorders>
                    <w:top w:val="single" w:color="auto" w:sz="4" w:space="0"/>
                    <w:left w:val="nil"/>
                    <w:bottom w:val="single" w:color="auto" w:sz="4" w:space="0"/>
                    <w:right w:val="single" w:color="auto" w:sz="4" w:space="0"/>
                  </w:tcBorders>
                  <w:shd w:val="clear" w:color="auto" w:fill="auto"/>
                  <w:vAlign w:val="center"/>
                </w:tcPr>
                <w:p w14:paraId="71908307">
                  <w:pPr>
                    <w:keepNext w:val="0"/>
                    <w:keepLines w:val="0"/>
                    <w:pageBreakBefore w:val="0"/>
                    <w:widowControl w:val="0"/>
                    <w:kinsoku/>
                    <w:wordWrap/>
                    <w:overflowPunct/>
                    <w:topLinePunct w:val="0"/>
                    <w:autoSpaceDE/>
                    <w:autoSpaceDN/>
                    <w:bidi w:val="0"/>
                    <w:adjustRightInd w:val="0"/>
                    <w:snapToGrid w:val="0"/>
                    <w:ind w:firstLine="0" w:firstLineChars="0"/>
                    <w:textAlignment w:val="auto"/>
                    <w:rPr>
                      <w:color w:val="auto"/>
                      <w:sz w:val="20"/>
                      <w:szCs w:val="20"/>
                    </w:rPr>
                  </w:pPr>
                </w:p>
              </w:tc>
              <w:tc>
                <w:tcPr>
                  <w:tcW w:w="415" w:type="pct"/>
                  <w:vMerge w:val="continue"/>
                  <w:tcBorders>
                    <w:left w:val="single" w:color="auto" w:sz="4" w:space="0"/>
                    <w:bottom w:val="single" w:color="auto" w:sz="4" w:space="0"/>
                    <w:right w:val="single" w:color="auto" w:sz="4" w:space="0"/>
                  </w:tcBorders>
                  <w:shd w:val="clear" w:color="auto" w:fill="auto"/>
                  <w:vAlign w:val="center"/>
                </w:tcPr>
                <w:p w14:paraId="40BD20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Ansi="宋体" w:cs="宋体"/>
                      <w:color w:val="auto"/>
                      <w:szCs w:val="21"/>
                      <w:lang w:bidi="ar"/>
                    </w:rPr>
                  </w:pPr>
                </w:p>
              </w:tc>
              <w:tc>
                <w:tcPr>
                  <w:tcW w:w="1307" w:type="pct"/>
                  <w:tcBorders>
                    <w:top w:val="single" w:color="auto" w:sz="4" w:space="0"/>
                    <w:left w:val="single" w:color="auto" w:sz="4" w:space="0"/>
                    <w:bottom w:val="single" w:color="auto" w:sz="4" w:space="0"/>
                    <w:right w:val="single" w:color="auto" w:sz="4" w:space="0"/>
                  </w:tcBorders>
                  <w:shd w:val="clear" w:color="auto" w:fill="auto"/>
                  <w:vAlign w:val="center"/>
                </w:tcPr>
                <w:p w14:paraId="44A046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Ansi="宋体" w:cs="宋体"/>
                      <w:color w:val="auto"/>
                      <w:szCs w:val="21"/>
                      <w:lang w:bidi="ar"/>
                    </w:rPr>
                  </w:pPr>
                  <w:r>
                    <w:rPr>
                      <w:rFonts w:hint="eastAsia" w:hAnsi="宋体" w:cs="宋体"/>
                      <w:color w:val="auto"/>
                      <w:szCs w:val="21"/>
                      <w:lang w:bidi="ar"/>
                    </w:rPr>
                    <w:t>隔油池</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0353A0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kern w:val="0"/>
                      <w:szCs w:val="21"/>
                      <w:lang w:bidi="ar"/>
                    </w:rPr>
                  </w:pPr>
                  <w:r>
                    <w:rPr>
                      <w:rFonts w:hint="eastAsia"/>
                      <w:color w:val="auto"/>
                      <w:kern w:val="0"/>
                      <w:szCs w:val="21"/>
                      <w:lang w:val="en-US" w:eastAsia="zh-CN" w:bidi="ar"/>
                    </w:rPr>
                    <w:t>2</w:t>
                  </w:r>
                  <w:r>
                    <w:rPr>
                      <w:rFonts w:hint="eastAsia"/>
                      <w:color w:val="auto"/>
                      <w:kern w:val="0"/>
                      <w:szCs w:val="21"/>
                      <w:lang w:bidi="ar"/>
                    </w:rPr>
                    <w:t>t/d</w:t>
                  </w:r>
                </w:p>
              </w:tc>
              <w:tc>
                <w:tcPr>
                  <w:tcW w:w="325" w:type="pct"/>
                  <w:tcBorders>
                    <w:top w:val="single" w:color="auto" w:sz="4" w:space="0"/>
                    <w:left w:val="single" w:color="auto" w:sz="4" w:space="0"/>
                    <w:bottom w:val="single" w:color="auto" w:sz="4" w:space="0"/>
                    <w:right w:val="single" w:color="auto" w:sz="4" w:space="0"/>
                  </w:tcBorders>
                  <w:shd w:val="clear" w:color="auto" w:fill="auto"/>
                  <w:vAlign w:val="center"/>
                </w:tcPr>
                <w:p w14:paraId="616891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lang w:bidi="ar"/>
                    </w:rPr>
                  </w:pPr>
                  <w:r>
                    <w:rPr>
                      <w:rFonts w:hint="eastAsia"/>
                      <w:color w:val="auto"/>
                      <w:szCs w:val="21"/>
                      <w:lang w:bidi="ar"/>
                    </w:rPr>
                    <w:t>1个</w:t>
                  </w:r>
                </w:p>
              </w:tc>
              <w:tc>
                <w:tcPr>
                  <w:tcW w:w="530" w:type="pct"/>
                  <w:tcBorders>
                    <w:top w:val="single" w:color="auto" w:sz="4" w:space="0"/>
                    <w:left w:val="single" w:color="auto" w:sz="4" w:space="0"/>
                    <w:bottom w:val="single" w:color="auto" w:sz="4" w:space="0"/>
                    <w:right w:val="single" w:color="auto" w:sz="4" w:space="0"/>
                  </w:tcBorders>
                  <w:shd w:val="clear" w:color="auto" w:fill="auto"/>
                  <w:vAlign w:val="center"/>
                </w:tcPr>
                <w:p w14:paraId="09B3A6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Ansi="宋体" w:cs="宋体"/>
                      <w:color w:val="auto"/>
                      <w:szCs w:val="21"/>
                      <w:lang w:bidi="ar"/>
                    </w:rPr>
                  </w:pPr>
                  <w:r>
                    <w:rPr>
                      <w:rFonts w:hint="eastAsia" w:hAnsi="宋体" w:cs="宋体"/>
                      <w:color w:val="auto"/>
                      <w:szCs w:val="21"/>
                      <w:lang w:bidi="ar"/>
                    </w:rPr>
                    <w:t>新建</w:t>
                  </w:r>
                </w:p>
              </w:tc>
              <w:tc>
                <w:tcPr>
                  <w:tcW w:w="351" w:type="pct"/>
                  <w:tcBorders>
                    <w:top w:val="single" w:color="auto" w:sz="4" w:space="0"/>
                    <w:left w:val="single" w:color="auto" w:sz="4" w:space="0"/>
                    <w:bottom w:val="single" w:color="auto" w:sz="4" w:space="0"/>
                    <w:right w:val="single" w:color="auto" w:sz="4" w:space="0"/>
                  </w:tcBorders>
                  <w:shd w:val="clear" w:color="auto" w:fill="auto"/>
                  <w:vAlign w:val="center"/>
                </w:tcPr>
                <w:p w14:paraId="71AAFB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lang w:bidi="ar"/>
                    </w:rPr>
                  </w:pPr>
                  <w:r>
                    <w:rPr>
                      <w:rFonts w:hint="eastAsia"/>
                      <w:color w:val="auto"/>
                      <w:szCs w:val="21"/>
                      <w:lang w:bidi="ar"/>
                    </w:rPr>
                    <w:t>0.1</w:t>
                  </w:r>
                </w:p>
              </w:tc>
              <w:tc>
                <w:tcPr>
                  <w:tcW w:w="1059" w:type="pct"/>
                  <w:vMerge w:val="continue"/>
                  <w:tcBorders>
                    <w:left w:val="single" w:color="auto" w:sz="4" w:space="0"/>
                    <w:bottom w:val="single" w:color="auto" w:sz="4" w:space="0"/>
                    <w:right w:val="nil"/>
                  </w:tcBorders>
                  <w:shd w:val="clear" w:color="auto" w:fill="auto"/>
                  <w:vAlign w:val="center"/>
                </w:tcPr>
                <w:p w14:paraId="512FC1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Ansi="宋体" w:cs="宋体"/>
                      <w:color w:val="auto"/>
                      <w:szCs w:val="21"/>
                      <w:lang w:bidi="ar"/>
                    </w:rPr>
                  </w:pPr>
                </w:p>
              </w:tc>
              <w:tc>
                <w:tcPr>
                  <w:tcW w:w="323" w:type="pct"/>
                  <w:vMerge w:val="continue"/>
                  <w:tcBorders>
                    <w:top w:val="single" w:color="auto" w:sz="4" w:space="0"/>
                    <w:left w:val="single" w:color="auto" w:sz="4" w:space="0"/>
                    <w:bottom w:val="single" w:color="auto" w:sz="12" w:space="0"/>
                    <w:right w:val="nil"/>
                  </w:tcBorders>
                  <w:shd w:val="clear" w:color="auto" w:fill="auto"/>
                  <w:vAlign w:val="center"/>
                </w:tcPr>
                <w:p w14:paraId="318BABBA">
                  <w:pPr>
                    <w:keepNext w:val="0"/>
                    <w:keepLines w:val="0"/>
                    <w:pageBreakBefore w:val="0"/>
                    <w:widowControl w:val="0"/>
                    <w:kinsoku/>
                    <w:wordWrap/>
                    <w:overflowPunct/>
                    <w:topLinePunct w:val="0"/>
                    <w:autoSpaceDE/>
                    <w:autoSpaceDN/>
                    <w:bidi w:val="0"/>
                    <w:adjustRightInd w:val="0"/>
                    <w:snapToGrid w:val="0"/>
                    <w:ind w:firstLine="0" w:firstLineChars="0"/>
                    <w:textAlignment w:val="auto"/>
                    <w:rPr>
                      <w:color w:val="auto"/>
                      <w:sz w:val="20"/>
                      <w:szCs w:val="20"/>
                    </w:rPr>
                  </w:pPr>
                </w:p>
              </w:tc>
            </w:tr>
            <w:tr w14:paraId="1BA1A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31" w:hRule="atLeast"/>
                <w:jc w:val="center"/>
              </w:trPr>
              <w:tc>
                <w:tcPr>
                  <w:tcW w:w="196" w:type="pct"/>
                  <w:vMerge w:val="continue"/>
                  <w:tcBorders>
                    <w:top w:val="single" w:color="auto" w:sz="4" w:space="0"/>
                    <w:left w:val="nil"/>
                    <w:bottom w:val="single" w:color="auto" w:sz="4" w:space="0"/>
                    <w:right w:val="single" w:color="auto" w:sz="4" w:space="0"/>
                  </w:tcBorders>
                  <w:shd w:val="clear" w:color="auto" w:fill="auto"/>
                  <w:vAlign w:val="center"/>
                </w:tcPr>
                <w:p w14:paraId="5714563E">
                  <w:pPr>
                    <w:keepNext w:val="0"/>
                    <w:keepLines w:val="0"/>
                    <w:pageBreakBefore w:val="0"/>
                    <w:widowControl w:val="0"/>
                    <w:kinsoku/>
                    <w:wordWrap/>
                    <w:overflowPunct/>
                    <w:topLinePunct w:val="0"/>
                    <w:autoSpaceDE/>
                    <w:autoSpaceDN/>
                    <w:bidi w:val="0"/>
                    <w:adjustRightInd w:val="0"/>
                    <w:snapToGrid w:val="0"/>
                    <w:ind w:firstLine="0" w:firstLineChars="0"/>
                    <w:textAlignment w:val="auto"/>
                    <w:rPr>
                      <w:color w:val="auto"/>
                      <w:sz w:val="20"/>
                      <w:szCs w:val="20"/>
                    </w:rPr>
                  </w:pPr>
                </w:p>
              </w:tc>
              <w:tc>
                <w:tcPr>
                  <w:tcW w:w="415" w:type="pct"/>
                  <w:tcBorders>
                    <w:top w:val="single" w:color="auto" w:sz="4" w:space="0"/>
                    <w:left w:val="single" w:color="auto" w:sz="4" w:space="0"/>
                    <w:bottom w:val="single" w:color="auto" w:sz="4" w:space="0"/>
                    <w:right w:val="single" w:color="auto" w:sz="4" w:space="0"/>
                  </w:tcBorders>
                  <w:shd w:val="clear" w:color="auto" w:fill="auto"/>
                  <w:vAlign w:val="center"/>
                </w:tcPr>
                <w:p w14:paraId="11AA55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排污口规范化</w:t>
                  </w:r>
                </w:p>
              </w:tc>
              <w:tc>
                <w:tcPr>
                  <w:tcW w:w="1307" w:type="pct"/>
                  <w:tcBorders>
                    <w:top w:val="single" w:color="auto" w:sz="4" w:space="0"/>
                    <w:left w:val="single" w:color="auto" w:sz="4" w:space="0"/>
                    <w:bottom w:val="single" w:color="auto" w:sz="4" w:space="0"/>
                    <w:right w:val="single" w:color="auto" w:sz="4" w:space="0"/>
                  </w:tcBorders>
                  <w:shd w:val="clear" w:color="auto" w:fill="auto"/>
                  <w:vAlign w:val="center"/>
                </w:tcPr>
                <w:p w14:paraId="5E2A66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排污口设置规范化标志</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7E1E0F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kern w:val="0"/>
                      <w:szCs w:val="21"/>
                      <w:lang w:val="zh-CN"/>
                    </w:rPr>
                  </w:pPr>
                  <w:r>
                    <w:rPr>
                      <w:color w:val="auto"/>
                      <w:kern w:val="0"/>
                      <w:szCs w:val="21"/>
                      <w:lang w:val="zh-CN" w:bidi="ar"/>
                    </w:rPr>
                    <w:t>/</w:t>
                  </w:r>
                </w:p>
              </w:tc>
              <w:tc>
                <w:tcPr>
                  <w:tcW w:w="325" w:type="pct"/>
                  <w:tcBorders>
                    <w:top w:val="single" w:color="auto" w:sz="4" w:space="0"/>
                    <w:left w:val="single" w:color="auto" w:sz="4" w:space="0"/>
                    <w:bottom w:val="single" w:color="auto" w:sz="4" w:space="0"/>
                    <w:right w:val="single" w:color="auto" w:sz="4" w:space="0"/>
                  </w:tcBorders>
                  <w:shd w:val="clear" w:color="auto" w:fill="auto"/>
                  <w:vAlign w:val="center"/>
                </w:tcPr>
                <w:p w14:paraId="5EFFB8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lang w:bidi="ar"/>
                    </w:rPr>
                    <w:t>1</w:t>
                  </w:r>
                  <w:r>
                    <w:rPr>
                      <w:rFonts w:hint="eastAsia" w:hAnsi="宋体" w:cs="宋体"/>
                      <w:color w:val="auto"/>
                      <w:szCs w:val="21"/>
                      <w:lang w:bidi="ar"/>
                    </w:rPr>
                    <w:t>套</w:t>
                  </w:r>
                </w:p>
              </w:tc>
              <w:tc>
                <w:tcPr>
                  <w:tcW w:w="530" w:type="pct"/>
                  <w:tcBorders>
                    <w:top w:val="single" w:color="auto" w:sz="4" w:space="0"/>
                    <w:left w:val="single" w:color="auto" w:sz="4" w:space="0"/>
                    <w:bottom w:val="single" w:color="auto" w:sz="4" w:space="0"/>
                    <w:right w:val="single" w:color="auto" w:sz="4" w:space="0"/>
                  </w:tcBorders>
                  <w:shd w:val="clear" w:color="auto" w:fill="auto"/>
                  <w:vAlign w:val="center"/>
                </w:tcPr>
                <w:p w14:paraId="7F00B2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新建</w:t>
                  </w:r>
                </w:p>
              </w:tc>
              <w:tc>
                <w:tcPr>
                  <w:tcW w:w="351" w:type="pct"/>
                  <w:tcBorders>
                    <w:top w:val="single" w:color="auto" w:sz="4" w:space="0"/>
                    <w:left w:val="single" w:color="auto" w:sz="4" w:space="0"/>
                    <w:bottom w:val="single" w:color="auto" w:sz="4" w:space="0"/>
                    <w:right w:val="single" w:color="auto" w:sz="4" w:space="0"/>
                  </w:tcBorders>
                  <w:shd w:val="clear" w:color="auto" w:fill="auto"/>
                  <w:vAlign w:val="center"/>
                </w:tcPr>
                <w:p w14:paraId="4BD918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lang w:bidi="ar"/>
                    </w:rPr>
                    <w:t>0.</w:t>
                  </w:r>
                  <w:r>
                    <w:rPr>
                      <w:rFonts w:hint="eastAsia"/>
                      <w:color w:val="auto"/>
                      <w:szCs w:val="21"/>
                      <w:lang w:bidi="ar"/>
                    </w:rPr>
                    <w:t>1</w:t>
                  </w:r>
                </w:p>
              </w:tc>
              <w:tc>
                <w:tcPr>
                  <w:tcW w:w="1059" w:type="pct"/>
                  <w:tcBorders>
                    <w:top w:val="single" w:color="auto" w:sz="4" w:space="0"/>
                    <w:left w:val="single" w:color="auto" w:sz="4" w:space="0"/>
                    <w:bottom w:val="single" w:color="auto" w:sz="4" w:space="0"/>
                    <w:right w:val="nil"/>
                  </w:tcBorders>
                  <w:shd w:val="clear" w:color="auto" w:fill="auto"/>
                  <w:vAlign w:val="center"/>
                </w:tcPr>
                <w:p w14:paraId="1EA325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lang w:bidi="ar"/>
                    </w:rPr>
                    <w:t>/</w:t>
                  </w:r>
                </w:p>
              </w:tc>
              <w:tc>
                <w:tcPr>
                  <w:tcW w:w="323" w:type="pct"/>
                  <w:vMerge w:val="continue"/>
                  <w:tcBorders>
                    <w:top w:val="single" w:color="auto" w:sz="4" w:space="0"/>
                    <w:left w:val="single" w:color="auto" w:sz="4" w:space="0"/>
                    <w:bottom w:val="single" w:color="auto" w:sz="12" w:space="0"/>
                    <w:right w:val="nil"/>
                  </w:tcBorders>
                  <w:shd w:val="clear" w:color="auto" w:fill="auto"/>
                  <w:vAlign w:val="center"/>
                </w:tcPr>
                <w:p w14:paraId="7DA22A21">
                  <w:pPr>
                    <w:keepNext w:val="0"/>
                    <w:keepLines w:val="0"/>
                    <w:pageBreakBefore w:val="0"/>
                    <w:widowControl w:val="0"/>
                    <w:kinsoku/>
                    <w:wordWrap/>
                    <w:overflowPunct/>
                    <w:topLinePunct w:val="0"/>
                    <w:autoSpaceDE/>
                    <w:autoSpaceDN/>
                    <w:bidi w:val="0"/>
                    <w:adjustRightInd w:val="0"/>
                    <w:snapToGrid w:val="0"/>
                    <w:ind w:firstLine="0" w:firstLineChars="0"/>
                    <w:textAlignment w:val="auto"/>
                    <w:rPr>
                      <w:color w:val="auto"/>
                      <w:sz w:val="20"/>
                      <w:szCs w:val="20"/>
                    </w:rPr>
                  </w:pPr>
                </w:p>
              </w:tc>
            </w:tr>
            <w:tr w14:paraId="53398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6" w:type="pct"/>
                  <w:tcBorders>
                    <w:top w:val="single" w:color="auto" w:sz="4" w:space="0"/>
                    <w:left w:val="nil"/>
                    <w:bottom w:val="single" w:color="auto" w:sz="4" w:space="0"/>
                    <w:right w:val="single" w:color="auto" w:sz="4" w:space="0"/>
                  </w:tcBorders>
                  <w:shd w:val="clear" w:color="auto" w:fill="auto"/>
                  <w:vAlign w:val="center"/>
                </w:tcPr>
                <w:p w14:paraId="53E7F3B1">
                  <w:pPr>
                    <w:keepNext w:val="0"/>
                    <w:keepLines w:val="0"/>
                    <w:pageBreakBefore w:val="0"/>
                    <w:widowControl w:val="0"/>
                    <w:kinsoku/>
                    <w:wordWrap/>
                    <w:overflowPunct/>
                    <w:topLinePunct w:val="0"/>
                    <w:autoSpaceDE/>
                    <w:autoSpaceDN/>
                    <w:bidi w:val="0"/>
                    <w:adjustRightInd w:val="0"/>
                    <w:snapToGrid w:val="0"/>
                    <w:ind w:left="-111" w:leftChars="-53" w:right="-113" w:rightChars="-54" w:firstLine="0" w:firstLineChars="0"/>
                    <w:jc w:val="center"/>
                    <w:textAlignment w:val="auto"/>
                    <w:rPr>
                      <w:color w:val="auto"/>
                      <w:szCs w:val="21"/>
                    </w:rPr>
                  </w:pPr>
                  <w:r>
                    <w:rPr>
                      <w:rFonts w:hint="eastAsia" w:hAnsi="宋体" w:cs="宋体"/>
                      <w:color w:val="auto"/>
                      <w:szCs w:val="21"/>
                      <w:lang w:bidi="ar"/>
                    </w:rPr>
                    <w:t>噪</w:t>
                  </w:r>
                </w:p>
                <w:p w14:paraId="5123908C">
                  <w:pPr>
                    <w:keepNext w:val="0"/>
                    <w:keepLines w:val="0"/>
                    <w:pageBreakBefore w:val="0"/>
                    <w:widowControl w:val="0"/>
                    <w:kinsoku/>
                    <w:wordWrap/>
                    <w:overflowPunct/>
                    <w:topLinePunct w:val="0"/>
                    <w:autoSpaceDE/>
                    <w:autoSpaceDN/>
                    <w:bidi w:val="0"/>
                    <w:adjustRightInd w:val="0"/>
                    <w:snapToGrid w:val="0"/>
                    <w:ind w:left="-111" w:leftChars="-53" w:right="-113" w:rightChars="-54" w:firstLine="0" w:firstLineChars="0"/>
                    <w:jc w:val="center"/>
                    <w:textAlignment w:val="auto"/>
                    <w:rPr>
                      <w:color w:val="auto"/>
                      <w:szCs w:val="21"/>
                    </w:rPr>
                  </w:pPr>
                  <w:r>
                    <w:rPr>
                      <w:rFonts w:hint="eastAsia" w:hAnsi="宋体" w:cs="宋体"/>
                      <w:color w:val="auto"/>
                      <w:szCs w:val="21"/>
                      <w:lang w:bidi="ar"/>
                    </w:rPr>
                    <w:t>声</w:t>
                  </w:r>
                </w:p>
              </w:tc>
              <w:tc>
                <w:tcPr>
                  <w:tcW w:w="415" w:type="pct"/>
                  <w:tcBorders>
                    <w:top w:val="single" w:color="auto" w:sz="4" w:space="0"/>
                    <w:left w:val="single" w:color="auto" w:sz="4" w:space="0"/>
                    <w:bottom w:val="single" w:color="auto" w:sz="4" w:space="0"/>
                    <w:right w:val="single" w:color="auto" w:sz="4" w:space="0"/>
                  </w:tcBorders>
                  <w:shd w:val="clear" w:color="auto" w:fill="auto"/>
                  <w:vAlign w:val="center"/>
                </w:tcPr>
                <w:p w14:paraId="30B4F3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设备</w:t>
                  </w:r>
                </w:p>
                <w:p w14:paraId="7855AB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噪声治理</w:t>
                  </w:r>
                </w:p>
              </w:tc>
              <w:tc>
                <w:tcPr>
                  <w:tcW w:w="1307" w:type="pct"/>
                  <w:tcBorders>
                    <w:top w:val="single" w:color="auto" w:sz="4" w:space="0"/>
                    <w:left w:val="single" w:color="auto" w:sz="4" w:space="0"/>
                    <w:bottom w:val="single" w:color="auto" w:sz="4" w:space="0"/>
                    <w:right w:val="single" w:color="auto" w:sz="4" w:space="0"/>
                  </w:tcBorders>
                  <w:shd w:val="clear" w:color="auto" w:fill="auto"/>
                  <w:vAlign w:val="center"/>
                </w:tcPr>
                <w:p w14:paraId="145F7F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bCs/>
                      <w:color w:val="auto"/>
                      <w:lang w:bidi="ar"/>
                    </w:rPr>
                    <w:t>用低噪声设备，合理布局，并采取厂房隔声</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3067C4A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lang w:bidi="ar"/>
                    </w:rPr>
                    <w:t>/</w:t>
                  </w:r>
                </w:p>
              </w:tc>
              <w:tc>
                <w:tcPr>
                  <w:tcW w:w="325" w:type="pct"/>
                  <w:tcBorders>
                    <w:top w:val="single" w:color="auto" w:sz="4" w:space="0"/>
                    <w:left w:val="single" w:color="auto" w:sz="4" w:space="0"/>
                    <w:bottom w:val="single" w:color="auto" w:sz="4" w:space="0"/>
                    <w:right w:val="single" w:color="auto" w:sz="4" w:space="0"/>
                  </w:tcBorders>
                  <w:shd w:val="clear" w:color="auto" w:fill="auto"/>
                  <w:vAlign w:val="center"/>
                </w:tcPr>
                <w:p w14:paraId="12918C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lang w:bidi="ar"/>
                    </w:rPr>
                    <w:t>1</w:t>
                  </w:r>
                  <w:r>
                    <w:rPr>
                      <w:rFonts w:hint="eastAsia" w:hAnsi="宋体" w:cs="宋体"/>
                      <w:color w:val="auto"/>
                      <w:szCs w:val="21"/>
                      <w:lang w:bidi="ar"/>
                    </w:rPr>
                    <w:t>批</w:t>
                  </w:r>
                </w:p>
              </w:tc>
              <w:tc>
                <w:tcPr>
                  <w:tcW w:w="530" w:type="pct"/>
                  <w:tcBorders>
                    <w:top w:val="single" w:color="auto" w:sz="4" w:space="0"/>
                    <w:left w:val="single" w:color="auto" w:sz="4" w:space="0"/>
                    <w:bottom w:val="single" w:color="auto" w:sz="4" w:space="0"/>
                    <w:right w:val="single" w:color="auto" w:sz="4" w:space="0"/>
                  </w:tcBorders>
                  <w:shd w:val="clear" w:color="auto" w:fill="auto"/>
                  <w:vAlign w:val="center"/>
                </w:tcPr>
                <w:p w14:paraId="41CA62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新建</w:t>
                  </w:r>
                </w:p>
              </w:tc>
              <w:tc>
                <w:tcPr>
                  <w:tcW w:w="351" w:type="pct"/>
                  <w:tcBorders>
                    <w:top w:val="single" w:color="auto" w:sz="4" w:space="0"/>
                    <w:left w:val="single" w:color="auto" w:sz="4" w:space="0"/>
                    <w:bottom w:val="single" w:color="auto" w:sz="4" w:space="0"/>
                    <w:right w:val="single" w:color="auto" w:sz="4" w:space="0"/>
                  </w:tcBorders>
                  <w:shd w:val="clear" w:color="auto" w:fill="auto"/>
                  <w:vAlign w:val="center"/>
                </w:tcPr>
                <w:p w14:paraId="3E107E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lang w:bidi="ar"/>
                    </w:rPr>
                    <w:t>1</w:t>
                  </w:r>
                </w:p>
              </w:tc>
              <w:tc>
                <w:tcPr>
                  <w:tcW w:w="1059" w:type="pct"/>
                  <w:tcBorders>
                    <w:top w:val="single" w:color="auto" w:sz="4" w:space="0"/>
                    <w:left w:val="single" w:color="auto" w:sz="4" w:space="0"/>
                    <w:bottom w:val="single" w:color="auto" w:sz="4" w:space="0"/>
                    <w:right w:val="nil"/>
                  </w:tcBorders>
                  <w:shd w:val="clear" w:color="auto" w:fill="auto"/>
                  <w:vAlign w:val="center"/>
                </w:tcPr>
                <w:p w14:paraId="451267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厂界达《工业企业厂界环境噪声排放标准》（</w:t>
                  </w:r>
                  <w:r>
                    <w:rPr>
                      <w:color w:val="auto"/>
                      <w:szCs w:val="21"/>
                      <w:lang w:bidi="ar"/>
                    </w:rPr>
                    <w:t>GB12348–2008</w:t>
                  </w:r>
                  <w:r>
                    <w:rPr>
                      <w:rFonts w:hint="eastAsia" w:hAnsi="宋体" w:cs="宋体"/>
                      <w:color w:val="auto"/>
                      <w:szCs w:val="21"/>
                      <w:lang w:bidi="ar"/>
                    </w:rPr>
                    <w:t>）表</w:t>
                  </w:r>
                  <w:r>
                    <w:rPr>
                      <w:color w:val="auto"/>
                      <w:szCs w:val="21"/>
                      <w:lang w:bidi="ar"/>
                    </w:rPr>
                    <w:t>1</w:t>
                  </w:r>
                  <w:r>
                    <w:rPr>
                      <w:rFonts w:hint="eastAsia" w:hAnsi="宋体" w:cs="宋体"/>
                      <w:color w:val="auto"/>
                      <w:szCs w:val="21"/>
                      <w:lang w:bidi="ar"/>
                    </w:rPr>
                    <w:t>中的</w:t>
                  </w:r>
                  <w:r>
                    <w:rPr>
                      <w:rFonts w:hint="eastAsia"/>
                      <w:color w:val="auto"/>
                      <w:szCs w:val="21"/>
                      <w:lang w:bidi="ar"/>
                    </w:rPr>
                    <w:t>3</w:t>
                  </w:r>
                  <w:r>
                    <w:rPr>
                      <w:rFonts w:hint="eastAsia" w:hAnsi="宋体" w:cs="宋体"/>
                      <w:color w:val="auto"/>
                      <w:szCs w:val="21"/>
                      <w:lang w:bidi="ar"/>
                    </w:rPr>
                    <w:t>类标准</w:t>
                  </w:r>
                </w:p>
              </w:tc>
              <w:tc>
                <w:tcPr>
                  <w:tcW w:w="323" w:type="pct"/>
                  <w:vMerge w:val="continue"/>
                  <w:tcBorders>
                    <w:top w:val="single" w:color="auto" w:sz="4" w:space="0"/>
                    <w:left w:val="single" w:color="auto" w:sz="4" w:space="0"/>
                    <w:bottom w:val="single" w:color="auto" w:sz="12" w:space="0"/>
                    <w:right w:val="nil"/>
                  </w:tcBorders>
                  <w:shd w:val="clear" w:color="auto" w:fill="auto"/>
                  <w:vAlign w:val="center"/>
                </w:tcPr>
                <w:p w14:paraId="581D15CD">
                  <w:pPr>
                    <w:keepNext w:val="0"/>
                    <w:keepLines w:val="0"/>
                    <w:pageBreakBefore w:val="0"/>
                    <w:widowControl w:val="0"/>
                    <w:kinsoku/>
                    <w:wordWrap/>
                    <w:overflowPunct/>
                    <w:topLinePunct w:val="0"/>
                    <w:autoSpaceDE/>
                    <w:autoSpaceDN/>
                    <w:bidi w:val="0"/>
                    <w:adjustRightInd w:val="0"/>
                    <w:snapToGrid w:val="0"/>
                    <w:ind w:firstLine="0" w:firstLineChars="0"/>
                    <w:textAlignment w:val="auto"/>
                    <w:rPr>
                      <w:color w:val="auto"/>
                      <w:sz w:val="20"/>
                      <w:szCs w:val="20"/>
                    </w:rPr>
                  </w:pPr>
                </w:p>
              </w:tc>
            </w:tr>
            <w:tr w14:paraId="66CA8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28" w:hRule="atLeast"/>
                <w:jc w:val="center"/>
              </w:trPr>
              <w:tc>
                <w:tcPr>
                  <w:tcW w:w="196" w:type="pct"/>
                  <w:vMerge w:val="restart"/>
                  <w:tcBorders>
                    <w:top w:val="single" w:color="auto" w:sz="4" w:space="0"/>
                    <w:left w:val="nil"/>
                    <w:bottom w:val="single" w:color="auto" w:sz="4" w:space="0"/>
                    <w:right w:val="single" w:color="auto" w:sz="4" w:space="0"/>
                  </w:tcBorders>
                  <w:shd w:val="clear" w:color="auto" w:fill="auto"/>
                  <w:vAlign w:val="center"/>
                </w:tcPr>
                <w:p w14:paraId="55B82895">
                  <w:pPr>
                    <w:keepNext w:val="0"/>
                    <w:keepLines w:val="0"/>
                    <w:pageBreakBefore w:val="0"/>
                    <w:widowControl w:val="0"/>
                    <w:kinsoku/>
                    <w:wordWrap/>
                    <w:overflowPunct/>
                    <w:topLinePunct w:val="0"/>
                    <w:autoSpaceDE/>
                    <w:autoSpaceDN/>
                    <w:bidi w:val="0"/>
                    <w:adjustRightInd w:val="0"/>
                    <w:snapToGrid w:val="0"/>
                    <w:ind w:left="-111" w:leftChars="-53" w:right="-113" w:rightChars="-54" w:firstLine="0" w:firstLineChars="0"/>
                    <w:jc w:val="center"/>
                    <w:textAlignment w:val="auto"/>
                    <w:rPr>
                      <w:color w:val="auto"/>
                      <w:szCs w:val="21"/>
                    </w:rPr>
                  </w:pPr>
                  <w:r>
                    <w:rPr>
                      <w:rFonts w:hint="eastAsia" w:hAnsi="宋体" w:cs="宋体"/>
                      <w:color w:val="auto"/>
                      <w:szCs w:val="21"/>
                      <w:lang w:bidi="ar"/>
                    </w:rPr>
                    <w:t>固</w:t>
                  </w:r>
                </w:p>
                <w:p w14:paraId="25227209">
                  <w:pPr>
                    <w:keepNext w:val="0"/>
                    <w:keepLines w:val="0"/>
                    <w:pageBreakBefore w:val="0"/>
                    <w:widowControl w:val="0"/>
                    <w:kinsoku/>
                    <w:wordWrap/>
                    <w:overflowPunct/>
                    <w:topLinePunct w:val="0"/>
                    <w:autoSpaceDE/>
                    <w:autoSpaceDN/>
                    <w:bidi w:val="0"/>
                    <w:adjustRightInd w:val="0"/>
                    <w:snapToGrid w:val="0"/>
                    <w:ind w:left="-111" w:leftChars="-53" w:right="-113" w:rightChars="-54" w:firstLine="0" w:firstLineChars="0"/>
                    <w:jc w:val="center"/>
                    <w:textAlignment w:val="auto"/>
                    <w:rPr>
                      <w:color w:val="auto"/>
                      <w:szCs w:val="21"/>
                    </w:rPr>
                  </w:pPr>
                  <w:r>
                    <w:rPr>
                      <w:rFonts w:hint="eastAsia" w:hAnsi="宋体" w:cs="宋体"/>
                      <w:color w:val="auto"/>
                      <w:szCs w:val="21"/>
                      <w:lang w:bidi="ar"/>
                    </w:rPr>
                    <w:t>废</w:t>
                  </w:r>
                </w:p>
              </w:tc>
              <w:tc>
                <w:tcPr>
                  <w:tcW w:w="415" w:type="pct"/>
                  <w:tcBorders>
                    <w:top w:val="single" w:color="auto" w:sz="4" w:space="0"/>
                    <w:left w:val="single" w:color="auto" w:sz="4" w:space="0"/>
                    <w:bottom w:val="single" w:color="auto" w:sz="4" w:space="0"/>
                    <w:right w:val="single" w:color="auto" w:sz="4" w:space="0"/>
                  </w:tcBorders>
                  <w:shd w:val="clear" w:color="auto" w:fill="auto"/>
                  <w:vAlign w:val="center"/>
                </w:tcPr>
                <w:p w14:paraId="7356DF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危废仓库</w:t>
                  </w:r>
                </w:p>
              </w:tc>
              <w:tc>
                <w:tcPr>
                  <w:tcW w:w="1307" w:type="pct"/>
                  <w:tcBorders>
                    <w:top w:val="single" w:color="auto" w:sz="4" w:space="0"/>
                    <w:left w:val="single" w:color="auto" w:sz="4" w:space="0"/>
                    <w:bottom w:val="single" w:color="auto" w:sz="4" w:space="0"/>
                    <w:right w:val="single" w:color="auto" w:sz="4" w:space="0"/>
                  </w:tcBorders>
                  <w:shd w:val="clear" w:color="auto" w:fill="auto"/>
                  <w:vAlign w:val="center"/>
                </w:tcPr>
                <w:p w14:paraId="6C30C9E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color w:val="auto"/>
                      <w:szCs w:val="21"/>
                    </w:rPr>
                  </w:pPr>
                  <w:r>
                    <w:rPr>
                      <w:color w:val="auto"/>
                      <w:szCs w:val="21"/>
                      <w:lang w:bidi="ar"/>
                    </w:rPr>
                    <w:t>a.</w:t>
                  </w:r>
                  <w:r>
                    <w:rPr>
                      <w:rFonts w:hint="eastAsia" w:hAnsi="宋体" w:cs="宋体"/>
                      <w:color w:val="auto"/>
                      <w:szCs w:val="21"/>
                      <w:lang w:bidi="ar"/>
                    </w:rPr>
                    <w:t>用以存放装载液体容器的地方，满足</w:t>
                  </w:r>
                  <w:r>
                    <w:rPr>
                      <w:rFonts w:hint="eastAsia" w:ascii="宋体" w:hAnsi="宋体" w:cs="宋体"/>
                      <w:color w:val="auto"/>
                      <w:szCs w:val="21"/>
                      <w:lang w:bidi="ar"/>
                    </w:rPr>
                    <w:t>“四防”要</w:t>
                  </w:r>
                  <w:r>
                    <w:rPr>
                      <w:rFonts w:hint="eastAsia" w:hAnsi="宋体" w:cs="宋体"/>
                      <w:color w:val="auto"/>
                      <w:szCs w:val="21"/>
                      <w:lang w:bidi="ar"/>
                    </w:rPr>
                    <w:t>求；</w:t>
                  </w:r>
                </w:p>
                <w:p w14:paraId="381B9A6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color w:val="auto"/>
                      <w:szCs w:val="21"/>
                    </w:rPr>
                  </w:pPr>
                  <w:r>
                    <w:rPr>
                      <w:color w:val="auto"/>
                      <w:szCs w:val="21"/>
                      <w:lang w:bidi="ar"/>
                    </w:rPr>
                    <w:t>b.</w:t>
                  </w:r>
                  <w:r>
                    <w:rPr>
                      <w:rFonts w:hint="eastAsia" w:hAnsi="宋体" w:cs="宋体"/>
                      <w:color w:val="auto"/>
                      <w:szCs w:val="21"/>
                      <w:lang w:bidi="ar"/>
                    </w:rPr>
                    <w:t>设有导流沟和收集槽；</w:t>
                  </w:r>
                </w:p>
                <w:p w14:paraId="5A9D6E5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color w:val="auto"/>
                      <w:szCs w:val="21"/>
                    </w:rPr>
                  </w:pPr>
                  <w:r>
                    <w:rPr>
                      <w:color w:val="auto"/>
                      <w:szCs w:val="21"/>
                      <w:lang w:bidi="ar"/>
                    </w:rPr>
                    <w:t>c.</w:t>
                  </w:r>
                  <w:r>
                    <w:rPr>
                      <w:rFonts w:hint="eastAsia" w:hAnsi="宋体" w:cs="宋体"/>
                      <w:color w:val="auto"/>
                      <w:szCs w:val="21"/>
                      <w:lang w:bidi="ar"/>
                    </w:rPr>
                    <w:t>产生的固废妥善处置，实现零排放。</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093496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lang w:bidi="ar"/>
                    </w:rPr>
                    <w:t>10m</w:t>
                  </w:r>
                  <w:r>
                    <w:rPr>
                      <w:color w:val="auto"/>
                      <w:szCs w:val="21"/>
                      <w:vertAlign w:val="superscript"/>
                      <w:lang w:bidi="ar"/>
                    </w:rPr>
                    <w:t>2</w:t>
                  </w:r>
                </w:p>
              </w:tc>
              <w:tc>
                <w:tcPr>
                  <w:tcW w:w="325" w:type="pct"/>
                  <w:tcBorders>
                    <w:top w:val="single" w:color="auto" w:sz="4" w:space="0"/>
                    <w:left w:val="single" w:color="auto" w:sz="4" w:space="0"/>
                    <w:bottom w:val="single" w:color="auto" w:sz="4" w:space="0"/>
                    <w:right w:val="single" w:color="auto" w:sz="4" w:space="0"/>
                  </w:tcBorders>
                  <w:shd w:val="clear" w:color="auto" w:fill="auto"/>
                  <w:vAlign w:val="center"/>
                </w:tcPr>
                <w:p w14:paraId="4E2C23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lang w:bidi="ar"/>
                    </w:rPr>
                    <w:t>1</w:t>
                  </w:r>
                </w:p>
              </w:tc>
              <w:tc>
                <w:tcPr>
                  <w:tcW w:w="530" w:type="pct"/>
                  <w:tcBorders>
                    <w:top w:val="single" w:color="auto" w:sz="4" w:space="0"/>
                    <w:left w:val="single" w:color="auto" w:sz="4" w:space="0"/>
                    <w:bottom w:val="single" w:color="auto" w:sz="4" w:space="0"/>
                    <w:right w:val="single" w:color="auto" w:sz="4" w:space="0"/>
                  </w:tcBorders>
                  <w:shd w:val="clear" w:color="auto" w:fill="auto"/>
                  <w:vAlign w:val="center"/>
                </w:tcPr>
                <w:p w14:paraId="502A4C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新建</w:t>
                  </w:r>
                </w:p>
              </w:tc>
              <w:tc>
                <w:tcPr>
                  <w:tcW w:w="351" w:type="pct"/>
                  <w:tcBorders>
                    <w:top w:val="single" w:color="auto" w:sz="4" w:space="0"/>
                    <w:left w:val="single" w:color="auto" w:sz="4" w:space="0"/>
                    <w:bottom w:val="single" w:color="auto" w:sz="4" w:space="0"/>
                    <w:right w:val="single" w:color="auto" w:sz="4" w:space="0"/>
                  </w:tcBorders>
                  <w:shd w:val="clear" w:color="auto" w:fill="auto"/>
                  <w:vAlign w:val="center"/>
                </w:tcPr>
                <w:p w14:paraId="5C8E5B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lang w:bidi="ar"/>
                    </w:rPr>
                    <w:t>1</w:t>
                  </w:r>
                </w:p>
              </w:tc>
              <w:tc>
                <w:tcPr>
                  <w:tcW w:w="1059" w:type="pct"/>
                  <w:tcBorders>
                    <w:top w:val="single" w:color="auto" w:sz="4" w:space="0"/>
                    <w:left w:val="single" w:color="auto" w:sz="4" w:space="0"/>
                    <w:bottom w:val="single" w:color="auto" w:sz="4" w:space="0"/>
                    <w:right w:val="nil"/>
                  </w:tcBorders>
                  <w:shd w:val="clear" w:color="auto" w:fill="auto"/>
                  <w:vAlign w:val="center"/>
                </w:tcPr>
                <w:p w14:paraId="555159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安全暂存</w:t>
                  </w:r>
                </w:p>
              </w:tc>
              <w:tc>
                <w:tcPr>
                  <w:tcW w:w="323" w:type="pct"/>
                  <w:vMerge w:val="continue"/>
                  <w:tcBorders>
                    <w:top w:val="single" w:color="auto" w:sz="4" w:space="0"/>
                    <w:left w:val="single" w:color="auto" w:sz="4" w:space="0"/>
                    <w:bottom w:val="single" w:color="auto" w:sz="12" w:space="0"/>
                    <w:right w:val="nil"/>
                  </w:tcBorders>
                  <w:shd w:val="clear" w:color="auto" w:fill="auto"/>
                  <w:vAlign w:val="center"/>
                </w:tcPr>
                <w:p w14:paraId="25DC8C2E">
                  <w:pPr>
                    <w:keepNext w:val="0"/>
                    <w:keepLines w:val="0"/>
                    <w:pageBreakBefore w:val="0"/>
                    <w:widowControl w:val="0"/>
                    <w:kinsoku/>
                    <w:wordWrap/>
                    <w:overflowPunct/>
                    <w:topLinePunct w:val="0"/>
                    <w:autoSpaceDE/>
                    <w:autoSpaceDN/>
                    <w:bidi w:val="0"/>
                    <w:adjustRightInd w:val="0"/>
                    <w:snapToGrid w:val="0"/>
                    <w:ind w:firstLine="0" w:firstLineChars="0"/>
                    <w:textAlignment w:val="auto"/>
                    <w:rPr>
                      <w:color w:val="auto"/>
                      <w:sz w:val="20"/>
                      <w:szCs w:val="20"/>
                    </w:rPr>
                  </w:pPr>
                </w:p>
              </w:tc>
            </w:tr>
            <w:tr w14:paraId="49442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28" w:hRule="atLeast"/>
                <w:jc w:val="center"/>
              </w:trPr>
              <w:tc>
                <w:tcPr>
                  <w:tcW w:w="196" w:type="pct"/>
                  <w:vMerge w:val="continue"/>
                  <w:tcBorders>
                    <w:top w:val="single" w:color="auto" w:sz="4" w:space="0"/>
                    <w:left w:val="nil"/>
                    <w:bottom w:val="single" w:color="auto" w:sz="4" w:space="0"/>
                    <w:right w:val="single" w:color="auto" w:sz="4" w:space="0"/>
                  </w:tcBorders>
                  <w:shd w:val="clear" w:color="auto" w:fill="auto"/>
                  <w:vAlign w:val="center"/>
                </w:tcPr>
                <w:p w14:paraId="1C2D340A">
                  <w:pPr>
                    <w:keepNext w:val="0"/>
                    <w:keepLines w:val="0"/>
                    <w:pageBreakBefore w:val="0"/>
                    <w:widowControl w:val="0"/>
                    <w:kinsoku/>
                    <w:wordWrap/>
                    <w:overflowPunct/>
                    <w:topLinePunct w:val="0"/>
                    <w:autoSpaceDE/>
                    <w:autoSpaceDN/>
                    <w:bidi w:val="0"/>
                    <w:adjustRightInd w:val="0"/>
                    <w:snapToGrid w:val="0"/>
                    <w:ind w:firstLine="0" w:firstLineChars="0"/>
                    <w:textAlignment w:val="auto"/>
                    <w:rPr>
                      <w:color w:val="auto"/>
                      <w:sz w:val="20"/>
                      <w:szCs w:val="20"/>
                    </w:rPr>
                  </w:pPr>
                </w:p>
              </w:tc>
              <w:tc>
                <w:tcPr>
                  <w:tcW w:w="415" w:type="pct"/>
                  <w:tcBorders>
                    <w:top w:val="single" w:color="auto" w:sz="4" w:space="0"/>
                    <w:left w:val="single" w:color="auto" w:sz="4" w:space="0"/>
                    <w:bottom w:val="single" w:color="auto" w:sz="4" w:space="0"/>
                    <w:right w:val="single" w:color="auto" w:sz="4" w:space="0"/>
                  </w:tcBorders>
                  <w:shd w:val="clear" w:color="auto" w:fill="auto"/>
                  <w:vAlign w:val="center"/>
                </w:tcPr>
                <w:p w14:paraId="1DE8F2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一般固废仓库</w:t>
                  </w:r>
                </w:p>
              </w:tc>
              <w:tc>
                <w:tcPr>
                  <w:tcW w:w="1307" w:type="pct"/>
                  <w:tcBorders>
                    <w:top w:val="single" w:color="auto" w:sz="4" w:space="0"/>
                    <w:left w:val="single" w:color="auto" w:sz="4" w:space="0"/>
                    <w:bottom w:val="single" w:color="auto" w:sz="4" w:space="0"/>
                    <w:right w:val="single" w:color="auto" w:sz="4" w:space="0"/>
                  </w:tcBorders>
                  <w:shd w:val="clear" w:color="auto" w:fill="auto"/>
                  <w:vAlign w:val="center"/>
                </w:tcPr>
                <w:p w14:paraId="7A9A103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color w:val="auto"/>
                      <w:szCs w:val="21"/>
                    </w:rPr>
                  </w:pPr>
                  <w:r>
                    <w:rPr>
                      <w:color w:val="auto"/>
                      <w:szCs w:val="21"/>
                      <w:lang w:bidi="ar"/>
                    </w:rPr>
                    <w:t>a.</w:t>
                  </w:r>
                  <w:r>
                    <w:rPr>
                      <w:rFonts w:hint="eastAsia" w:hAnsi="宋体" w:cs="宋体"/>
                      <w:color w:val="auto"/>
                      <w:szCs w:val="21"/>
                      <w:lang w:bidi="ar"/>
                    </w:rPr>
                    <w:t>用以存放废边角料、不合格产品等一般固废；</w:t>
                  </w:r>
                </w:p>
                <w:p w14:paraId="1DDA806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color w:val="auto"/>
                      <w:szCs w:val="21"/>
                    </w:rPr>
                  </w:pPr>
                  <w:r>
                    <w:rPr>
                      <w:color w:val="auto"/>
                      <w:szCs w:val="21"/>
                      <w:lang w:bidi="ar"/>
                    </w:rPr>
                    <w:t>b.</w:t>
                  </w:r>
                  <w:r>
                    <w:rPr>
                      <w:rFonts w:hint="eastAsia" w:hAnsi="宋体" w:cs="宋体"/>
                      <w:color w:val="auto"/>
                      <w:szCs w:val="21"/>
                      <w:lang w:bidi="ar"/>
                    </w:rPr>
                    <w:t>产生的固废妥善处置，实现零排放。</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15C4E8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lang w:bidi="ar"/>
                    </w:rPr>
                    <w:t>50</w:t>
                  </w:r>
                  <w:r>
                    <w:rPr>
                      <w:color w:val="auto"/>
                      <w:szCs w:val="21"/>
                      <w:lang w:bidi="ar"/>
                    </w:rPr>
                    <w:t>m</w:t>
                  </w:r>
                  <w:r>
                    <w:rPr>
                      <w:color w:val="auto"/>
                      <w:szCs w:val="21"/>
                      <w:vertAlign w:val="superscript"/>
                      <w:lang w:bidi="ar"/>
                    </w:rPr>
                    <w:t>2</w:t>
                  </w:r>
                </w:p>
              </w:tc>
              <w:tc>
                <w:tcPr>
                  <w:tcW w:w="325" w:type="pct"/>
                  <w:tcBorders>
                    <w:top w:val="single" w:color="auto" w:sz="4" w:space="0"/>
                    <w:left w:val="single" w:color="auto" w:sz="4" w:space="0"/>
                    <w:bottom w:val="single" w:color="auto" w:sz="4" w:space="0"/>
                    <w:right w:val="single" w:color="auto" w:sz="4" w:space="0"/>
                  </w:tcBorders>
                  <w:shd w:val="clear" w:color="auto" w:fill="auto"/>
                  <w:vAlign w:val="center"/>
                </w:tcPr>
                <w:p w14:paraId="74EB35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lang w:bidi="ar"/>
                    </w:rPr>
                    <w:t>1</w:t>
                  </w:r>
                </w:p>
              </w:tc>
              <w:tc>
                <w:tcPr>
                  <w:tcW w:w="530" w:type="pct"/>
                  <w:tcBorders>
                    <w:top w:val="single" w:color="auto" w:sz="4" w:space="0"/>
                    <w:left w:val="single" w:color="auto" w:sz="4" w:space="0"/>
                    <w:bottom w:val="single" w:color="auto" w:sz="4" w:space="0"/>
                    <w:right w:val="single" w:color="auto" w:sz="4" w:space="0"/>
                  </w:tcBorders>
                  <w:shd w:val="clear" w:color="auto" w:fill="auto"/>
                  <w:vAlign w:val="center"/>
                </w:tcPr>
                <w:p w14:paraId="56BE3A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新建</w:t>
                  </w:r>
                </w:p>
              </w:tc>
              <w:tc>
                <w:tcPr>
                  <w:tcW w:w="351" w:type="pct"/>
                  <w:tcBorders>
                    <w:top w:val="single" w:color="auto" w:sz="4" w:space="0"/>
                    <w:left w:val="single" w:color="auto" w:sz="4" w:space="0"/>
                    <w:bottom w:val="single" w:color="auto" w:sz="4" w:space="0"/>
                    <w:right w:val="single" w:color="auto" w:sz="4" w:space="0"/>
                  </w:tcBorders>
                  <w:shd w:val="clear" w:color="auto" w:fill="auto"/>
                  <w:vAlign w:val="center"/>
                </w:tcPr>
                <w:p w14:paraId="5DF705E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lang w:bidi="ar"/>
                    </w:rPr>
                    <w:t>1</w:t>
                  </w:r>
                </w:p>
              </w:tc>
              <w:tc>
                <w:tcPr>
                  <w:tcW w:w="1059" w:type="pct"/>
                  <w:tcBorders>
                    <w:top w:val="single" w:color="auto" w:sz="4" w:space="0"/>
                    <w:left w:val="single" w:color="auto" w:sz="4" w:space="0"/>
                    <w:bottom w:val="single" w:color="auto" w:sz="4" w:space="0"/>
                    <w:right w:val="nil"/>
                  </w:tcBorders>
                  <w:shd w:val="clear" w:color="auto" w:fill="auto"/>
                  <w:vAlign w:val="center"/>
                </w:tcPr>
                <w:p w14:paraId="311FD7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安全暂存</w:t>
                  </w:r>
                </w:p>
              </w:tc>
              <w:tc>
                <w:tcPr>
                  <w:tcW w:w="323" w:type="pct"/>
                  <w:vMerge w:val="continue"/>
                  <w:tcBorders>
                    <w:top w:val="single" w:color="auto" w:sz="4" w:space="0"/>
                    <w:left w:val="single" w:color="auto" w:sz="4" w:space="0"/>
                    <w:bottom w:val="single" w:color="auto" w:sz="12" w:space="0"/>
                    <w:right w:val="nil"/>
                  </w:tcBorders>
                  <w:shd w:val="clear" w:color="auto" w:fill="auto"/>
                  <w:vAlign w:val="center"/>
                </w:tcPr>
                <w:p w14:paraId="0586BA62">
                  <w:pPr>
                    <w:keepNext w:val="0"/>
                    <w:keepLines w:val="0"/>
                    <w:pageBreakBefore w:val="0"/>
                    <w:widowControl w:val="0"/>
                    <w:kinsoku/>
                    <w:wordWrap/>
                    <w:overflowPunct/>
                    <w:topLinePunct w:val="0"/>
                    <w:autoSpaceDE/>
                    <w:autoSpaceDN/>
                    <w:bidi w:val="0"/>
                    <w:adjustRightInd w:val="0"/>
                    <w:snapToGrid w:val="0"/>
                    <w:ind w:firstLine="0" w:firstLineChars="0"/>
                    <w:textAlignment w:val="auto"/>
                    <w:rPr>
                      <w:color w:val="auto"/>
                      <w:sz w:val="20"/>
                      <w:szCs w:val="20"/>
                    </w:rPr>
                  </w:pPr>
                </w:p>
              </w:tc>
            </w:tr>
            <w:tr w14:paraId="145DC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6" w:type="pct"/>
                  <w:tcBorders>
                    <w:top w:val="single" w:color="auto" w:sz="4" w:space="0"/>
                    <w:left w:val="nil"/>
                    <w:bottom w:val="single" w:color="auto" w:sz="4" w:space="0"/>
                    <w:right w:val="single" w:color="auto" w:sz="4" w:space="0"/>
                  </w:tcBorders>
                  <w:shd w:val="clear" w:color="auto" w:fill="auto"/>
                  <w:vAlign w:val="center"/>
                </w:tcPr>
                <w:p w14:paraId="4D67CB2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绿化</w:t>
                  </w:r>
                </w:p>
              </w:tc>
              <w:tc>
                <w:tcPr>
                  <w:tcW w:w="415" w:type="pct"/>
                  <w:tcBorders>
                    <w:top w:val="single" w:color="auto" w:sz="4" w:space="0"/>
                    <w:left w:val="single" w:color="auto" w:sz="4" w:space="0"/>
                    <w:bottom w:val="single" w:color="auto" w:sz="4" w:space="0"/>
                    <w:right w:val="single" w:color="auto" w:sz="4" w:space="0"/>
                  </w:tcBorders>
                  <w:shd w:val="clear" w:color="auto" w:fill="auto"/>
                  <w:vAlign w:val="center"/>
                </w:tcPr>
                <w:p w14:paraId="7794E8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厂区绿化</w:t>
                  </w:r>
                </w:p>
              </w:tc>
              <w:tc>
                <w:tcPr>
                  <w:tcW w:w="212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14FF4F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color w:val="auto"/>
                      <w:szCs w:val="21"/>
                    </w:rPr>
                  </w:pPr>
                  <w:r>
                    <w:rPr>
                      <w:color w:val="auto"/>
                      <w:szCs w:val="21"/>
                      <w:lang w:bidi="ar"/>
                    </w:rPr>
                    <w:t>a.</w:t>
                  </w:r>
                  <w:r>
                    <w:rPr>
                      <w:rFonts w:hint="eastAsia" w:hAnsi="宋体" w:cs="宋体"/>
                      <w:color w:val="auto"/>
                      <w:szCs w:val="21"/>
                      <w:lang w:bidi="ar"/>
                    </w:rPr>
                    <w:t>在厂房之间种植灌木以吸收生产过程中产生的</w:t>
                  </w:r>
                  <w:r>
                    <w:rPr>
                      <w:rFonts w:hint="eastAsia" w:hAnsi="宋体" w:cs="宋体"/>
                      <w:color w:val="auto"/>
                      <w:szCs w:val="21"/>
                      <w:lang w:eastAsia="zh-CN" w:bidi="ar"/>
                    </w:rPr>
                    <w:t>噪声</w:t>
                  </w:r>
                  <w:r>
                    <w:rPr>
                      <w:rFonts w:hint="eastAsia" w:hAnsi="宋体" w:cs="宋体"/>
                      <w:color w:val="auto"/>
                      <w:szCs w:val="21"/>
                      <w:lang w:bidi="ar"/>
                    </w:rPr>
                    <w:t>；</w:t>
                  </w:r>
                </w:p>
                <w:p w14:paraId="7F58541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color w:val="auto"/>
                      <w:szCs w:val="21"/>
                    </w:rPr>
                  </w:pPr>
                  <w:r>
                    <w:rPr>
                      <w:color w:val="auto"/>
                      <w:szCs w:val="21"/>
                      <w:lang w:bidi="ar"/>
                    </w:rPr>
                    <w:t>b.</w:t>
                  </w:r>
                  <w:r>
                    <w:rPr>
                      <w:rFonts w:hint="eastAsia" w:hAnsi="宋体" w:cs="宋体"/>
                      <w:color w:val="auto"/>
                      <w:szCs w:val="21"/>
                      <w:lang w:bidi="ar"/>
                    </w:rPr>
                    <w:t>在厂区</w:t>
                  </w:r>
                  <w:r>
                    <w:rPr>
                      <w:rFonts w:hint="eastAsia" w:hAnsi="宋体" w:cs="宋体"/>
                      <w:color w:val="auto"/>
                      <w:szCs w:val="21"/>
                      <w:lang w:eastAsia="zh-CN" w:bidi="ar"/>
                    </w:rPr>
                    <w:t>建设</w:t>
                  </w:r>
                  <w:r>
                    <w:rPr>
                      <w:rFonts w:hint="eastAsia" w:hAnsi="宋体" w:cs="宋体"/>
                      <w:color w:val="auto"/>
                      <w:szCs w:val="21"/>
                      <w:lang w:bidi="ar"/>
                    </w:rPr>
                    <w:t>草坪等易生长的草本植物，不但可以增加厂内绿地的面积还可以吸收厂内排放的废气，用以净化空气。</w:t>
                  </w:r>
                </w:p>
              </w:tc>
              <w:tc>
                <w:tcPr>
                  <w:tcW w:w="530" w:type="pct"/>
                  <w:tcBorders>
                    <w:top w:val="single" w:color="auto" w:sz="4" w:space="0"/>
                    <w:left w:val="single" w:color="auto" w:sz="4" w:space="0"/>
                    <w:bottom w:val="single" w:color="auto" w:sz="4" w:space="0"/>
                    <w:right w:val="single" w:color="auto" w:sz="4" w:space="0"/>
                  </w:tcBorders>
                  <w:shd w:val="clear" w:color="auto" w:fill="auto"/>
                  <w:vAlign w:val="center"/>
                </w:tcPr>
                <w:p w14:paraId="6FB7E0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依托出租方现有</w:t>
                  </w:r>
                </w:p>
              </w:tc>
              <w:tc>
                <w:tcPr>
                  <w:tcW w:w="351" w:type="pct"/>
                  <w:tcBorders>
                    <w:top w:val="single" w:color="auto" w:sz="4" w:space="0"/>
                    <w:left w:val="single" w:color="auto" w:sz="4" w:space="0"/>
                    <w:bottom w:val="single" w:color="auto" w:sz="4" w:space="0"/>
                    <w:right w:val="single" w:color="auto" w:sz="4" w:space="0"/>
                  </w:tcBorders>
                  <w:shd w:val="clear" w:color="auto" w:fill="auto"/>
                  <w:vAlign w:val="center"/>
                </w:tcPr>
                <w:p w14:paraId="6A330C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lang w:bidi="ar"/>
                    </w:rPr>
                    <w:t>/</w:t>
                  </w:r>
                </w:p>
              </w:tc>
              <w:tc>
                <w:tcPr>
                  <w:tcW w:w="1059" w:type="pct"/>
                  <w:tcBorders>
                    <w:top w:val="single" w:color="auto" w:sz="4" w:space="0"/>
                    <w:left w:val="single" w:color="auto" w:sz="4" w:space="0"/>
                    <w:bottom w:val="single" w:color="auto" w:sz="4" w:space="0"/>
                    <w:right w:val="nil"/>
                  </w:tcBorders>
                  <w:shd w:val="clear" w:color="auto" w:fill="auto"/>
                  <w:vAlign w:val="center"/>
                </w:tcPr>
                <w:p w14:paraId="6E3DD9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美化环境减少污染，绿化率</w:t>
                  </w:r>
                  <w:r>
                    <w:rPr>
                      <w:color w:val="auto"/>
                      <w:szCs w:val="21"/>
                      <w:lang w:bidi="ar"/>
                    </w:rPr>
                    <w:t>10%</w:t>
                  </w:r>
                </w:p>
              </w:tc>
              <w:tc>
                <w:tcPr>
                  <w:tcW w:w="323" w:type="pct"/>
                  <w:vMerge w:val="continue"/>
                  <w:tcBorders>
                    <w:top w:val="single" w:color="auto" w:sz="4" w:space="0"/>
                    <w:left w:val="single" w:color="auto" w:sz="4" w:space="0"/>
                    <w:bottom w:val="single" w:color="auto" w:sz="12" w:space="0"/>
                    <w:right w:val="nil"/>
                  </w:tcBorders>
                  <w:shd w:val="clear" w:color="auto" w:fill="auto"/>
                  <w:vAlign w:val="center"/>
                </w:tcPr>
                <w:p w14:paraId="688ACE22">
                  <w:pPr>
                    <w:keepNext w:val="0"/>
                    <w:keepLines w:val="0"/>
                    <w:pageBreakBefore w:val="0"/>
                    <w:widowControl w:val="0"/>
                    <w:kinsoku/>
                    <w:wordWrap/>
                    <w:overflowPunct/>
                    <w:topLinePunct w:val="0"/>
                    <w:autoSpaceDE/>
                    <w:autoSpaceDN/>
                    <w:bidi w:val="0"/>
                    <w:adjustRightInd w:val="0"/>
                    <w:snapToGrid w:val="0"/>
                    <w:ind w:firstLine="0" w:firstLineChars="0"/>
                    <w:textAlignment w:val="auto"/>
                    <w:rPr>
                      <w:color w:val="auto"/>
                      <w:sz w:val="20"/>
                      <w:szCs w:val="20"/>
                    </w:rPr>
                  </w:pPr>
                </w:p>
              </w:tc>
            </w:tr>
            <w:tr w14:paraId="2CBD1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12" w:type="pct"/>
                  <w:gridSpan w:val="2"/>
                  <w:tcBorders>
                    <w:top w:val="single" w:color="auto" w:sz="4" w:space="0"/>
                    <w:left w:val="nil"/>
                    <w:bottom w:val="single" w:color="auto" w:sz="12" w:space="0"/>
                    <w:right w:val="single" w:color="auto" w:sz="4" w:space="0"/>
                  </w:tcBorders>
                  <w:shd w:val="clear" w:color="auto" w:fill="auto"/>
                  <w:vAlign w:val="center"/>
                </w:tcPr>
                <w:p w14:paraId="138091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环保投资概算</w:t>
                  </w:r>
                </w:p>
              </w:tc>
              <w:tc>
                <w:tcPr>
                  <w:tcW w:w="2652" w:type="pct"/>
                  <w:gridSpan w:val="4"/>
                  <w:tcBorders>
                    <w:top w:val="single" w:color="auto" w:sz="4" w:space="0"/>
                    <w:left w:val="nil"/>
                    <w:bottom w:val="single" w:color="auto" w:sz="12" w:space="0"/>
                    <w:right w:val="single" w:color="auto" w:sz="4" w:space="0"/>
                  </w:tcBorders>
                  <w:shd w:val="clear" w:color="auto" w:fill="auto"/>
                  <w:vAlign w:val="center"/>
                </w:tcPr>
                <w:p w14:paraId="06DC37E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hAnsi="宋体" w:cs="宋体"/>
                      <w:color w:val="auto"/>
                      <w:szCs w:val="21"/>
                      <w:lang w:bidi="ar"/>
                    </w:rPr>
                    <w:t>合计</w:t>
                  </w:r>
                </w:p>
              </w:tc>
              <w:tc>
                <w:tcPr>
                  <w:tcW w:w="351" w:type="pct"/>
                  <w:tcBorders>
                    <w:top w:val="single" w:color="auto" w:sz="4" w:space="0"/>
                    <w:left w:val="single" w:color="auto" w:sz="4" w:space="0"/>
                    <w:bottom w:val="single" w:color="auto" w:sz="12" w:space="0"/>
                    <w:right w:val="single" w:color="auto" w:sz="4" w:space="0"/>
                  </w:tcBorders>
                  <w:shd w:val="clear" w:color="auto" w:fill="auto"/>
                  <w:vAlign w:val="center"/>
                </w:tcPr>
                <w:p w14:paraId="0F8079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lang w:bidi="ar"/>
                    </w:rPr>
                    <w:t>1</w:t>
                  </w:r>
                  <w:r>
                    <w:rPr>
                      <w:rFonts w:hint="eastAsia"/>
                      <w:color w:val="auto"/>
                      <w:szCs w:val="21"/>
                      <w:lang w:bidi="ar"/>
                    </w:rPr>
                    <w:t>8.3</w:t>
                  </w:r>
                </w:p>
              </w:tc>
              <w:tc>
                <w:tcPr>
                  <w:tcW w:w="1059" w:type="pct"/>
                  <w:tcBorders>
                    <w:top w:val="single" w:color="auto" w:sz="4" w:space="0"/>
                    <w:left w:val="single" w:color="auto" w:sz="4" w:space="0"/>
                    <w:bottom w:val="single" w:color="auto" w:sz="12" w:space="0"/>
                    <w:right w:val="nil"/>
                  </w:tcBorders>
                  <w:shd w:val="clear" w:color="auto" w:fill="auto"/>
                  <w:vAlign w:val="center"/>
                </w:tcPr>
                <w:p w14:paraId="6D93A8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szCs w:val="21"/>
                    </w:rPr>
                  </w:pPr>
                  <w:r>
                    <w:rPr>
                      <w:color w:val="auto"/>
                      <w:szCs w:val="21"/>
                      <w:lang w:bidi="ar"/>
                    </w:rPr>
                    <w:t>/</w:t>
                  </w:r>
                </w:p>
              </w:tc>
              <w:tc>
                <w:tcPr>
                  <w:tcW w:w="323" w:type="pct"/>
                  <w:vMerge w:val="continue"/>
                  <w:tcBorders>
                    <w:top w:val="single" w:color="auto" w:sz="4" w:space="0"/>
                    <w:left w:val="single" w:color="auto" w:sz="4" w:space="0"/>
                    <w:bottom w:val="single" w:color="auto" w:sz="12" w:space="0"/>
                    <w:right w:val="nil"/>
                  </w:tcBorders>
                  <w:shd w:val="clear" w:color="auto" w:fill="auto"/>
                  <w:vAlign w:val="center"/>
                </w:tcPr>
                <w:p w14:paraId="26644B75">
                  <w:pPr>
                    <w:keepNext w:val="0"/>
                    <w:keepLines w:val="0"/>
                    <w:pageBreakBefore w:val="0"/>
                    <w:widowControl w:val="0"/>
                    <w:kinsoku/>
                    <w:wordWrap/>
                    <w:overflowPunct/>
                    <w:topLinePunct w:val="0"/>
                    <w:autoSpaceDE/>
                    <w:autoSpaceDN/>
                    <w:bidi w:val="0"/>
                    <w:adjustRightInd w:val="0"/>
                    <w:snapToGrid w:val="0"/>
                    <w:ind w:firstLine="0" w:firstLineChars="0"/>
                    <w:textAlignment w:val="auto"/>
                    <w:rPr>
                      <w:color w:val="auto"/>
                      <w:sz w:val="20"/>
                      <w:szCs w:val="20"/>
                    </w:rPr>
                  </w:pPr>
                </w:p>
              </w:tc>
            </w:tr>
          </w:tbl>
          <w:p w14:paraId="0A141402">
            <w:pPr>
              <w:adjustRightInd w:val="0"/>
              <w:snapToGrid w:val="0"/>
              <w:spacing w:line="360" w:lineRule="auto"/>
              <w:rPr>
                <w:color w:val="auto"/>
                <w:sz w:val="24"/>
              </w:rPr>
            </w:pPr>
          </w:p>
        </w:tc>
      </w:tr>
    </w:tbl>
    <w:p w14:paraId="07E98E9A">
      <w:pPr>
        <w:widowControl/>
        <w:adjustRightInd w:val="0"/>
        <w:snapToGrid w:val="0"/>
        <w:spacing w:line="360" w:lineRule="auto"/>
        <w:ind w:firstLine="600" w:firstLineChars="200"/>
        <w:jc w:val="left"/>
        <w:rPr>
          <w:snapToGrid w:val="0"/>
          <w:color w:val="auto"/>
          <w:sz w:val="30"/>
          <w:szCs w:val="30"/>
        </w:rPr>
      </w:pPr>
    </w:p>
    <w:p w14:paraId="4F5F1225">
      <w:pPr>
        <w:pStyle w:val="81"/>
        <w:spacing w:after="0" w:afterAutospacing="0"/>
        <w:ind w:firstLine="602"/>
        <w:jc w:val="center"/>
        <w:outlineLvl w:val="0"/>
        <w:rPr>
          <w:rFonts w:ascii="Times New Roman" w:hAnsi="Times New Roman"/>
          <w:b/>
          <w:bCs/>
          <w:snapToGrid w:val="0"/>
          <w:color w:val="auto"/>
          <w:sz w:val="30"/>
          <w:szCs w:val="30"/>
        </w:rPr>
      </w:pPr>
      <w:bookmarkStart w:id="37" w:name="_Toc26060"/>
      <w:r>
        <w:rPr>
          <w:rFonts w:ascii="Times New Roman" w:hAnsi="Times New Roman"/>
          <w:b/>
          <w:bCs/>
          <w:snapToGrid w:val="0"/>
          <w:color w:val="auto"/>
          <w:sz w:val="30"/>
          <w:szCs w:val="30"/>
        </w:rPr>
        <w:t>五、</w:t>
      </w:r>
      <w:bookmarkStart w:id="38" w:name="_Hlk54167917"/>
      <w:r>
        <w:rPr>
          <w:rFonts w:ascii="Times New Roman" w:hAnsi="Times New Roman"/>
          <w:b/>
          <w:bCs/>
          <w:snapToGrid w:val="0"/>
          <w:color w:val="auto"/>
          <w:sz w:val="30"/>
          <w:szCs w:val="30"/>
        </w:rPr>
        <w:t>环境保护措施监督检查清单</w:t>
      </w:r>
      <w:bookmarkEnd w:id="37"/>
      <w:bookmarkEnd w:id="38"/>
    </w:p>
    <w:tbl>
      <w:tblPr>
        <w:tblStyle w:val="8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5"/>
        <w:gridCol w:w="318"/>
        <w:gridCol w:w="1092"/>
        <w:gridCol w:w="822"/>
        <w:gridCol w:w="1431"/>
        <w:gridCol w:w="2070"/>
        <w:gridCol w:w="2422"/>
      </w:tblGrid>
      <w:tr w14:paraId="566297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5" w:type="dxa"/>
            <w:tcBorders>
              <w:top w:val="single" w:color="auto" w:sz="8" w:space="0"/>
              <w:bottom w:val="single" w:color="auto" w:sz="2" w:space="0"/>
              <w:right w:val="single" w:color="auto" w:sz="2" w:space="0"/>
              <w:tl2br w:val="single" w:color="auto" w:sz="4" w:space="0"/>
            </w:tcBorders>
            <w:vAlign w:val="center"/>
          </w:tcPr>
          <w:p w14:paraId="2C0BEE7A">
            <w:pPr>
              <w:adjustRightInd w:val="0"/>
              <w:snapToGrid w:val="0"/>
              <w:ind w:firstLine="210" w:firstLineChars="100"/>
              <w:jc w:val="center"/>
              <w:rPr>
                <w:color w:val="auto"/>
                <w:szCs w:val="21"/>
              </w:rPr>
            </w:pPr>
            <w:r>
              <w:rPr>
                <w:color w:val="auto"/>
                <w:szCs w:val="21"/>
              </w:rPr>
              <w:t>内容</w:t>
            </w:r>
          </w:p>
          <w:p w14:paraId="4854C157">
            <w:pPr>
              <w:adjustRightInd w:val="0"/>
              <w:snapToGrid w:val="0"/>
              <w:rPr>
                <w:color w:val="auto"/>
                <w:szCs w:val="21"/>
              </w:rPr>
            </w:pPr>
            <w:r>
              <w:rPr>
                <w:color w:val="auto"/>
                <w:szCs w:val="21"/>
              </w:rPr>
              <w:t>要素</w:t>
            </w:r>
          </w:p>
        </w:tc>
        <w:tc>
          <w:tcPr>
            <w:tcW w:w="2232" w:type="dxa"/>
            <w:gridSpan w:val="3"/>
            <w:tcBorders>
              <w:top w:val="single" w:color="auto" w:sz="8" w:space="0"/>
              <w:left w:val="single" w:color="auto" w:sz="2" w:space="0"/>
              <w:bottom w:val="single" w:color="auto" w:sz="2" w:space="0"/>
              <w:right w:val="single" w:color="auto" w:sz="2" w:space="0"/>
            </w:tcBorders>
            <w:vAlign w:val="center"/>
          </w:tcPr>
          <w:p w14:paraId="79C6D498">
            <w:pPr>
              <w:adjustRightInd w:val="0"/>
              <w:snapToGrid w:val="0"/>
              <w:jc w:val="center"/>
              <w:rPr>
                <w:color w:val="auto"/>
                <w:szCs w:val="21"/>
              </w:rPr>
            </w:pPr>
            <w:r>
              <w:rPr>
                <w:color w:val="auto"/>
                <w:szCs w:val="21"/>
              </w:rPr>
              <w:t>排放口</w:t>
            </w:r>
            <w:r>
              <w:rPr>
                <w:rFonts w:hint="eastAsia"/>
                <w:color w:val="auto"/>
                <w:szCs w:val="21"/>
              </w:rPr>
              <w:t>（</w:t>
            </w:r>
            <w:r>
              <w:rPr>
                <w:color w:val="auto"/>
                <w:szCs w:val="21"/>
              </w:rPr>
              <w:t>编号、</w:t>
            </w:r>
          </w:p>
          <w:p w14:paraId="0525E553">
            <w:pPr>
              <w:adjustRightInd w:val="0"/>
              <w:snapToGrid w:val="0"/>
              <w:jc w:val="center"/>
              <w:rPr>
                <w:color w:val="auto"/>
                <w:szCs w:val="21"/>
              </w:rPr>
            </w:pPr>
            <w:r>
              <w:rPr>
                <w:color w:val="auto"/>
                <w:szCs w:val="21"/>
              </w:rPr>
              <w:t>名称</w:t>
            </w:r>
            <w:r>
              <w:rPr>
                <w:rFonts w:hint="eastAsia"/>
                <w:color w:val="auto"/>
                <w:szCs w:val="21"/>
              </w:rPr>
              <w:t>）</w:t>
            </w:r>
            <w:r>
              <w:rPr>
                <w:color w:val="auto"/>
                <w:szCs w:val="21"/>
              </w:rPr>
              <w:t>/污染源</w:t>
            </w:r>
          </w:p>
        </w:tc>
        <w:tc>
          <w:tcPr>
            <w:tcW w:w="1431" w:type="dxa"/>
            <w:tcBorders>
              <w:top w:val="single" w:color="auto" w:sz="8" w:space="0"/>
              <w:left w:val="single" w:color="auto" w:sz="2" w:space="0"/>
              <w:bottom w:val="single" w:color="auto" w:sz="2" w:space="0"/>
              <w:right w:val="single" w:color="auto" w:sz="2" w:space="0"/>
            </w:tcBorders>
            <w:vAlign w:val="center"/>
          </w:tcPr>
          <w:p w14:paraId="1C29FC5F">
            <w:pPr>
              <w:adjustRightInd w:val="0"/>
              <w:snapToGrid w:val="0"/>
              <w:jc w:val="center"/>
              <w:rPr>
                <w:color w:val="auto"/>
                <w:szCs w:val="21"/>
              </w:rPr>
            </w:pPr>
            <w:r>
              <w:rPr>
                <w:color w:val="auto"/>
                <w:szCs w:val="21"/>
              </w:rPr>
              <w:t>污染物项目</w:t>
            </w:r>
          </w:p>
        </w:tc>
        <w:tc>
          <w:tcPr>
            <w:tcW w:w="2070" w:type="dxa"/>
            <w:tcBorders>
              <w:top w:val="single" w:color="auto" w:sz="8" w:space="0"/>
              <w:left w:val="single" w:color="auto" w:sz="2" w:space="0"/>
              <w:bottom w:val="single" w:color="auto" w:sz="2" w:space="0"/>
              <w:right w:val="single" w:color="auto" w:sz="2" w:space="0"/>
            </w:tcBorders>
            <w:vAlign w:val="center"/>
          </w:tcPr>
          <w:p w14:paraId="4A367917">
            <w:pPr>
              <w:adjustRightInd w:val="0"/>
              <w:snapToGrid w:val="0"/>
              <w:jc w:val="center"/>
              <w:rPr>
                <w:color w:val="auto"/>
                <w:szCs w:val="21"/>
              </w:rPr>
            </w:pPr>
            <w:r>
              <w:rPr>
                <w:color w:val="auto"/>
                <w:szCs w:val="21"/>
              </w:rPr>
              <w:t>环境保护措施</w:t>
            </w:r>
          </w:p>
        </w:tc>
        <w:tc>
          <w:tcPr>
            <w:tcW w:w="2422" w:type="dxa"/>
            <w:tcBorders>
              <w:top w:val="single" w:color="auto" w:sz="8" w:space="0"/>
              <w:left w:val="single" w:color="auto" w:sz="2" w:space="0"/>
              <w:bottom w:val="single" w:color="auto" w:sz="2" w:space="0"/>
            </w:tcBorders>
            <w:vAlign w:val="center"/>
          </w:tcPr>
          <w:p w14:paraId="760DD579">
            <w:pPr>
              <w:adjustRightInd w:val="0"/>
              <w:snapToGrid w:val="0"/>
              <w:jc w:val="center"/>
              <w:rPr>
                <w:color w:val="auto"/>
                <w:szCs w:val="21"/>
              </w:rPr>
            </w:pPr>
            <w:r>
              <w:rPr>
                <w:color w:val="auto"/>
                <w:szCs w:val="21"/>
              </w:rPr>
              <w:t>执行标准</w:t>
            </w:r>
          </w:p>
        </w:tc>
      </w:tr>
      <w:tr w14:paraId="1D22A7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905" w:type="dxa"/>
            <w:vMerge w:val="restart"/>
            <w:tcBorders>
              <w:top w:val="single" w:color="auto" w:sz="2" w:space="0"/>
              <w:right w:val="single" w:color="auto" w:sz="2" w:space="0"/>
            </w:tcBorders>
            <w:vAlign w:val="center"/>
          </w:tcPr>
          <w:p w14:paraId="49D2D829">
            <w:pPr>
              <w:adjustRightInd w:val="0"/>
              <w:snapToGrid w:val="0"/>
              <w:jc w:val="center"/>
              <w:rPr>
                <w:color w:val="auto"/>
                <w:szCs w:val="21"/>
              </w:rPr>
            </w:pPr>
            <w:r>
              <w:rPr>
                <w:color w:val="auto"/>
                <w:szCs w:val="21"/>
              </w:rPr>
              <w:t>大气环境</w:t>
            </w:r>
          </w:p>
        </w:tc>
        <w:tc>
          <w:tcPr>
            <w:tcW w:w="318" w:type="dxa"/>
            <w:vMerge w:val="restart"/>
            <w:tcBorders>
              <w:top w:val="single" w:color="auto" w:sz="2" w:space="0"/>
              <w:left w:val="single" w:color="auto" w:sz="2" w:space="0"/>
              <w:right w:val="single" w:color="auto" w:sz="2" w:space="0"/>
            </w:tcBorders>
            <w:vAlign w:val="center"/>
          </w:tcPr>
          <w:p w14:paraId="4E628A2C">
            <w:pPr>
              <w:adjustRightInd w:val="0"/>
              <w:snapToGrid w:val="0"/>
              <w:jc w:val="center"/>
              <w:rPr>
                <w:color w:val="auto"/>
                <w:szCs w:val="21"/>
              </w:rPr>
            </w:pPr>
            <w:r>
              <w:rPr>
                <w:color w:val="auto"/>
                <w:szCs w:val="21"/>
              </w:rPr>
              <w:t>有组织</w:t>
            </w:r>
          </w:p>
        </w:tc>
        <w:tc>
          <w:tcPr>
            <w:tcW w:w="1092" w:type="dxa"/>
            <w:tcBorders>
              <w:top w:val="single" w:color="auto" w:sz="2" w:space="0"/>
              <w:left w:val="single" w:color="auto" w:sz="2" w:space="0"/>
              <w:right w:val="single" w:color="auto" w:sz="2" w:space="0"/>
            </w:tcBorders>
            <w:vAlign w:val="center"/>
          </w:tcPr>
          <w:p w14:paraId="50859CE9">
            <w:pPr>
              <w:tabs>
                <w:tab w:val="left" w:pos="1110"/>
              </w:tabs>
              <w:adjustRightInd w:val="0"/>
              <w:snapToGrid w:val="0"/>
              <w:jc w:val="center"/>
              <w:rPr>
                <w:color w:val="auto"/>
                <w:szCs w:val="21"/>
              </w:rPr>
            </w:pPr>
            <w:r>
              <w:rPr>
                <w:rFonts w:hint="eastAsia"/>
                <w:color w:val="auto"/>
                <w:szCs w:val="21"/>
                <w:lang w:val="en-US" w:eastAsia="zh-CN"/>
              </w:rPr>
              <w:t>1#</w:t>
            </w:r>
            <w:r>
              <w:rPr>
                <w:color w:val="auto"/>
                <w:szCs w:val="21"/>
              </w:rPr>
              <w:t>排气筒</w:t>
            </w:r>
          </w:p>
        </w:tc>
        <w:tc>
          <w:tcPr>
            <w:tcW w:w="822" w:type="dxa"/>
            <w:tcBorders>
              <w:top w:val="single" w:color="auto" w:sz="2" w:space="0"/>
              <w:left w:val="single" w:color="auto" w:sz="2" w:space="0"/>
              <w:bottom w:val="single" w:color="auto" w:sz="4" w:space="0"/>
              <w:right w:val="single" w:color="auto" w:sz="2" w:space="0"/>
            </w:tcBorders>
            <w:shd w:val="clear" w:color="auto" w:fill="auto"/>
            <w:vAlign w:val="center"/>
          </w:tcPr>
          <w:p w14:paraId="07199BD5">
            <w:pPr>
              <w:tabs>
                <w:tab w:val="left" w:pos="1110"/>
              </w:tabs>
              <w:adjustRightInd w:val="0"/>
              <w:snapToGrid w:val="0"/>
              <w:jc w:val="center"/>
              <w:rPr>
                <w:color w:val="auto"/>
                <w:szCs w:val="21"/>
              </w:rPr>
            </w:pPr>
            <w:r>
              <w:rPr>
                <w:rFonts w:hint="eastAsia"/>
                <w:color w:val="auto"/>
                <w:szCs w:val="21"/>
              </w:rPr>
              <w:t>切割粉尘</w:t>
            </w:r>
          </w:p>
        </w:tc>
        <w:tc>
          <w:tcPr>
            <w:tcW w:w="1431" w:type="dxa"/>
            <w:tcBorders>
              <w:top w:val="single" w:color="auto" w:sz="2" w:space="0"/>
              <w:left w:val="single" w:color="auto" w:sz="2" w:space="0"/>
              <w:bottom w:val="single" w:color="auto" w:sz="4" w:space="0"/>
              <w:right w:val="single" w:color="auto" w:sz="2" w:space="0"/>
            </w:tcBorders>
            <w:shd w:val="clear" w:color="auto" w:fill="auto"/>
            <w:vAlign w:val="center"/>
          </w:tcPr>
          <w:p w14:paraId="28302267">
            <w:pPr>
              <w:adjustRightInd w:val="0"/>
              <w:snapToGrid w:val="0"/>
              <w:jc w:val="center"/>
              <w:rPr>
                <w:color w:val="auto"/>
                <w:szCs w:val="21"/>
              </w:rPr>
            </w:pPr>
            <w:r>
              <w:rPr>
                <w:rFonts w:hint="eastAsia"/>
                <w:color w:val="auto"/>
                <w:szCs w:val="21"/>
              </w:rPr>
              <w:t>颗粒物</w:t>
            </w:r>
          </w:p>
        </w:tc>
        <w:tc>
          <w:tcPr>
            <w:tcW w:w="2070" w:type="dxa"/>
            <w:tcBorders>
              <w:top w:val="single" w:color="auto" w:sz="2" w:space="0"/>
              <w:left w:val="single" w:color="auto" w:sz="2" w:space="0"/>
              <w:bottom w:val="single" w:color="000000" w:sz="4" w:space="0"/>
              <w:right w:val="single" w:color="auto" w:sz="2" w:space="0"/>
            </w:tcBorders>
            <w:shd w:val="clear" w:color="auto" w:fill="auto"/>
            <w:vAlign w:val="center"/>
          </w:tcPr>
          <w:p w14:paraId="66B48DC6">
            <w:pPr>
              <w:adjustRightInd w:val="0"/>
              <w:snapToGrid w:val="0"/>
              <w:jc w:val="center"/>
              <w:rPr>
                <w:color w:val="auto"/>
                <w:szCs w:val="21"/>
              </w:rPr>
            </w:pPr>
            <w:r>
              <w:rPr>
                <w:rFonts w:hint="eastAsia"/>
                <w:color w:val="auto"/>
                <w:szCs w:val="21"/>
              </w:rPr>
              <w:t>布袋除尘器+15</w:t>
            </w:r>
            <w:r>
              <w:rPr>
                <w:rFonts w:hint="eastAsia"/>
                <w:color w:val="auto"/>
                <w:szCs w:val="21"/>
                <w:lang w:val="en-US" w:eastAsia="zh-CN"/>
              </w:rPr>
              <w:t>m</w:t>
            </w:r>
            <w:r>
              <w:rPr>
                <w:rFonts w:hint="eastAsia"/>
                <w:color w:val="auto"/>
                <w:szCs w:val="21"/>
              </w:rPr>
              <w:t>高</w:t>
            </w:r>
            <w:r>
              <w:rPr>
                <w:rFonts w:hint="eastAsia"/>
                <w:color w:val="auto"/>
                <w:szCs w:val="21"/>
                <w:lang w:val="en-US" w:eastAsia="zh-CN"/>
              </w:rPr>
              <w:t>1#</w:t>
            </w:r>
            <w:r>
              <w:rPr>
                <w:rFonts w:hint="eastAsia"/>
                <w:color w:val="auto"/>
                <w:szCs w:val="21"/>
              </w:rPr>
              <w:t>排气筒</w:t>
            </w:r>
          </w:p>
        </w:tc>
        <w:tc>
          <w:tcPr>
            <w:tcW w:w="2422" w:type="dxa"/>
            <w:tcBorders>
              <w:top w:val="single" w:color="auto" w:sz="2" w:space="0"/>
              <w:left w:val="single" w:color="auto" w:sz="2" w:space="0"/>
            </w:tcBorders>
            <w:vAlign w:val="center"/>
          </w:tcPr>
          <w:p w14:paraId="1C27223D">
            <w:pPr>
              <w:jc w:val="center"/>
              <w:rPr>
                <w:color w:val="auto"/>
                <w:szCs w:val="21"/>
              </w:rPr>
            </w:pPr>
            <w:r>
              <w:rPr>
                <w:color w:val="auto"/>
                <w:szCs w:val="21"/>
              </w:rPr>
              <w:t>《大气污染物综合排放标准》（DB32/4041-2021）表</w:t>
            </w:r>
            <w:r>
              <w:rPr>
                <w:rFonts w:hint="eastAsia"/>
                <w:color w:val="auto"/>
                <w:szCs w:val="21"/>
              </w:rPr>
              <w:t>1</w:t>
            </w:r>
          </w:p>
        </w:tc>
      </w:tr>
      <w:tr w14:paraId="63EEB7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905" w:type="dxa"/>
            <w:vMerge w:val="continue"/>
            <w:tcBorders>
              <w:right w:val="single" w:color="auto" w:sz="2" w:space="0"/>
            </w:tcBorders>
            <w:vAlign w:val="center"/>
          </w:tcPr>
          <w:p w14:paraId="1719DA94">
            <w:pPr>
              <w:adjustRightInd w:val="0"/>
              <w:snapToGrid w:val="0"/>
              <w:jc w:val="center"/>
              <w:rPr>
                <w:color w:val="auto"/>
                <w:szCs w:val="21"/>
              </w:rPr>
            </w:pPr>
          </w:p>
        </w:tc>
        <w:tc>
          <w:tcPr>
            <w:tcW w:w="318" w:type="dxa"/>
            <w:vMerge w:val="continue"/>
            <w:tcBorders>
              <w:left w:val="single" w:color="auto" w:sz="2" w:space="0"/>
              <w:right w:val="single" w:color="auto" w:sz="2" w:space="0"/>
            </w:tcBorders>
            <w:vAlign w:val="center"/>
          </w:tcPr>
          <w:p w14:paraId="432B2EB7">
            <w:pPr>
              <w:adjustRightInd w:val="0"/>
              <w:snapToGrid w:val="0"/>
              <w:jc w:val="center"/>
              <w:rPr>
                <w:color w:val="auto"/>
                <w:szCs w:val="21"/>
              </w:rPr>
            </w:pPr>
          </w:p>
        </w:tc>
        <w:tc>
          <w:tcPr>
            <w:tcW w:w="1092" w:type="dxa"/>
            <w:tcBorders>
              <w:top w:val="single" w:color="auto" w:sz="2" w:space="0"/>
              <w:left w:val="single" w:color="auto" w:sz="2" w:space="0"/>
              <w:right w:val="single" w:color="auto" w:sz="2" w:space="0"/>
            </w:tcBorders>
            <w:vAlign w:val="center"/>
          </w:tcPr>
          <w:p w14:paraId="0C827B2F">
            <w:pPr>
              <w:tabs>
                <w:tab w:val="left" w:pos="1110"/>
              </w:tabs>
              <w:adjustRightInd w:val="0"/>
              <w:snapToGrid w:val="0"/>
              <w:jc w:val="center"/>
              <w:rPr>
                <w:color w:val="auto"/>
                <w:szCs w:val="21"/>
              </w:rPr>
            </w:pPr>
            <w:r>
              <w:rPr>
                <w:rFonts w:hint="eastAsia"/>
                <w:color w:val="auto"/>
                <w:szCs w:val="21"/>
                <w:lang w:val="en-US" w:eastAsia="zh-CN"/>
              </w:rPr>
              <w:t>2#</w:t>
            </w:r>
            <w:r>
              <w:rPr>
                <w:color w:val="auto"/>
                <w:szCs w:val="21"/>
              </w:rPr>
              <w:t>排气筒</w:t>
            </w:r>
          </w:p>
        </w:tc>
        <w:tc>
          <w:tcPr>
            <w:tcW w:w="822" w:type="dxa"/>
            <w:tcBorders>
              <w:top w:val="single" w:color="auto" w:sz="2" w:space="0"/>
              <w:left w:val="single" w:color="auto" w:sz="2" w:space="0"/>
              <w:bottom w:val="single" w:color="auto" w:sz="4" w:space="0"/>
              <w:right w:val="single" w:color="auto" w:sz="2" w:space="0"/>
            </w:tcBorders>
            <w:shd w:val="clear" w:color="auto" w:fill="auto"/>
            <w:vAlign w:val="center"/>
          </w:tcPr>
          <w:p w14:paraId="0F4598DB">
            <w:pPr>
              <w:tabs>
                <w:tab w:val="left" w:pos="1110"/>
              </w:tabs>
              <w:adjustRightInd w:val="0"/>
              <w:snapToGrid w:val="0"/>
              <w:jc w:val="center"/>
              <w:rPr>
                <w:rFonts w:hint="eastAsia" w:eastAsia="宋体"/>
                <w:color w:val="auto"/>
                <w:szCs w:val="21"/>
                <w:lang w:val="en-US" w:eastAsia="zh-CN"/>
              </w:rPr>
            </w:pPr>
            <w:r>
              <w:rPr>
                <w:rFonts w:hint="eastAsia"/>
                <w:color w:val="auto"/>
                <w:szCs w:val="21"/>
              </w:rPr>
              <w:t>浸漆、烘干</w:t>
            </w:r>
            <w:r>
              <w:rPr>
                <w:rFonts w:hint="eastAsia"/>
                <w:color w:val="auto"/>
                <w:szCs w:val="21"/>
                <w:lang w:eastAsia="zh-CN"/>
              </w:rPr>
              <w:t>、喷漆、擦拭</w:t>
            </w:r>
          </w:p>
        </w:tc>
        <w:tc>
          <w:tcPr>
            <w:tcW w:w="1431" w:type="dxa"/>
            <w:tcBorders>
              <w:top w:val="single" w:color="auto" w:sz="2" w:space="0"/>
              <w:left w:val="single" w:color="auto" w:sz="2" w:space="0"/>
              <w:bottom w:val="single" w:color="auto" w:sz="4" w:space="0"/>
              <w:right w:val="single" w:color="auto" w:sz="2" w:space="0"/>
            </w:tcBorders>
            <w:shd w:val="clear" w:color="auto" w:fill="auto"/>
            <w:vAlign w:val="center"/>
          </w:tcPr>
          <w:p w14:paraId="773673B4">
            <w:pPr>
              <w:adjustRightInd w:val="0"/>
              <w:snapToGrid w:val="0"/>
              <w:jc w:val="center"/>
              <w:rPr>
                <w:rFonts w:hint="eastAsia" w:eastAsia="宋体"/>
                <w:color w:val="auto"/>
                <w:szCs w:val="21"/>
                <w:lang w:eastAsia="zh-CN"/>
              </w:rPr>
            </w:pPr>
            <w:r>
              <w:rPr>
                <w:rFonts w:hint="eastAsia"/>
                <w:color w:val="auto"/>
                <w:szCs w:val="21"/>
              </w:rPr>
              <w:t>NMHC</w:t>
            </w:r>
            <w:r>
              <w:rPr>
                <w:rFonts w:hint="eastAsia"/>
                <w:color w:val="auto"/>
                <w:szCs w:val="21"/>
                <w:lang w:eastAsia="zh-CN"/>
              </w:rPr>
              <w:t>、颗粒物</w:t>
            </w:r>
          </w:p>
        </w:tc>
        <w:tc>
          <w:tcPr>
            <w:tcW w:w="2070" w:type="dxa"/>
            <w:tcBorders>
              <w:top w:val="single" w:color="auto" w:sz="2" w:space="0"/>
              <w:left w:val="single" w:color="auto" w:sz="2" w:space="0"/>
              <w:bottom w:val="single" w:color="000000" w:sz="4" w:space="0"/>
              <w:right w:val="single" w:color="auto" w:sz="2" w:space="0"/>
            </w:tcBorders>
            <w:shd w:val="clear" w:color="auto" w:fill="auto"/>
            <w:vAlign w:val="center"/>
          </w:tcPr>
          <w:p w14:paraId="0EEA6233">
            <w:pPr>
              <w:adjustRightInd w:val="0"/>
              <w:snapToGrid w:val="0"/>
              <w:jc w:val="center"/>
              <w:rPr>
                <w:color w:val="auto"/>
                <w:szCs w:val="21"/>
              </w:rPr>
            </w:pPr>
            <w:r>
              <w:rPr>
                <w:rFonts w:hint="eastAsia"/>
                <w:color w:val="auto"/>
                <w:szCs w:val="21"/>
              </w:rPr>
              <w:t>干式过滤棉+二级活性炭+15</w:t>
            </w:r>
            <w:r>
              <w:rPr>
                <w:rFonts w:hint="eastAsia"/>
                <w:color w:val="auto"/>
                <w:szCs w:val="21"/>
                <w:lang w:val="en-US" w:eastAsia="zh-CN"/>
              </w:rPr>
              <w:t>m</w:t>
            </w:r>
            <w:r>
              <w:rPr>
                <w:rFonts w:hint="eastAsia"/>
                <w:color w:val="auto"/>
                <w:szCs w:val="21"/>
              </w:rPr>
              <w:t>高</w:t>
            </w:r>
            <w:r>
              <w:rPr>
                <w:rFonts w:hint="eastAsia"/>
                <w:color w:val="auto"/>
                <w:szCs w:val="21"/>
                <w:lang w:val="en-US" w:eastAsia="zh-CN"/>
              </w:rPr>
              <w:t>2#</w:t>
            </w:r>
            <w:r>
              <w:rPr>
                <w:rFonts w:hint="eastAsia"/>
                <w:color w:val="auto"/>
                <w:szCs w:val="21"/>
              </w:rPr>
              <w:t>排气筒</w:t>
            </w:r>
          </w:p>
        </w:tc>
        <w:tc>
          <w:tcPr>
            <w:tcW w:w="2422" w:type="dxa"/>
            <w:tcBorders>
              <w:top w:val="single" w:color="auto" w:sz="2" w:space="0"/>
              <w:left w:val="single" w:color="auto" w:sz="2" w:space="0"/>
            </w:tcBorders>
            <w:vAlign w:val="center"/>
          </w:tcPr>
          <w:p w14:paraId="268CC30D">
            <w:pPr>
              <w:jc w:val="center"/>
              <w:rPr>
                <w:color w:val="auto"/>
                <w:szCs w:val="21"/>
              </w:rPr>
            </w:pPr>
            <w:r>
              <w:rPr>
                <w:color w:val="auto"/>
                <w:szCs w:val="21"/>
              </w:rPr>
              <w:t>《</w:t>
            </w:r>
            <w:r>
              <w:rPr>
                <w:rFonts w:hint="eastAsia"/>
                <w:color w:val="auto"/>
                <w:szCs w:val="21"/>
              </w:rPr>
              <w:t>工业涂装工序大气污染物</w:t>
            </w:r>
            <w:r>
              <w:rPr>
                <w:color w:val="auto"/>
                <w:szCs w:val="21"/>
              </w:rPr>
              <w:t>排放标准》（</w:t>
            </w:r>
            <w:r>
              <w:rPr>
                <w:rFonts w:hint="eastAsia"/>
                <w:color w:val="auto"/>
                <w:szCs w:val="21"/>
              </w:rPr>
              <w:t>D</w:t>
            </w:r>
            <w:r>
              <w:rPr>
                <w:color w:val="auto"/>
                <w:szCs w:val="21"/>
              </w:rPr>
              <w:t>B</w:t>
            </w:r>
            <w:r>
              <w:rPr>
                <w:rFonts w:hint="eastAsia"/>
                <w:color w:val="auto"/>
                <w:szCs w:val="21"/>
              </w:rPr>
              <w:t>32/4439-2022</w:t>
            </w:r>
            <w:r>
              <w:rPr>
                <w:color w:val="auto"/>
                <w:szCs w:val="21"/>
              </w:rPr>
              <w:t>）</w:t>
            </w:r>
            <w:r>
              <w:rPr>
                <w:rFonts w:hint="eastAsia"/>
                <w:color w:val="auto"/>
                <w:szCs w:val="21"/>
              </w:rPr>
              <w:t>表1</w:t>
            </w:r>
          </w:p>
        </w:tc>
      </w:tr>
      <w:tr w14:paraId="467259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5" w:type="dxa"/>
            <w:vMerge w:val="continue"/>
            <w:tcBorders>
              <w:right w:val="single" w:color="auto" w:sz="2" w:space="0"/>
            </w:tcBorders>
            <w:vAlign w:val="center"/>
          </w:tcPr>
          <w:p w14:paraId="265AF8DE">
            <w:pPr>
              <w:jc w:val="center"/>
              <w:rPr>
                <w:color w:val="auto"/>
                <w:szCs w:val="21"/>
              </w:rPr>
            </w:pPr>
          </w:p>
        </w:tc>
        <w:tc>
          <w:tcPr>
            <w:tcW w:w="2232" w:type="dxa"/>
            <w:gridSpan w:val="3"/>
            <w:tcBorders>
              <w:top w:val="single" w:color="auto" w:sz="2" w:space="0"/>
              <w:left w:val="single" w:color="auto" w:sz="2" w:space="0"/>
              <w:bottom w:val="single" w:color="auto" w:sz="2" w:space="0"/>
              <w:right w:val="single" w:color="auto" w:sz="2" w:space="0"/>
            </w:tcBorders>
            <w:vAlign w:val="center"/>
          </w:tcPr>
          <w:p w14:paraId="14B37DEA">
            <w:pPr>
              <w:tabs>
                <w:tab w:val="left" w:pos="1110"/>
              </w:tabs>
              <w:adjustRightInd w:val="0"/>
              <w:snapToGrid w:val="0"/>
              <w:jc w:val="center"/>
              <w:rPr>
                <w:color w:val="auto"/>
                <w:szCs w:val="21"/>
              </w:rPr>
            </w:pPr>
            <w:r>
              <w:rPr>
                <w:rFonts w:hint="eastAsia"/>
                <w:color w:val="auto"/>
                <w:szCs w:val="21"/>
              </w:rPr>
              <w:t>厂界</w:t>
            </w:r>
          </w:p>
        </w:tc>
        <w:tc>
          <w:tcPr>
            <w:tcW w:w="1431" w:type="dxa"/>
            <w:tcBorders>
              <w:top w:val="single" w:color="auto" w:sz="2" w:space="0"/>
              <w:left w:val="single" w:color="auto" w:sz="2" w:space="0"/>
              <w:bottom w:val="single" w:color="auto" w:sz="2" w:space="0"/>
              <w:right w:val="single" w:color="auto" w:sz="2" w:space="0"/>
            </w:tcBorders>
            <w:vAlign w:val="center"/>
          </w:tcPr>
          <w:p w14:paraId="42D3F73F">
            <w:pPr>
              <w:adjustRightInd w:val="0"/>
              <w:snapToGrid w:val="0"/>
              <w:jc w:val="center"/>
              <w:rPr>
                <w:color w:val="auto"/>
                <w:szCs w:val="21"/>
              </w:rPr>
            </w:pPr>
            <w:r>
              <w:rPr>
                <w:rFonts w:hint="eastAsia"/>
                <w:color w:val="auto"/>
                <w:szCs w:val="21"/>
              </w:rPr>
              <w:t>颗粒物、NMHC</w:t>
            </w:r>
          </w:p>
        </w:tc>
        <w:tc>
          <w:tcPr>
            <w:tcW w:w="2070" w:type="dxa"/>
            <w:tcBorders>
              <w:top w:val="single" w:color="auto" w:sz="2" w:space="0"/>
              <w:left w:val="single" w:color="auto" w:sz="2" w:space="0"/>
              <w:bottom w:val="single" w:color="auto" w:sz="2" w:space="0"/>
              <w:right w:val="single" w:color="auto" w:sz="2" w:space="0"/>
            </w:tcBorders>
            <w:vAlign w:val="center"/>
          </w:tcPr>
          <w:p w14:paraId="721EC2C5">
            <w:pPr>
              <w:jc w:val="center"/>
              <w:rPr>
                <w:color w:val="auto"/>
                <w:szCs w:val="21"/>
              </w:rPr>
            </w:pPr>
            <w:r>
              <w:rPr>
                <w:color w:val="auto"/>
                <w:szCs w:val="21"/>
              </w:rPr>
              <w:t>/</w:t>
            </w:r>
          </w:p>
        </w:tc>
        <w:tc>
          <w:tcPr>
            <w:tcW w:w="2422" w:type="dxa"/>
            <w:tcBorders>
              <w:top w:val="single" w:color="auto" w:sz="2" w:space="0"/>
              <w:left w:val="single" w:color="auto" w:sz="2" w:space="0"/>
              <w:bottom w:val="single" w:color="auto" w:sz="2" w:space="0"/>
            </w:tcBorders>
            <w:vAlign w:val="center"/>
          </w:tcPr>
          <w:p w14:paraId="517AD630">
            <w:pPr>
              <w:jc w:val="center"/>
              <w:rPr>
                <w:color w:val="auto"/>
                <w:szCs w:val="21"/>
              </w:rPr>
            </w:pPr>
            <w:r>
              <w:rPr>
                <w:color w:val="auto"/>
                <w:szCs w:val="21"/>
              </w:rPr>
              <w:t>《大气污染物综合排放标准》（DB32/4041-2021）表3</w:t>
            </w:r>
          </w:p>
        </w:tc>
      </w:tr>
      <w:tr w14:paraId="7089A7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5" w:type="dxa"/>
            <w:vMerge w:val="continue"/>
            <w:tcBorders>
              <w:bottom w:val="single" w:color="auto" w:sz="2" w:space="0"/>
              <w:right w:val="single" w:color="auto" w:sz="2" w:space="0"/>
            </w:tcBorders>
            <w:vAlign w:val="center"/>
          </w:tcPr>
          <w:p w14:paraId="1672219C">
            <w:pPr>
              <w:jc w:val="center"/>
              <w:rPr>
                <w:color w:val="auto"/>
                <w:szCs w:val="21"/>
              </w:rPr>
            </w:pPr>
          </w:p>
        </w:tc>
        <w:tc>
          <w:tcPr>
            <w:tcW w:w="2232" w:type="dxa"/>
            <w:gridSpan w:val="3"/>
            <w:tcBorders>
              <w:top w:val="single" w:color="auto" w:sz="2" w:space="0"/>
              <w:left w:val="single" w:color="auto" w:sz="2" w:space="0"/>
              <w:bottom w:val="single" w:color="auto" w:sz="2" w:space="0"/>
              <w:right w:val="single" w:color="auto" w:sz="2" w:space="0"/>
            </w:tcBorders>
            <w:vAlign w:val="center"/>
          </w:tcPr>
          <w:p w14:paraId="0D1CD798">
            <w:pPr>
              <w:tabs>
                <w:tab w:val="left" w:pos="1110"/>
              </w:tabs>
              <w:adjustRightInd w:val="0"/>
              <w:snapToGrid w:val="0"/>
              <w:jc w:val="center"/>
              <w:rPr>
                <w:color w:val="auto"/>
                <w:szCs w:val="21"/>
              </w:rPr>
            </w:pPr>
            <w:r>
              <w:rPr>
                <w:rFonts w:hint="eastAsia"/>
                <w:color w:val="auto"/>
                <w:szCs w:val="21"/>
              </w:rPr>
              <w:t>厂区内</w:t>
            </w:r>
          </w:p>
        </w:tc>
        <w:tc>
          <w:tcPr>
            <w:tcW w:w="1431" w:type="dxa"/>
            <w:tcBorders>
              <w:top w:val="single" w:color="auto" w:sz="2" w:space="0"/>
              <w:left w:val="single" w:color="auto" w:sz="2" w:space="0"/>
              <w:bottom w:val="single" w:color="auto" w:sz="2" w:space="0"/>
              <w:right w:val="single" w:color="auto" w:sz="2" w:space="0"/>
            </w:tcBorders>
            <w:vAlign w:val="center"/>
          </w:tcPr>
          <w:p w14:paraId="3CC5836D">
            <w:pPr>
              <w:adjustRightInd w:val="0"/>
              <w:snapToGrid w:val="0"/>
              <w:jc w:val="center"/>
              <w:rPr>
                <w:color w:val="auto"/>
                <w:szCs w:val="21"/>
              </w:rPr>
            </w:pPr>
            <w:r>
              <w:rPr>
                <w:rFonts w:hint="eastAsia"/>
                <w:color w:val="auto"/>
                <w:szCs w:val="21"/>
              </w:rPr>
              <w:t>NMHC</w:t>
            </w:r>
          </w:p>
        </w:tc>
        <w:tc>
          <w:tcPr>
            <w:tcW w:w="2070" w:type="dxa"/>
            <w:tcBorders>
              <w:top w:val="single" w:color="auto" w:sz="2" w:space="0"/>
              <w:left w:val="single" w:color="auto" w:sz="2" w:space="0"/>
              <w:bottom w:val="single" w:color="auto" w:sz="2" w:space="0"/>
              <w:right w:val="single" w:color="auto" w:sz="2" w:space="0"/>
            </w:tcBorders>
            <w:vAlign w:val="center"/>
          </w:tcPr>
          <w:p w14:paraId="74BBF5E1">
            <w:pPr>
              <w:jc w:val="center"/>
              <w:rPr>
                <w:color w:val="auto"/>
                <w:szCs w:val="21"/>
              </w:rPr>
            </w:pPr>
            <w:r>
              <w:rPr>
                <w:color w:val="auto"/>
                <w:szCs w:val="21"/>
              </w:rPr>
              <w:t>/</w:t>
            </w:r>
          </w:p>
        </w:tc>
        <w:tc>
          <w:tcPr>
            <w:tcW w:w="2422" w:type="dxa"/>
            <w:tcBorders>
              <w:top w:val="single" w:color="auto" w:sz="2" w:space="0"/>
              <w:left w:val="single" w:color="auto" w:sz="2" w:space="0"/>
              <w:bottom w:val="single" w:color="auto" w:sz="2" w:space="0"/>
            </w:tcBorders>
            <w:vAlign w:val="center"/>
          </w:tcPr>
          <w:p w14:paraId="0B237A0C">
            <w:pPr>
              <w:jc w:val="center"/>
              <w:rPr>
                <w:color w:val="auto"/>
                <w:szCs w:val="21"/>
              </w:rPr>
            </w:pPr>
            <w:r>
              <w:rPr>
                <w:color w:val="auto"/>
                <w:szCs w:val="21"/>
              </w:rPr>
              <w:t>《</w:t>
            </w:r>
            <w:r>
              <w:rPr>
                <w:rFonts w:hint="eastAsia"/>
                <w:color w:val="auto"/>
                <w:szCs w:val="21"/>
              </w:rPr>
              <w:t>工业涂装工序大气污染物</w:t>
            </w:r>
            <w:r>
              <w:rPr>
                <w:color w:val="auto"/>
                <w:szCs w:val="21"/>
              </w:rPr>
              <w:t>排放标准》（</w:t>
            </w:r>
            <w:r>
              <w:rPr>
                <w:rFonts w:hint="eastAsia"/>
                <w:color w:val="auto"/>
                <w:szCs w:val="21"/>
              </w:rPr>
              <w:t>D</w:t>
            </w:r>
            <w:r>
              <w:rPr>
                <w:color w:val="auto"/>
                <w:szCs w:val="21"/>
              </w:rPr>
              <w:t>B</w:t>
            </w:r>
            <w:r>
              <w:rPr>
                <w:rFonts w:hint="eastAsia"/>
                <w:color w:val="auto"/>
                <w:szCs w:val="21"/>
              </w:rPr>
              <w:t>32/4439-2022</w:t>
            </w:r>
            <w:r>
              <w:rPr>
                <w:color w:val="auto"/>
                <w:szCs w:val="21"/>
              </w:rPr>
              <w:t>）</w:t>
            </w:r>
            <w:r>
              <w:rPr>
                <w:rFonts w:hint="eastAsia"/>
                <w:color w:val="auto"/>
                <w:szCs w:val="21"/>
              </w:rPr>
              <w:t>表3</w:t>
            </w:r>
          </w:p>
        </w:tc>
      </w:tr>
      <w:tr w14:paraId="16431F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5" w:type="dxa"/>
            <w:tcBorders>
              <w:top w:val="single" w:color="auto" w:sz="2" w:space="0"/>
              <w:bottom w:val="single" w:color="auto" w:sz="2" w:space="0"/>
              <w:right w:val="single" w:color="auto" w:sz="2" w:space="0"/>
            </w:tcBorders>
            <w:vAlign w:val="center"/>
          </w:tcPr>
          <w:p w14:paraId="338DC5F8">
            <w:pPr>
              <w:adjustRightInd w:val="0"/>
              <w:snapToGrid w:val="0"/>
              <w:jc w:val="center"/>
              <w:rPr>
                <w:color w:val="auto"/>
                <w:szCs w:val="21"/>
              </w:rPr>
            </w:pPr>
            <w:r>
              <w:rPr>
                <w:color w:val="auto"/>
                <w:szCs w:val="21"/>
              </w:rPr>
              <w:t>地表水环境</w:t>
            </w:r>
          </w:p>
        </w:tc>
        <w:tc>
          <w:tcPr>
            <w:tcW w:w="2232" w:type="dxa"/>
            <w:gridSpan w:val="3"/>
            <w:tcBorders>
              <w:top w:val="single" w:color="auto" w:sz="2" w:space="0"/>
              <w:left w:val="single" w:color="auto" w:sz="2" w:space="0"/>
              <w:bottom w:val="single" w:color="auto" w:sz="2" w:space="0"/>
              <w:right w:val="single" w:color="auto" w:sz="2" w:space="0"/>
            </w:tcBorders>
            <w:vAlign w:val="center"/>
          </w:tcPr>
          <w:p w14:paraId="05ED35F1">
            <w:pPr>
              <w:pStyle w:val="148"/>
              <w:keepNext w:val="0"/>
              <w:keepLines w:val="0"/>
              <w:pageBreakBefore w:val="0"/>
              <w:kinsoku/>
              <w:wordWrap/>
              <w:overflowPunct/>
              <w:topLinePunct w:val="0"/>
              <w:bidi w:val="0"/>
              <w:adjustRightInd w:val="0"/>
              <w:snapToGrid w:val="0"/>
              <w:spacing w:line="240" w:lineRule="auto"/>
              <w:ind w:firstLine="0"/>
              <w:textAlignment w:val="auto"/>
              <w:rPr>
                <w:rFonts w:ascii="Times New Roman" w:hAnsi="Times New Roman" w:eastAsia="宋体"/>
                <w:color w:val="auto"/>
                <w:kern w:val="2"/>
                <w:sz w:val="21"/>
                <w:szCs w:val="21"/>
                <w:lang w:val="en-US"/>
              </w:rPr>
            </w:pPr>
            <w:r>
              <w:rPr>
                <w:rFonts w:hint="eastAsia" w:ascii="Times New Roman" w:hAnsi="Times New Roman" w:eastAsia="宋体"/>
                <w:color w:val="auto"/>
                <w:kern w:val="2"/>
                <w:sz w:val="21"/>
                <w:szCs w:val="21"/>
                <w:lang w:val="en-US"/>
              </w:rPr>
              <w:t>DW001</w:t>
            </w:r>
          </w:p>
        </w:tc>
        <w:tc>
          <w:tcPr>
            <w:tcW w:w="1431" w:type="dxa"/>
            <w:tcBorders>
              <w:top w:val="single" w:color="auto" w:sz="2" w:space="0"/>
              <w:left w:val="single" w:color="auto" w:sz="2" w:space="0"/>
              <w:bottom w:val="single" w:color="auto" w:sz="2" w:space="0"/>
              <w:right w:val="single" w:color="auto" w:sz="2" w:space="0"/>
            </w:tcBorders>
            <w:vAlign w:val="center"/>
          </w:tcPr>
          <w:p w14:paraId="1BC81C72">
            <w:pPr>
              <w:keepNext w:val="0"/>
              <w:keepLines w:val="0"/>
              <w:pageBreakBefore w:val="0"/>
              <w:kinsoku/>
              <w:wordWrap/>
              <w:overflowPunct/>
              <w:topLinePunct w:val="0"/>
              <w:bidi w:val="0"/>
              <w:adjustRightInd w:val="0"/>
              <w:snapToGrid w:val="0"/>
              <w:spacing w:line="240" w:lineRule="auto"/>
              <w:ind w:firstLine="0"/>
              <w:jc w:val="center"/>
              <w:textAlignment w:val="auto"/>
              <w:rPr>
                <w:color w:val="auto"/>
                <w:szCs w:val="21"/>
              </w:rPr>
            </w:pPr>
            <w:r>
              <w:rPr>
                <w:color w:val="auto"/>
                <w:szCs w:val="21"/>
              </w:rPr>
              <w:t>COD、SS、氨氮、总氮、总磷</w:t>
            </w:r>
            <w:r>
              <w:rPr>
                <w:rFonts w:hint="eastAsia"/>
                <w:color w:val="auto"/>
                <w:szCs w:val="21"/>
              </w:rPr>
              <w:t>、动植物油</w:t>
            </w:r>
          </w:p>
        </w:tc>
        <w:tc>
          <w:tcPr>
            <w:tcW w:w="2070" w:type="dxa"/>
            <w:tcBorders>
              <w:top w:val="single" w:color="auto" w:sz="2" w:space="0"/>
              <w:left w:val="single" w:color="auto" w:sz="2" w:space="0"/>
              <w:bottom w:val="single" w:color="auto" w:sz="2" w:space="0"/>
              <w:right w:val="single" w:color="auto" w:sz="2" w:space="0"/>
            </w:tcBorders>
            <w:vAlign w:val="center"/>
          </w:tcPr>
          <w:p w14:paraId="01F30D40">
            <w:pPr>
              <w:jc w:val="center"/>
              <w:rPr>
                <w:color w:val="auto"/>
                <w:szCs w:val="21"/>
              </w:rPr>
            </w:pPr>
            <w:r>
              <w:rPr>
                <w:rFonts w:hint="eastAsia"/>
                <w:color w:val="auto"/>
                <w:szCs w:val="21"/>
              </w:rPr>
              <w:t>隔油池+</w:t>
            </w:r>
            <w:r>
              <w:rPr>
                <w:color w:val="auto"/>
                <w:szCs w:val="21"/>
              </w:rPr>
              <w:t>化粪池</w:t>
            </w:r>
          </w:p>
        </w:tc>
        <w:tc>
          <w:tcPr>
            <w:tcW w:w="2422" w:type="dxa"/>
            <w:tcBorders>
              <w:top w:val="single" w:color="auto" w:sz="2" w:space="0"/>
              <w:left w:val="single" w:color="auto" w:sz="2" w:space="0"/>
              <w:bottom w:val="single" w:color="auto" w:sz="2" w:space="0"/>
            </w:tcBorders>
            <w:vAlign w:val="center"/>
          </w:tcPr>
          <w:p w14:paraId="6E56B9FE">
            <w:pPr>
              <w:jc w:val="center"/>
              <w:rPr>
                <w:color w:val="auto"/>
                <w:szCs w:val="21"/>
              </w:rPr>
            </w:pPr>
            <w:r>
              <w:rPr>
                <w:rFonts w:hint="eastAsia"/>
                <w:color w:val="auto"/>
                <w:szCs w:val="21"/>
              </w:rPr>
              <w:t>涟水经济开发区西区污水处理厂</w:t>
            </w:r>
            <w:r>
              <w:rPr>
                <w:color w:val="auto"/>
                <w:szCs w:val="21"/>
              </w:rPr>
              <w:t>接管标准</w:t>
            </w:r>
          </w:p>
        </w:tc>
      </w:tr>
      <w:tr w14:paraId="0CAD77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5" w:type="dxa"/>
            <w:tcBorders>
              <w:top w:val="single" w:color="auto" w:sz="2" w:space="0"/>
              <w:bottom w:val="single" w:color="auto" w:sz="2" w:space="0"/>
              <w:right w:val="single" w:color="auto" w:sz="2" w:space="0"/>
            </w:tcBorders>
            <w:vAlign w:val="center"/>
          </w:tcPr>
          <w:p w14:paraId="482786BD">
            <w:pPr>
              <w:adjustRightInd w:val="0"/>
              <w:snapToGrid w:val="0"/>
              <w:jc w:val="center"/>
              <w:rPr>
                <w:color w:val="auto"/>
                <w:szCs w:val="21"/>
              </w:rPr>
            </w:pPr>
            <w:r>
              <w:rPr>
                <w:color w:val="auto"/>
                <w:szCs w:val="21"/>
              </w:rPr>
              <w:t>声环境</w:t>
            </w:r>
          </w:p>
        </w:tc>
        <w:tc>
          <w:tcPr>
            <w:tcW w:w="2232" w:type="dxa"/>
            <w:gridSpan w:val="3"/>
            <w:tcBorders>
              <w:top w:val="single" w:color="auto" w:sz="2" w:space="0"/>
              <w:left w:val="single" w:color="auto" w:sz="2" w:space="0"/>
              <w:bottom w:val="single" w:color="auto" w:sz="2" w:space="0"/>
              <w:right w:val="single" w:color="000000" w:sz="4" w:space="0"/>
            </w:tcBorders>
            <w:vAlign w:val="center"/>
          </w:tcPr>
          <w:p w14:paraId="41F2E456">
            <w:pPr>
              <w:pStyle w:val="107"/>
              <w:keepNext w:val="0"/>
              <w:keepLines w:val="0"/>
              <w:pageBreakBefore w:val="0"/>
              <w:kinsoku/>
              <w:wordWrap/>
              <w:overflowPunct/>
              <w:topLinePunct w:val="0"/>
              <w:bidi w:val="0"/>
              <w:adjustRightInd w:val="0"/>
              <w:snapToGrid w:val="0"/>
              <w:spacing w:line="240" w:lineRule="auto"/>
              <w:ind w:firstLine="0"/>
              <w:jc w:val="center"/>
              <w:textAlignment w:val="auto"/>
              <w:rPr>
                <w:rFonts w:ascii="Times New Roman" w:hAnsi="Times New Roman" w:cs="Times New Roman"/>
                <w:color w:val="auto"/>
                <w:sz w:val="21"/>
              </w:rPr>
            </w:pPr>
            <w:r>
              <w:rPr>
                <w:rFonts w:hint="eastAsia" w:ascii="Times New Roman" w:hAnsi="Times New Roman" w:cs="Times New Roman"/>
                <w:color w:val="auto"/>
                <w:sz w:val="21"/>
              </w:rPr>
              <w:t>厂界</w:t>
            </w:r>
          </w:p>
        </w:tc>
        <w:tc>
          <w:tcPr>
            <w:tcW w:w="1431" w:type="dxa"/>
            <w:tcBorders>
              <w:top w:val="single" w:color="auto" w:sz="2" w:space="0"/>
              <w:left w:val="single" w:color="000000" w:sz="4" w:space="0"/>
              <w:bottom w:val="single" w:color="auto" w:sz="2" w:space="0"/>
              <w:right w:val="single" w:color="auto" w:sz="2" w:space="0"/>
            </w:tcBorders>
            <w:vAlign w:val="center"/>
          </w:tcPr>
          <w:p w14:paraId="2E4AEF1A">
            <w:pPr>
              <w:pStyle w:val="107"/>
              <w:keepNext w:val="0"/>
              <w:keepLines w:val="0"/>
              <w:pageBreakBefore w:val="0"/>
              <w:kinsoku/>
              <w:wordWrap/>
              <w:overflowPunct/>
              <w:topLinePunct w:val="0"/>
              <w:bidi w:val="0"/>
              <w:adjustRightInd w:val="0"/>
              <w:snapToGrid w:val="0"/>
              <w:spacing w:line="240" w:lineRule="auto"/>
              <w:ind w:firstLine="0"/>
              <w:jc w:val="center"/>
              <w:textAlignment w:val="auto"/>
              <w:rPr>
                <w:rFonts w:ascii="Times New Roman" w:hAnsi="Times New Roman" w:cs="Times New Roman"/>
                <w:color w:val="auto"/>
                <w:sz w:val="21"/>
              </w:rPr>
            </w:pPr>
            <w:r>
              <w:rPr>
                <w:rFonts w:hint="eastAsia" w:ascii="Times New Roman" w:hAnsi="Times New Roman" w:cs="Times New Roman"/>
                <w:color w:val="auto"/>
                <w:sz w:val="21"/>
              </w:rPr>
              <w:t>噪声</w:t>
            </w:r>
          </w:p>
        </w:tc>
        <w:tc>
          <w:tcPr>
            <w:tcW w:w="2070" w:type="dxa"/>
            <w:tcBorders>
              <w:top w:val="single" w:color="auto" w:sz="2" w:space="0"/>
              <w:left w:val="single" w:color="auto" w:sz="2" w:space="0"/>
              <w:bottom w:val="single" w:color="auto" w:sz="2" w:space="0"/>
              <w:right w:val="single" w:color="auto" w:sz="2" w:space="0"/>
            </w:tcBorders>
            <w:vAlign w:val="center"/>
          </w:tcPr>
          <w:p w14:paraId="161C4573">
            <w:pPr>
              <w:adjustRightInd w:val="0"/>
              <w:snapToGrid w:val="0"/>
              <w:jc w:val="center"/>
              <w:rPr>
                <w:color w:val="auto"/>
                <w:szCs w:val="21"/>
              </w:rPr>
            </w:pPr>
            <w:r>
              <w:rPr>
                <w:color w:val="auto"/>
                <w:szCs w:val="21"/>
              </w:rPr>
              <w:t>选用低噪声设备</w:t>
            </w:r>
            <w:r>
              <w:rPr>
                <w:rFonts w:hint="eastAsia"/>
                <w:color w:val="auto"/>
                <w:szCs w:val="21"/>
              </w:rPr>
              <w:t>、</w:t>
            </w:r>
            <w:r>
              <w:rPr>
                <w:color w:val="auto"/>
                <w:szCs w:val="21"/>
              </w:rPr>
              <w:t>采用隔音及</w:t>
            </w:r>
            <w:r>
              <w:rPr>
                <w:rFonts w:hint="eastAsia"/>
                <w:color w:val="auto"/>
                <w:szCs w:val="21"/>
              </w:rPr>
              <w:t>减振</w:t>
            </w:r>
            <w:r>
              <w:rPr>
                <w:color w:val="auto"/>
                <w:szCs w:val="21"/>
              </w:rPr>
              <w:t>措施，同时通过优化平面布置等</w:t>
            </w:r>
          </w:p>
        </w:tc>
        <w:tc>
          <w:tcPr>
            <w:tcW w:w="2422" w:type="dxa"/>
            <w:tcBorders>
              <w:top w:val="single" w:color="auto" w:sz="2" w:space="0"/>
              <w:left w:val="single" w:color="auto" w:sz="2" w:space="0"/>
              <w:bottom w:val="single" w:color="auto" w:sz="2" w:space="0"/>
            </w:tcBorders>
            <w:vAlign w:val="center"/>
          </w:tcPr>
          <w:p w14:paraId="6A2AAD94">
            <w:pPr>
              <w:jc w:val="center"/>
              <w:rPr>
                <w:color w:val="auto"/>
                <w:szCs w:val="21"/>
              </w:rPr>
            </w:pPr>
            <w:r>
              <w:rPr>
                <w:color w:val="auto"/>
                <w:szCs w:val="21"/>
              </w:rPr>
              <w:t>《工业企业厂界环境噪声排放标准》（GB12348</w:t>
            </w:r>
            <w:r>
              <w:rPr>
                <w:rFonts w:hint="eastAsia"/>
                <w:color w:val="auto"/>
                <w:szCs w:val="21"/>
              </w:rPr>
              <w:t>-</w:t>
            </w:r>
            <w:r>
              <w:rPr>
                <w:color w:val="auto"/>
                <w:szCs w:val="21"/>
              </w:rPr>
              <w:t>2008）中的</w:t>
            </w:r>
            <w:r>
              <w:rPr>
                <w:rFonts w:hint="eastAsia"/>
                <w:color w:val="auto"/>
                <w:szCs w:val="21"/>
              </w:rPr>
              <w:t>3</w:t>
            </w:r>
            <w:r>
              <w:rPr>
                <w:color w:val="auto"/>
                <w:szCs w:val="21"/>
              </w:rPr>
              <w:t>类标准</w:t>
            </w:r>
          </w:p>
        </w:tc>
      </w:tr>
      <w:tr w14:paraId="4A6153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5" w:type="dxa"/>
            <w:tcBorders>
              <w:top w:val="single" w:color="auto" w:sz="2" w:space="0"/>
              <w:bottom w:val="single" w:color="auto" w:sz="2" w:space="0"/>
              <w:right w:val="single" w:color="auto" w:sz="2" w:space="0"/>
            </w:tcBorders>
            <w:vAlign w:val="center"/>
          </w:tcPr>
          <w:p w14:paraId="17028FC5">
            <w:pPr>
              <w:adjustRightInd w:val="0"/>
              <w:snapToGrid w:val="0"/>
              <w:jc w:val="center"/>
              <w:rPr>
                <w:color w:val="auto"/>
                <w:szCs w:val="21"/>
              </w:rPr>
            </w:pPr>
            <w:r>
              <w:rPr>
                <w:color w:val="auto"/>
                <w:szCs w:val="21"/>
              </w:rPr>
              <w:t>电磁辐射</w:t>
            </w:r>
          </w:p>
        </w:tc>
        <w:tc>
          <w:tcPr>
            <w:tcW w:w="2232" w:type="dxa"/>
            <w:gridSpan w:val="3"/>
            <w:tcBorders>
              <w:top w:val="single" w:color="auto" w:sz="2" w:space="0"/>
              <w:left w:val="single" w:color="auto" w:sz="2" w:space="0"/>
              <w:bottom w:val="single" w:color="auto" w:sz="2" w:space="0"/>
              <w:right w:val="single" w:color="auto" w:sz="2" w:space="0"/>
            </w:tcBorders>
            <w:vAlign w:val="center"/>
          </w:tcPr>
          <w:p w14:paraId="43041AFA">
            <w:pPr>
              <w:adjustRightInd w:val="0"/>
              <w:snapToGrid w:val="0"/>
              <w:jc w:val="center"/>
              <w:rPr>
                <w:color w:val="auto"/>
                <w:szCs w:val="21"/>
              </w:rPr>
            </w:pPr>
            <w:r>
              <w:rPr>
                <w:color w:val="auto"/>
                <w:szCs w:val="21"/>
              </w:rPr>
              <w:t>/</w:t>
            </w:r>
          </w:p>
        </w:tc>
        <w:tc>
          <w:tcPr>
            <w:tcW w:w="1431" w:type="dxa"/>
            <w:tcBorders>
              <w:top w:val="single" w:color="auto" w:sz="2" w:space="0"/>
              <w:left w:val="single" w:color="auto" w:sz="2" w:space="0"/>
              <w:bottom w:val="single" w:color="auto" w:sz="2" w:space="0"/>
              <w:right w:val="single" w:color="auto" w:sz="2" w:space="0"/>
            </w:tcBorders>
            <w:vAlign w:val="center"/>
          </w:tcPr>
          <w:p w14:paraId="17A6F98A">
            <w:pPr>
              <w:adjustRightInd w:val="0"/>
              <w:snapToGrid w:val="0"/>
              <w:jc w:val="center"/>
              <w:rPr>
                <w:color w:val="auto"/>
                <w:szCs w:val="21"/>
              </w:rPr>
            </w:pPr>
            <w:r>
              <w:rPr>
                <w:color w:val="auto"/>
                <w:szCs w:val="21"/>
              </w:rPr>
              <w:t>/</w:t>
            </w:r>
          </w:p>
        </w:tc>
        <w:tc>
          <w:tcPr>
            <w:tcW w:w="2070" w:type="dxa"/>
            <w:tcBorders>
              <w:top w:val="single" w:color="auto" w:sz="2" w:space="0"/>
              <w:left w:val="single" w:color="auto" w:sz="2" w:space="0"/>
              <w:bottom w:val="single" w:color="auto" w:sz="2" w:space="0"/>
              <w:right w:val="single" w:color="auto" w:sz="2" w:space="0"/>
            </w:tcBorders>
            <w:vAlign w:val="center"/>
          </w:tcPr>
          <w:p w14:paraId="10ECE271">
            <w:pPr>
              <w:adjustRightInd w:val="0"/>
              <w:snapToGrid w:val="0"/>
              <w:jc w:val="center"/>
              <w:rPr>
                <w:color w:val="auto"/>
                <w:szCs w:val="21"/>
              </w:rPr>
            </w:pPr>
            <w:r>
              <w:rPr>
                <w:color w:val="auto"/>
                <w:szCs w:val="21"/>
              </w:rPr>
              <w:t>/</w:t>
            </w:r>
          </w:p>
        </w:tc>
        <w:tc>
          <w:tcPr>
            <w:tcW w:w="2422" w:type="dxa"/>
            <w:tcBorders>
              <w:top w:val="single" w:color="auto" w:sz="2" w:space="0"/>
              <w:left w:val="single" w:color="auto" w:sz="2" w:space="0"/>
              <w:bottom w:val="single" w:color="auto" w:sz="2" w:space="0"/>
            </w:tcBorders>
            <w:vAlign w:val="center"/>
          </w:tcPr>
          <w:p w14:paraId="60AC4348">
            <w:pPr>
              <w:adjustRightInd w:val="0"/>
              <w:snapToGrid w:val="0"/>
              <w:jc w:val="center"/>
              <w:rPr>
                <w:color w:val="auto"/>
                <w:szCs w:val="21"/>
              </w:rPr>
            </w:pPr>
            <w:r>
              <w:rPr>
                <w:color w:val="auto"/>
                <w:szCs w:val="21"/>
              </w:rPr>
              <w:t>/</w:t>
            </w:r>
          </w:p>
        </w:tc>
      </w:tr>
      <w:tr w14:paraId="2AF718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5" w:type="dxa"/>
            <w:tcBorders>
              <w:top w:val="single" w:color="auto" w:sz="2" w:space="0"/>
              <w:bottom w:val="single" w:color="auto" w:sz="2" w:space="0"/>
              <w:right w:val="single" w:color="auto" w:sz="2" w:space="0"/>
            </w:tcBorders>
            <w:vAlign w:val="center"/>
          </w:tcPr>
          <w:p w14:paraId="6267FBFF">
            <w:pPr>
              <w:adjustRightInd w:val="0"/>
              <w:snapToGrid w:val="0"/>
              <w:jc w:val="center"/>
              <w:rPr>
                <w:color w:val="auto"/>
                <w:szCs w:val="21"/>
              </w:rPr>
            </w:pPr>
            <w:r>
              <w:rPr>
                <w:color w:val="auto"/>
                <w:szCs w:val="21"/>
              </w:rPr>
              <w:t>固体废物</w:t>
            </w:r>
          </w:p>
        </w:tc>
        <w:tc>
          <w:tcPr>
            <w:tcW w:w="8155" w:type="dxa"/>
            <w:gridSpan w:val="6"/>
            <w:tcBorders>
              <w:top w:val="single" w:color="auto" w:sz="2" w:space="0"/>
              <w:left w:val="single" w:color="auto" w:sz="2" w:space="0"/>
              <w:bottom w:val="single" w:color="auto" w:sz="2" w:space="0"/>
            </w:tcBorders>
            <w:vAlign w:val="center"/>
          </w:tcPr>
          <w:p w14:paraId="17CBE7D4">
            <w:pPr>
              <w:adjustRightInd w:val="0"/>
              <w:snapToGrid w:val="0"/>
              <w:ind w:firstLine="420" w:firstLineChars="200"/>
              <w:jc w:val="left"/>
              <w:rPr>
                <w:color w:val="auto"/>
                <w:szCs w:val="21"/>
              </w:rPr>
            </w:pPr>
            <w:r>
              <w:rPr>
                <w:color w:val="auto"/>
                <w:szCs w:val="21"/>
              </w:rPr>
              <w:t>废</w:t>
            </w:r>
            <w:r>
              <w:rPr>
                <w:rFonts w:hint="eastAsia"/>
                <w:color w:val="auto"/>
                <w:szCs w:val="21"/>
              </w:rPr>
              <w:t>润滑油、废切削液、废包装桶、废活性炭、废过滤棉</w:t>
            </w:r>
            <w:r>
              <w:rPr>
                <w:color w:val="auto"/>
                <w:szCs w:val="21"/>
              </w:rPr>
              <w:t>收集后委托有资质单位处置；</w:t>
            </w:r>
            <w:r>
              <w:rPr>
                <w:rFonts w:hint="eastAsia"/>
                <w:color w:val="auto"/>
                <w:szCs w:val="21"/>
              </w:rPr>
              <w:t>废边角料、</w:t>
            </w:r>
            <w:r>
              <w:rPr>
                <w:color w:val="auto"/>
                <w:szCs w:val="21"/>
              </w:rPr>
              <w:t>废包装</w:t>
            </w:r>
            <w:r>
              <w:rPr>
                <w:rFonts w:hint="eastAsia"/>
                <w:color w:val="auto"/>
                <w:szCs w:val="21"/>
              </w:rPr>
              <w:t>材料、不合格产品、废漆包线收集后</w:t>
            </w:r>
            <w:r>
              <w:rPr>
                <w:color w:val="auto"/>
                <w:szCs w:val="21"/>
              </w:rPr>
              <w:t>外售</w:t>
            </w:r>
            <w:r>
              <w:rPr>
                <w:rFonts w:hint="eastAsia"/>
                <w:color w:val="auto"/>
                <w:szCs w:val="21"/>
              </w:rPr>
              <w:t>相关</w:t>
            </w:r>
            <w:r>
              <w:rPr>
                <w:color w:val="auto"/>
                <w:szCs w:val="21"/>
              </w:rPr>
              <w:t>单位</w:t>
            </w:r>
            <w:r>
              <w:rPr>
                <w:rFonts w:hint="eastAsia"/>
                <w:color w:val="auto"/>
                <w:szCs w:val="21"/>
              </w:rPr>
              <w:t>；</w:t>
            </w:r>
            <w:r>
              <w:rPr>
                <w:color w:val="auto"/>
                <w:szCs w:val="21"/>
              </w:rPr>
              <w:t>生活垃圾</w:t>
            </w:r>
            <w:r>
              <w:rPr>
                <w:rFonts w:hint="eastAsia"/>
                <w:color w:val="auto"/>
                <w:szCs w:val="21"/>
              </w:rPr>
              <w:t>、化粪池污泥</w:t>
            </w:r>
            <w:r>
              <w:rPr>
                <w:rFonts w:hint="eastAsia"/>
                <w:color w:val="auto"/>
                <w:szCs w:val="21"/>
                <w:lang w:eastAsia="zh-CN"/>
              </w:rPr>
              <w:t>、厨余垃圾</w:t>
            </w:r>
            <w:r>
              <w:rPr>
                <w:color w:val="auto"/>
                <w:szCs w:val="21"/>
              </w:rPr>
              <w:t>委托环卫清运。</w:t>
            </w:r>
          </w:p>
        </w:tc>
      </w:tr>
      <w:tr w14:paraId="6A621C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5" w:type="dxa"/>
            <w:tcBorders>
              <w:top w:val="single" w:color="auto" w:sz="2" w:space="0"/>
              <w:bottom w:val="single" w:color="auto" w:sz="2" w:space="0"/>
              <w:right w:val="single" w:color="auto" w:sz="2" w:space="0"/>
            </w:tcBorders>
            <w:vAlign w:val="center"/>
          </w:tcPr>
          <w:p w14:paraId="0A19B89C">
            <w:pPr>
              <w:adjustRightInd w:val="0"/>
              <w:snapToGrid w:val="0"/>
              <w:jc w:val="center"/>
              <w:rPr>
                <w:color w:val="auto"/>
                <w:szCs w:val="21"/>
              </w:rPr>
            </w:pPr>
            <w:r>
              <w:rPr>
                <w:color w:val="auto"/>
                <w:szCs w:val="21"/>
              </w:rPr>
              <w:t>土壤及地下水</w:t>
            </w:r>
          </w:p>
          <w:p w14:paraId="0E60C7EC">
            <w:pPr>
              <w:adjustRightInd w:val="0"/>
              <w:snapToGrid w:val="0"/>
              <w:jc w:val="center"/>
              <w:rPr>
                <w:color w:val="auto"/>
                <w:szCs w:val="21"/>
              </w:rPr>
            </w:pPr>
            <w:r>
              <w:rPr>
                <w:color w:val="auto"/>
                <w:szCs w:val="21"/>
              </w:rPr>
              <w:t>污染防治措施</w:t>
            </w:r>
          </w:p>
        </w:tc>
        <w:tc>
          <w:tcPr>
            <w:tcW w:w="8155" w:type="dxa"/>
            <w:gridSpan w:val="6"/>
            <w:tcBorders>
              <w:top w:val="single" w:color="auto" w:sz="2" w:space="0"/>
              <w:left w:val="single" w:color="auto" w:sz="2" w:space="0"/>
              <w:bottom w:val="single" w:color="auto" w:sz="2" w:space="0"/>
            </w:tcBorders>
            <w:vAlign w:val="center"/>
          </w:tcPr>
          <w:p w14:paraId="48F43070">
            <w:pPr>
              <w:adjustRightInd w:val="0"/>
              <w:snapToGrid w:val="0"/>
              <w:ind w:firstLine="420" w:firstLineChars="200"/>
              <w:jc w:val="left"/>
              <w:rPr>
                <w:color w:val="auto"/>
                <w:szCs w:val="21"/>
              </w:rPr>
            </w:pPr>
            <w:r>
              <w:rPr>
                <w:color w:val="auto"/>
                <w:szCs w:val="21"/>
              </w:rPr>
              <w:t>危废仓库属于重点污染防治区，其余厂区地面和道路进行简单防渗。</w:t>
            </w:r>
          </w:p>
        </w:tc>
      </w:tr>
      <w:tr w14:paraId="5D89BB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5" w:type="dxa"/>
            <w:tcBorders>
              <w:top w:val="single" w:color="auto" w:sz="2" w:space="0"/>
              <w:bottom w:val="single" w:color="auto" w:sz="2" w:space="0"/>
              <w:right w:val="single" w:color="auto" w:sz="2" w:space="0"/>
            </w:tcBorders>
            <w:vAlign w:val="center"/>
          </w:tcPr>
          <w:p w14:paraId="201BE57B">
            <w:pPr>
              <w:adjustRightInd w:val="0"/>
              <w:snapToGrid w:val="0"/>
              <w:jc w:val="center"/>
              <w:rPr>
                <w:color w:val="auto"/>
                <w:szCs w:val="21"/>
              </w:rPr>
            </w:pPr>
            <w:r>
              <w:rPr>
                <w:color w:val="auto"/>
                <w:szCs w:val="21"/>
              </w:rPr>
              <w:t>生态保护措施</w:t>
            </w:r>
          </w:p>
        </w:tc>
        <w:tc>
          <w:tcPr>
            <w:tcW w:w="8155" w:type="dxa"/>
            <w:gridSpan w:val="6"/>
            <w:tcBorders>
              <w:top w:val="single" w:color="auto" w:sz="2" w:space="0"/>
              <w:left w:val="single" w:color="auto" w:sz="2" w:space="0"/>
              <w:bottom w:val="single" w:color="auto" w:sz="2" w:space="0"/>
            </w:tcBorders>
            <w:vAlign w:val="center"/>
          </w:tcPr>
          <w:p w14:paraId="06BE94A1">
            <w:pPr>
              <w:adjustRightInd w:val="0"/>
              <w:snapToGrid w:val="0"/>
              <w:ind w:firstLine="420" w:firstLineChars="200"/>
              <w:jc w:val="left"/>
              <w:rPr>
                <w:color w:val="auto"/>
                <w:szCs w:val="21"/>
              </w:rPr>
            </w:pPr>
            <w:r>
              <w:rPr>
                <w:color w:val="auto"/>
                <w:szCs w:val="21"/>
              </w:rPr>
              <w:t>建设项目建成后，产生的污染经采用适当的污染防治措施实现达标排放后，对区域的生态环境影响可以接受。</w:t>
            </w:r>
          </w:p>
        </w:tc>
      </w:tr>
      <w:tr w14:paraId="41A776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5" w:type="dxa"/>
            <w:tcBorders>
              <w:top w:val="single" w:color="auto" w:sz="2" w:space="0"/>
              <w:bottom w:val="single" w:color="auto" w:sz="2" w:space="0"/>
              <w:right w:val="single" w:color="auto" w:sz="2" w:space="0"/>
            </w:tcBorders>
            <w:vAlign w:val="center"/>
          </w:tcPr>
          <w:p w14:paraId="4BE32C08">
            <w:pPr>
              <w:adjustRightInd w:val="0"/>
              <w:snapToGrid w:val="0"/>
              <w:jc w:val="center"/>
              <w:rPr>
                <w:color w:val="auto"/>
                <w:szCs w:val="21"/>
              </w:rPr>
            </w:pPr>
            <w:r>
              <w:rPr>
                <w:color w:val="auto"/>
                <w:szCs w:val="21"/>
              </w:rPr>
              <w:t>环境风险防范措施</w:t>
            </w:r>
          </w:p>
        </w:tc>
        <w:tc>
          <w:tcPr>
            <w:tcW w:w="8155" w:type="dxa"/>
            <w:gridSpan w:val="6"/>
            <w:tcBorders>
              <w:top w:val="single" w:color="auto" w:sz="2" w:space="0"/>
              <w:left w:val="single" w:color="auto" w:sz="2" w:space="0"/>
              <w:bottom w:val="single" w:color="auto" w:sz="2" w:space="0"/>
            </w:tcBorders>
            <w:vAlign w:val="center"/>
          </w:tcPr>
          <w:p w14:paraId="5F57BBE7">
            <w:pPr>
              <w:adjustRightInd w:val="0"/>
              <w:snapToGrid w:val="0"/>
              <w:ind w:firstLine="420" w:firstLineChars="200"/>
              <w:jc w:val="left"/>
              <w:rPr>
                <w:color w:val="auto"/>
                <w:szCs w:val="21"/>
              </w:rPr>
            </w:pPr>
            <w:r>
              <w:rPr>
                <w:color w:val="auto"/>
                <w:szCs w:val="21"/>
              </w:rPr>
              <w:t>加强生产管理，并落实各项安全管理规定，预计采取以上措施后，风险完全可控。</w:t>
            </w:r>
          </w:p>
        </w:tc>
      </w:tr>
      <w:tr w14:paraId="56D5C2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5" w:type="dxa"/>
            <w:tcBorders>
              <w:top w:val="single" w:color="auto" w:sz="2" w:space="0"/>
              <w:bottom w:val="single" w:color="auto" w:sz="8" w:space="0"/>
              <w:right w:val="single" w:color="auto" w:sz="2" w:space="0"/>
            </w:tcBorders>
            <w:vAlign w:val="center"/>
          </w:tcPr>
          <w:p w14:paraId="0DABC97F">
            <w:pPr>
              <w:adjustRightInd w:val="0"/>
              <w:snapToGrid w:val="0"/>
              <w:jc w:val="center"/>
              <w:rPr>
                <w:color w:val="auto"/>
                <w:spacing w:val="-8"/>
                <w:szCs w:val="21"/>
              </w:rPr>
            </w:pPr>
            <w:r>
              <w:rPr>
                <w:color w:val="auto"/>
                <w:szCs w:val="21"/>
              </w:rPr>
              <w:t>其他环境管理要求</w:t>
            </w:r>
          </w:p>
        </w:tc>
        <w:tc>
          <w:tcPr>
            <w:tcW w:w="8155" w:type="dxa"/>
            <w:gridSpan w:val="6"/>
            <w:tcBorders>
              <w:top w:val="single" w:color="auto" w:sz="2" w:space="0"/>
              <w:left w:val="single" w:color="auto" w:sz="2" w:space="0"/>
              <w:bottom w:val="single" w:color="auto" w:sz="8" w:space="0"/>
            </w:tcBorders>
            <w:vAlign w:val="center"/>
          </w:tcPr>
          <w:p w14:paraId="6367B156">
            <w:pPr>
              <w:adjustRightInd w:val="0"/>
              <w:snapToGrid w:val="0"/>
              <w:ind w:firstLine="420" w:firstLineChars="200"/>
              <w:jc w:val="left"/>
              <w:rPr>
                <w:color w:val="auto"/>
                <w:szCs w:val="21"/>
              </w:rPr>
            </w:pPr>
            <w:r>
              <w:rPr>
                <w:rFonts w:hint="eastAsia"/>
                <w:color w:val="auto"/>
                <w:szCs w:val="21"/>
              </w:rPr>
              <w:t>（</w:t>
            </w:r>
            <w:r>
              <w:rPr>
                <w:color w:val="auto"/>
                <w:szCs w:val="21"/>
              </w:rPr>
              <w:t>1</w:t>
            </w:r>
            <w:r>
              <w:rPr>
                <w:rFonts w:hint="eastAsia"/>
                <w:color w:val="auto"/>
                <w:szCs w:val="21"/>
              </w:rPr>
              <w:t>）</w:t>
            </w:r>
            <w:r>
              <w:rPr>
                <w:color w:val="auto"/>
                <w:szCs w:val="21"/>
              </w:rPr>
              <w:t>制定管理制度，配备专职或兼职的环境管理人员，建立污染防治设施管理档案，加强污染治理措施的维修、保养及管理，确保污染治理措施正常运转。</w:t>
            </w:r>
          </w:p>
          <w:p w14:paraId="1E68C38A">
            <w:pPr>
              <w:adjustRightInd w:val="0"/>
              <w:snapToGrid w:val="0"/>
              <w:ind w:firstLine="420" w:firstLineChars="200"/>
              <w:jc w:val="left"/>
              <w:rPr>
                <w:color w:val="auto"/>
                <w:szCs w:val="21"/>
              </w:rPr>
            </w:pPr>
            <w:r>
              <w:rPr>
                <w:rFonts w:hint="eastAsia"/>
                <w:color w:val="auto"/>
                <w:szCs w:val="21"/>
              </w:rPr>
              <w:t>（</w:t>
            </w:r>
            <w:r>
              <w:rPr>
                <w:color w:val="auto"/>
                <w:szCs w:val="21"/>
              </w:rPr>
              <w:t>2</w:t>
            </w:r>
            <w:r>
              <w:rPr>
                <w:rFonts w:hint="eastAsia"/>
                <w:color w:val="auto"/>
                <w:szCs w:val="21"/>
              </w:rPr>
              <w:t>）</w:t>
            </w:r>
            <w:r>
              <w:rPr>
                <w:color w:val="auto"/>
                <w:szCs w:val="21"/>
              </w:rPr>
              <w:t>加强对操作人员的岗位培训，熟练掌握操作规程和技术，确保正常运转，减少污染物排放。</w:t>
            </w:r>
          </w:p>
        </w:tc>
      </w:tr>
    </w:tbl>
    <w:p w14:paraId="6B85F61E">
      <w:pPr>
        <w:pStyle w:val="81"/>
        <w:spacing w:after="0" w:afterAutospacing="0"/>
        <w:jc w:val="center"/>
        <w:outlineLvl w:val="0"/>
        <w:rPr>
          <w:rFonts w:ascii="Times New Roman" w:hAnsi="Times New Roman"/>
          <w:b/>
          <w:bCs/>
          <w:snapToGrid w:val="0"/>
          <w:color w:val="auto"/>
          <w:sz w:val="30"/>
          <w:szCs w:val="30"/>
        </w:rPr>
      </w:pPr>
      <w:r>
        <w:rPr>
          <w:rFonts w:ascii="Times New Roman" w:hAnsi="Times New Roman"/>
          <w:snapToGrid w:val="0"/>
          <w:color w:val="auto"/>
        </w:rPr>
        <w:br w:type="page"/>
      </w:r>
      <w:bookmarkStart w:id="39" w:name="_Toc19769"/>
      <w:r>
        <w:rPr>
          <w:rFonts w:ascii="Times New Roman" w:hAnsi="Times New Roman"/>
          <w:b/>
          <w:bCs/>
          <w:snapToGrid w:val="0"/>
          <w:color w:val="auto"/>
          <w:sz w:val="30"/>
          <w:szCs w:val="30"/>
        </w:rPr>
        <w:t>六、结论</w:t>
      </w:r>
      <w:bookmarkEnd w:id="39"/>
    </w:p>
    <w:tbl>
      <w:tblPr>
        <w:tblStyle w:val="8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F9E79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00A1694A">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color w:val="auto"/>
                <w:sz w:val="24"/>
              </w:rPr>
            </w:pPr>
            <w:r>
              <w:rPr>
                <w:bCs/>
                <w:color w:val="auto"/>
                <w:kern w:val="0"/>
                <w:sz w:val="24"/>
              </w:rPr>
              <w:t>通过对本项目环境影响评价后认为：项目</w:t>
            </w:r>
            <w:r>
              <w:rPr>
                <w:rFonts w:hint="eastAsia"/>
                <w:bCs/>
                <w:color w:val="auto"/>
                <w:kern w:val="0"/>
                <w:sz w:val="24"/>
                <w:lang w:eastAsia="zh-CN"/>
              </w:rPr>
              <w:t>的</w:t>
            </w:r>
            <w:r>
              <w:rPr>
                <w:bCs/>
                <w:color w:val="auto"/>
                <w:kern w:val="0"/>
                <w:sz w:val="24"/>
              </w:rPr>
              <w:t>建设符合国家产业政</w:t>
            </w:r>
            <w:r>
              <w:rPr>
                <w:bCs/>
                <w:color w:val="auto"/>
                <w:sz w:val="24"/>
              </w:rPr>
              <w:t>策；项目选址于</w:t>
            </w:r>
            <w:r>
              <w:rPr>
                <w:rFonts w:hint="eastAsia"/>
                <w:bCs/>
                <w:color w:val="auto"/>
                <w:sz w:val="24"/>
              </w:rPr>
              <w:t>淮安市江苏涟水经济开发区涟古路北侧、兴隆路西侧</w:t>
            </w:r>
            <w:r>
              <w:rPr>
                <w:bCs/>
                <w:color w:val="auto"/>
                <w:sz w:val="24"/>
              </w:rPr>
              <w:t>，符合用地规划要求；建设单位在认真落实本报</w:t>
            </w:r>
            <w:r>
              <w:rPr>
                <w:rFonts w:hint="eastAsia"/>
                <w:bCs/>
                <w:color w:val="auto"/>
                <w:sz w:val="24"/>
                <w:lang w:eastAsia="zh-CN"/>
              </w:rPr>
              <w:t>告中</w:t>
            </w:r>
            <w:r>
              <w:rPr>
                <w:bCs/>
                <w:color w:val="auto"/>
                <w:sz w:val="24"/>
              </w:rPr>
              <w:t>提出的各项环保措施与建议，对预期产生的主要污染物采取切实可行的污染治理措施，确保实现达标排放，最大限度减小对项目所在地环境影响的前提下，从环境保护角度论证，在拟建地址建设是可行的。</w:t>
            </w:r>
          </w:p>
        </w:tc>
      </w:tr>
    </w:tbl>
    <w:p w14:paraId="280B2E40">
      <w:pPr>
        <w:rPr>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E769B08">
      <w:pPr>
        <w:pStyle w:val="81"/>
        <w:adjustRightInd w:val="0"/>
        <w:snapToGrid w:val="0"/>
        <w:spacing w:before="0" w:beforeAutospacing="0" w:after="0" w:afterAutospacing="0" w:line="648" w:lineRule="auto"/>
        <w:ind w:firstLine="640"/>
        <w:outlineLvl w:val="0"/>
        <w:rPr>
          <w:rFonts w:ascii="Times New Roman" w:hAnsi="Times New Roman"/>
          <w:snapToGrid w:val="0"/>
          <w:color w:val="auto"/>
          <w:sz w:val="32"/>
          <w:szCs w:val="32"/>
        </w:rPr>
      </w:pPr>
      <w:bookmarkStart w:id="40" w:name="_Toc25083"/>
      <w:r>
        <w:rPr>
          <w:rFonts w:ascii="Times New Roman" w:hAnsi="Times New Roman"/>
          <w:snapToGrid w:val="0"/>
          <w:color w:val="auto"/>
          <w:sz w:val="32"/>
          <w:szCs w:val="32"/>
        </w:rPr>
        <w:t>附表</w:t>
      </w:r>
      <w:bookmarkEnd w:id="40"/>
    </w:p>
    <w:p w14:paraId="62BC325A">
      <w:pPr>
        <w:pStyle w:val="81"/>
        <w:adjustRightInd w:val="0"/>
        <w:snapToGrid w:val="0"/>
        <w:spacing w:before="0" w:beforeAutospacing="0" w:after="0" w:afterAutospacing="0" w:line="360" w:lineRule="auto"/>
        <w:ind w:firstLine="760" w:firstLineChars="0"/>
        <w:jc w:val="center"/>
        <w:outlineLvl w:val="9"/>
        <w:rPr>
          <w:rFonts w:ascii="Times New Roman" w:hAnsi="Times New Roman"/>
          <w:snapToGrid w:val="0"/>
          <w:color w:val="auto"/>
          <w:sz w:val="38"/>
          <w:szCs w:val="38"/>
        </w:rPr>
      </w:pPr>
      <w:r>
        <w:rPr>
          <w:rFonts w:ascii="Times New Roman" w:hAnsi="Times New Roman"/>
          <w:snapToGrid w:val="0"/>
          <w:color w:val="auto"/>
          <w:sz w:val="38"/>
          <w:szCs w:val="38"/>
        </w:rPr>
        <w:t>建设项目污染物排放量汇总表</w:t>
      </w:r>
    </w:p>
    <w:tbl>
      <w:tblPr>
        <w:tblStyle w:val="88"/>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449"/>
        <w:gridCol w:w="640"/>
        <w:gridCol w:w="1091"/>
        <w:gridCol w:w="1612"/>
        <w:gridCol w:w="1194"/>
        <w:gridCol w:w="1612"/>
        <w:gridCol w:w="1472"/>
        <w:gridCol w:w="1526"/>
        <w:gridCol w:w="1697"/>
        <w:gridCol w:w="1136"/>
      </w:tblGrid>
      <w:tr w14:paraId="651713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tcBorders>
              <w:tl2br w:val="single" w:color="auto" w:sz="4" w:space="0"/>
            </w:tcBorders>
            <w:tcMar>
              <w:left w:w="28" w:type="dxa"/>
              <w:right w:w="28" w:type="dxa"/>
            </w:tcMar>
            <w:vAlign w:val="center"/>
          </w:tcPr>
          <w:p w14:paraId="6AD2D201">
            <w:pPr>
              <w:pStyle w:val="134"/>
              <w:spacing w:beforeLines="0" w:afterLines="0" w:line="240" w:lineRule="auto"/>
              <w:jc w:val="right"/>
              <w:rPr>
                <w:rFonts w:ascii="Times New Roman"/>
                <w:snapToGrid w:val="0"/>
                <w:color w:val="auto"/>
                <w:szCs w:val="21"/>
                <w:lang w:val="en-US"/>
              </w:rPr>
            </w:pPr>
            <w:r>
              <w:rPr>
                <w:rFonts w:ascii="Times New Roman"/>
                <w:snapToGrid w:val="0"/>
                <w:color w:val="auto"/>
                <w:szCs w:val="21"/>
                <w:lang w:val="en-US"/>
              </w:rPr>
              <w:t>项目</w:t>
            </w:r>
          </w:p>
          <w:p w14:paraId="0540C2B3">
            <w:pPr>
              <w:pStyle w:val="134"/>
              <w:spacing w:beforeLines="0" w:afterLines="0" w:line="240" w:lineRule="auto"/>
              <w:jc w:val="left"/>
              <w:rPr>
                <w:rFonts w:ascii="Times New Roman"/>
                <w:snapToGrid w:val="0"/>
                <w:color w:val="auto"/>
                <w:szCs w:val="21"/>
                <w:lang w:val="en-US"/>
              </w:rPr>
            </w:pPr>
            <w:r>
              <w:rPr>
                <w:rFonts w:ascii="Times New Roman"/>
                <w:snapToGrid w:val="0"/>
                <w:color w:val="auto"/>
                <w:szCs w:val="21"/>
                <w:lang w:val="en-US"/>
              </w:rPr>
              <w:t>分类</w:t>
            </w:r>
          </w:p>
        </w:tc>
        <w:tc>
          <w:tcPr>
            <w:tcW w:w="807" w:type="pct"/>
            <w:gridSpan w:val="3"/>
            <w:tcMar>
              <w:left w:w="28" w:type="dxa"/>
              <w:right w:w="28" w:type="dxa"/>
            </w:tcMar>
            <w:vAlign w:val="center"/>
          </w:tcPr>
          <w:p w14:paraId="053A1216">
            <w:pPr>
              <w:pStyle w:val="134"/>
              <w:spacing w:beforeLines="0" w:afterLines="0" w:line="240" w:lineRule="auto"/>
              <w:rPr>
                <w:rFonts w:ascii="Times New Roman"/>
                <w:snapToGrid w:val="0"/>
                <w:color w:val="auto"/>
                <w:szCs w:val="21"/>
                <w:lang w:val="en-US"/>
              </w:rPr>
            </w:pPr>
            <w:r>
              <w:rPr>
                <w:rFonts w:ascii="Times New Roman"/>
                <w:snapToGrid w:val="0"/>
                <w:color w:val="auto"/>
                <w:szCs w:val="21"/>
                <w:lang w:val="en-US"/>
              </w:rPr>
              <w:t>污染物名称</w:t>
            </w:r>
          </w:p>
        </w:tc>
        <w:tc>
          <w:tcPr>
            <w:tcW w:w="597" w:type="pct"/>
            <w:tcMar>
              <w:left w:w="28" w:type="dxa"/>
              <w:right w:w="28" w:type="dxa"/>
            </w:tcMar>
            <w:vAlign w:val="center"/>
          </w:tcPr>
          <w:p w14:paraId="77660D99">
            <w:pPr>
              <w:pStyle w:val="134"/>
              <w:spacing w:beforeLines="0" w:afterLines="0" w:line="240" w:lineRule="auto"/>
              <w:rPr>
                <w:rFonts w:ascii="Times New Roman"/>
                <w:snapToGrid w:val="0"/>
                <w:color w:val="auto"/>
                <w:szCs w:val="21"/>
                <w:lang w:val="en-US"/>
              </w:rPr>
            </w:pPr>
            <w:r>
              <w:rPr>
                <w:rFonts w:ascii="Times New Roman"/>
                <w:snapToGrid w:val="0"/>
                <w:color w:val="auto"/>
                <w:szCs w:val="21"/>
                <w:lang w:val="en-US"/>
              </w:rPr>
              <w:t>现有工程</w:t>
            </w:r>
          </w:p>
          <w:p w14:paraId="262EA761">
            <w:pPr>
              <w:pStyle w:val="134"/>
              <w:spacing w:beforeLines="0" w:afterLines="0" w:line="240" w:lineRule="auto"/>
              <w:rPr>
                <w:rFonts w:ascii="Times New Roman"/>
                <w:snapToGrid w:val="0"/>
                <w:color w:val="auto"/>
                <w:szCs w:val="21"/>
                <w:lang w:val="en-US"/>
              </w:rPr>
            </w:pPr>
            <w:r>
              <w:rPr>
                <w:rFonts w:ascii="Times New Roman"/>
                <w:snapToGrid w:val="0"/>
                <w:color w:val="auto"/>
                <w:szCs w:val="21"/>
                <w:lang w:val="en-US"/>
              </w:rPr>
              <w:t>排放量（固体废物产生量）</w:t>
            </w:r>
            <w:r>
              <w:rPr>
                <w:rFonts w:ascii="Times New Roman"/>
                <w:snapToGrid w:val="0"/>
                <w:color w:val="auto"/>
                <w:szCs w:val="21"/>
                <w:lang w:val="en-US"/>
              </w:rPr>
              <w:fldChar w:fldCharType="begin"/>
            </w:r>
            <w:r>
              <w:rPr>
                <w:rFonts w:ascii="Times New Roman"/>
                <w:snapToGrid w:val="0"/>
                <w:color w:val="auto"/>
                <w:szCs w:val="21"/>
                <w:lang w:val="en-US"/>
              </w:rPr>
              <w:instrText xml:space="preserve"> = 1 \* GB3 \* MERGEFORMAT </w:instrText>
            </w:r>
            <w:r>
              <w:rPr>
                <w:rFonts w:ascii="Times New Roman"/>
                <w:snapToGrid w:val="0"/>
                <w:color w:val="auto"/>
                <w:szCs w:val="21"/>
                <w:lang w:val="en-US"/>
              </w:rPr>
              <w:fldChar w:fldCharType="separate"/>
            </w:r>
            <w:r>
              <w:rPr>
                <w:rFonts w:ascii="Times New Roman"/>
                <w:snapToGrid w:val="0"/>
                <w:color w:val="auto"/>
                <w:szCs w:val="21"/>
                <w:lang w:val="en-US"/>
              </w:rPr>
              <w:t>①</w:t>
            </w:r>
            <w:r>
              <w:rPr>
                <w:rFonts w:ascii="Times New Roman"/>
                <w:snapToGrid w:val="0"/>
                <w:color w:val="auto"/>
                <w:szCs w:val="21"/>
                <w:lang w:val="en-US"/>
              </w:rPr>
              <w:fldChar w:fldCharType="end"/>
            </w:r>
          </w:p>
        </w:tc>
        <w:tc>
          <w:tcPr>
            <w:tcW w:w="442" w:type="pct"/>
            <w:tcMar>
              <w:left w:w="28" w:type="dxa"/>
              <w:right w:w="28" w:type="dxa"/>
            </w:tcMar>
            <w:vAlign w:val="center"/>
          </w:tcPr>
          <w:p w14:paraId="61E5FFF0">
            <w:pPr>
              <w:pStyle w:val="134"/>
              <w:spacing w:beforeLines="0" w:afterLines="0" w:line="240" w:lineRule="auto"/>
              <w:rPr>
                <w:rFonts w:ascii="Times New Roman"/>
                <w:snapToGrid w:val="0"/>
                <w:color w:val="auto"/>
                <w:szCs w:val="21"/>
                <w:lang w:val="en-US"/>
              </w:rPr>
            </w:pPr>
            <w:r>
              <w:rPr>
                <w:rFonts w:ascii="Times New Roman"/>
                <w:snapToGrid w:val="0"/>
                <w:color w:val="auto"/>
                <w:szCs w:val="21"/>
                <w:lang w:val="en-US"/>
              </w:rPr>
              <w:t>现有工程</w:t>
            </w:r>
          </w:p>
          <w:p w14:paraId="73978B7D">
            <w:pPr>
              <w:pStyle w:val="134"/>
              <w:spacing w:beforeLines="0" w:afterLines="0" w:line="240" w:lineRule="auto"/>
              <w:rPr>
                <w:rFonts w:ascii="Times New Roman"/>
                <w:snapToGrid w:val="0"/>
                <w:color w:val="auto"/>
                <w:szCs w:val="21"/>
                <w:lang w:val="en-US"/>
              </w:rPr>
            </w:pPr>
            <w:r>
              <w:rPr>
                <w:rFonts w:ascii="Times New Roman"/>
                <w:snapToGrid w:val="0"/>
                <w:color w:val="auto"/>
                <w:szCs w:val="21"/>
                <w:lang w:val="en-US"/>
              </w:rPr>
              <w:t>许可排放量</w:t>
            </w:r>
          </w:p>
          <w:p w14:paraId="670DE403">
            <w:pPr>
              <w:pStyle w:val="134"/>
              <w:spacing w:beforeLines="0" w:afterLines="0"/>
              <w:rPr>
                <w:rFonts w:ascii="Times New Roman"/>
                <w:snapToGrid w:val="0"/>
                <w:color w:val="auto"/>
                <w:szCs w:val="21"/>
                <w:lang w:val="en-US"/>
              </w:rPr>
            </w:pPr>
            <w:r>
              <w:rPr>
                <w:rFonts w:ascii="Times New Roman"/>
                <w:snapToGrid w:val="0"/>
                <w:color w:val="auto"/>
                <w:szCs w:val="21"/>
                <w:lang w:val="en-US"/>
              </w:rPr>
              <w:fldChar w:fldCharType="begin"/>
            </w:r>
            <w:r>
              <w:rPr>
                <w:rFonts w:ascii="Times New Roman"/>
                <w:snapToGrid w:val="0"/>
                <w:color w:val="auto"/>
                <w:szCs w:val="21"/>
                <w:lang w:val="en-US"/>
              </w:rPr>
              <w:instrText xml:space="preserve"> = 2 \* GB3 \* MERGEFORMAT </w:instrText>
            </w:r>
            <w:r>
              <w:rPr>
                <w:rFonts w:ascii="Times New Roman"/>
                <w:snapToGrid w:val="0"/>
                <w:color w:val="auto"/>
                <w:szCs w:val="21"/>
                <w:lang w:val="en-US"/>
              </w:rPr>
              <w:fldChar w:fldCharType="separate"/>
            </w:r>
            <w:r>
              <w:rPr>
                <w:rFonts w:ascii="Times New Roman"/>
                <w:snapToGrid w:val="0"/>
                <w:color w:val="auto"/>
                <w:szCs w:val="21"/>
                <w:lang w:val="en-US"/>
              </w:rPr>
              <w:t>②</w:t>
            </w:r>
            <w:r>
              <w:rPr>
                <w:rFonts w:ascii="Times New Roman"/>
                <w:snapToGrid w:val="0"/>
                <w:color w:val="auto"/>
                <w:szCs w:val="21"/>
                <w:lang w:val="en-US"/>
              </w:rPr>
              <w:fldChar w:fldCharType="end"/>
            </w:r>
          </w:p>
        </w:tc>
        <w:tc>
          <w:tcPr>
            <w:tcW w:w="597" w:type="pct"/>
            <w:tcMar>
              <w:left w:w="28" w:type="dxa"/>
              <w:right w:w="28" w:type="dxa"/>
            </w:tcMar>
            <w:vAlign w:val="center"/>
          </w:tcPr>
          <w:p w14:paraId="74E9FEFB">
            <w:pPr>
              <w:pStyle w:val="134"/>
              <w:spacing w:beforeLines="0" w:afterLines="0" w:line="240" w:lineRule="auto"/>
              <w:rPr>
                <w:rFonts w:ascii="Times New Roman"/>
                <w:snapToGrid w:val="0"/>
                <w:color w:val="auto"/>
                <w:szCs w:val="21"/>
                <w:lang w:val="en-US"/>
              </w:rPr>
            </w:pPr>
            <w:r>
              <w:rPr>
                <w:rFonts w:ascii="Times New Roman"/>
                <w:snapToGrid w:val="0"/>
                <w:color w:val="auto"/>
                <w:szCs w:val="21"/>
                <w:lang w:val="en-US"/>
              </w:rPr>
              <w:t>在建工程</w:t>
            </w:r>
          </w:p>
          <w:p w14:paraId="3175328E">
            <w:pPr>
              <w:pStyle w:val="134"/>
              <w:spacing w:beforeLines="0" w:afterLines="0" w:line="240" w:lineRule="auto"/>
              <w:rPr>
                <w:rFonts w:ascii="Times New Roman"/>
                <w:snapToGrid w:val="0"/>
                <w:color w:val="auto"/>
                <w:szCs w:val="21"/>
                <w:lang w:val="en-US"/>
              </w:rPr>
            </w:pPr>
            <w:r>
              <w:rPr>
                <w:rFonts w:ascii="Times New Roman"/>
                <w:snapToGrid w:val="0"/>
                <w:color w:val="auto"/>
                <w:szCs w:val="21"/>
                <w:lang w:val="en-US"/>
              </w:rPr>
              <w:t>排放量（固体废物产生量）</w:t>
            </w:r>
            <w:r>
              <w:rPr>
                <w:rFonts w:ascii="Times New Roman"/>
                <w:snapToGrid w:val="0"/>
                <w:color w:val="auto"/>
                <w:szCs w:val="21"/>
                <w:lang w:val="en-US"/>
              </w:rPr>
              <w:fldChar w:fldCharType="begin"/>
            </w:r>
            <w:r>
              <w:rPr>
                <w:rFonts w:ascii="Times New Roman"/>
                <w:snapToGrid w:val="0"/>
                <w:color w:val="auto"/>
                <w:szCs w:val="21"/>
                <w:lang w:val="en-US"/>
              </w:rPr>
              <w:instrText xml:space="preserve"> = 3 \* GB3 \* MERGEFORMAT </w:instrText>
            </w:r>
            <w:r>
              <w:rPr>
                <w:rFonts w:ascii="Times New Roman"/>
                <w:snapToGrid w:val="0"/>
                <w:color w:val="auto"/>
                <w:szCs w:val="21"/>
                <w:lang w:val="en-US"/>
              </w:rPr>
              <w:fldChar w:fldCharType="separate"/>
            </w:r>
            <w:r>
              <w:rPr>
                <w:rFonts w:ascii="Times New Roman"/>
                <w:snapToGrid w:val="0"/>
                <w:color w:val="auto"/>
                <w:szCs w:val="21"/>
                <w:lang w:val="en-US"/>
              </w:rPr>
              <w:t>③</w:t>
            </w:r>
            <w:r>
              <w:rPr>
                <w:rFonts w:ascii="Times New Roman"/>
                <w:snapToGrid w:val="0"/>
                <w:color w:val="auto"/>
                <w:szCs w:val="21"/>
                <w:lang w:val="en-US"/>
              </w:rPr>
              <w:fldChar w:fldCharType="end"/>
            </w:r>
          </w:p>
        </w:tc>
        <w:tc>
          <w:tcPr>
            <w:tcW w:w="545" w:type="pct"/>
            <w:tcMar>
              <w:left w:w="28" w:type="dxa"/>
              <w:right w:w="28" w:type="dxa"/>
            </w:tcMar>
            <w:vAlign w:val="center"/>
          </w:tcPr>
          <w:p w14:paraId="7B33A21F">
            <w:pPr>
              <w:pStyle w:val="134"/>
              <w:spacing w:beforeLines="0" w:afterLines="0" w:line="240" w:lineRule="auto"/>
              <w:rPr>
                <w:rFonts w:ascii="Times New Roman"/>
                <w:snapToGrid w:val="0"/>
                <w:color w:val="auto"/>
                <w:szCs w:val="21"/>
                <w:lang w:val="en-US"/>
              </w:rPr>
            </w:pPr>
            <w:r>
              <w:rPr>
                <w:rFonts w:ascii="Times New Roman"/>
                <w:snapToGrid w:val="0"/>
                <w:color w:val="auto"/>
                <w:szCs w:val="21"/>
                <w:lang w:val="en-US"/>
              </w:rPr>
              <w:t>本项目</w:t>
            </w:r>
          </w:p>
          <w:p w14:paraId="27F7AA4F">
            <w:pPr>
              <w:pStyle w:val="134"/>
              <w:spacing w:beforeLines="0" w:afterLines="0" w:line="240" w:lineRule="auto"/>
              <w:rPr>
                <w:rFonts w:ascii="Times New Roman"/>
                <w:snapToGrid w:val="0"/>
                <w:color w:val="auto"/>
                <w:szCs w:val="21"/>
                <w:lang w:val="en-US"/>
              </w:rPr>
            </w:pPr>
            <w:r>
              <w:rPr>
                <w:rFonts w:ascii="Times New Roman"/>
                <w:snapToGrid w:val="0"/>
                <w:color w:val="auto"/>
                <w:szCs w:val="21"/>
                <w:lang w:val="en-US"/>
              </w:rPr>
              <w:t>排放量（固体废物产生量）</w:t>
            </w:r>
            <w:r>
              <w:rPr>
                <w:rFonts w:ascii="Times New Roman"/>
                <w:snapToGrid w:val="0"/>
                <w:color w:val="auto"/>
                <w:szCs w:val="21"/>
                <w:lang w:val="en-US"/>
              </w:rPr>
              <w:fldChar w:fldCharType="begin"/>
            </w:r>
            <w:r>
              <w:rPr>
                <w:rFonts w:ascii="Times New Roman"/>
                <w:snapToGrid w:val="0"/>
                <w:color w:val="auto"/>
                <w:szCs w:val="21"/>
                <w:lang w:val="en-US"/>
              </w:rPr>
              <w:instrText xml:space="preserve"> = 4 \* GB3 \* MERGEFORMAT </w:instrText>
            </w:r>
            <w:r>
              <w:rPr>
                <w:rFonts w:ascii="Times New Roman"/>
                <w:snapToGrid w:val="0"/>
                <w:color w:val="auto"/>
                <w:szCs w:val="21"/>
                <w:lang w:val="en-US"/>
              </w:rPr>
              <w:fldChar w:fldCharType="separate"/>
            </w:r>
            <w:r>
              <w:rPr>
                <w:rFonts w:ascii="Times New Roman"/>
                <w:snapToGrid w:val="0"/>
                <w:color w:val="auto"/>
                <w:szCs w:val="21"/>
                <w:lang w:val="en-US"/>
              </w:rPr>
              <w:t>④</w:t>
            </w:r>
            <w:r>
              <w:rPr>
                <w:rFonts w:ascii="Times New Roman"/>
                <w:snapToGrid w:val="0"/>
                <w:color w:val="auto"/>
                <w:szCs w:val="21"/>
                <w:lang w:val="en-US"/>
              </w:rPr>
              <w:fldChar w:fldCharType="end"/>
            </w:r>
          </w:p>
        </w:tc>
        <w:tc>
          <w:tcPr>
            <w:tcW w:w="565" w:type="pct"/>
            <w:tcMar>
              <w:left w:w="28" w:type="dxa"/>
              <w:right w:w="28" w:type="dxa"/>
            </w:tcMar>
            <w:vAlign w:val="center"/>
          </w:tcPr>
          <w:p w14:paraId="24FA9E1B">
            <w:pPr>
              <w:pStyle w:val="134"/>
              <w:spacing w:beforeLines="0" w:afterLines="0" w:line="240" w:lineRule="auto"/>
              <w:rPr>
                <w:rFonts w:ascii="Times New Roman"/>
                <w:snapToGrid w:val="0"/>
                <w:color w:val="auto"/>
                <w:szCs w:val="21"/>
                <w:lang w:val="en-US"/>
              </w:rPr>
            </w:pPr>
            <w:r>
              <w:rPr>
                <w:rFonts w:ascii="Times New Roman"/>
                <w:snapToGrid w:val="0"/>
                <w:color w:val="auto"/>
                <w:szCs w:val="21"/>
                <w:lang w:val="en-US"/>
              </w:rPr>
              <w:t>以新带老削减量（新建项目不填）</w:t>
            </w:r>
            <w:r>
              <w:rPr>
                <w:rFonts w:ascii="Times New Roman"/>
                <w:snapToGrid w:val="0"/>
                <w:color w:val="auto"/>
                <w:szCs w:val="21"/>
                <w:lang w:val="en-US"/>
              </w:rPr>
              <w:fldChar w:fldCharType="begin"/>
            </w:r>
            <w:r>
              <w:rPr>
                <w:rFonts w:ascii="Times New Roman"/>
                <w:snapToGrid w:val="0"/>
                <w:color w:val="auto"/>
                <w:szCs w:val="21"/>
                <w:lang w:val="en-US"/>
              </w:rPr>
              <w:instrText xml:space="preserve"> = 5 \* GB3 \* MERGEFORMAT </w:instrText>
            </w:r>
            <w:r>
              <w:rPr>
                <w:rFonts w:ascii="Times New Roman"/>
                <w:snapToGrid w:val="0"/>
                <w:color w:val="auto"/>
                <w:szCs w:val="21"/>
                <w:lang w:val="en-US"/>
              </w:rPr>
              <w:fldChar w:fldCharType="separate"/>
            </w:r>
            <w:r>
              <w:rPr>
                <w:rFonts w:ascii="Times New Roman"/>
                <w:snapToGrid w:val="0"/>
                <w:color w:val="auto"/>
                <w:szCs w:val="21"/>
                <w:lang w:val="en-US"/>
              </w:rPr>
              <w:t>⑤</w:t>
            </w:r>
            <w:r>
              <w:rPr>
                <w:rFonts w:ascii="Times New Roman"/>
                <w:snapToGrid w:val="0"/>
                <w:color w:val="auto"/>
                <w:szCs w:val="21"/>
                <w:lang w:val="en-US"/>
              </w:rPr>
              <w:fldChar w:fldCharType="end"/>
            </w:r>
          </w:p>
        </w:tc>
        <w:tc>
          <w:tcPr>
            <w:tcW w:w="628" w:type="pct"/>
            <w:tcMar>
              <w:left w:w="28" w:type="dxa"/>
              <w:right w:w="28" w:type="dxa"/>
            </w:tcMar>
            <w:vAlign w:val="center"/>
          </w:tcPr>
          <w:p w14:paraId="32C2D2D4">
            <w:pPr>
              <w:pStyle w:val="134"/>
              <w:spacing w:beforeLines="0" w:afterLines="0" w:line="240" w:lineRule="auto"/>
              <w:rPr>
                <w:rFonts w:ascii="Times New Roman"/>
                <w:snapToGrid w:val="0"/>
                <w:color w:val="auto"/>
                <w:szCs w:val="21"/>
                <w:lang w:val="en-US"/>
              </w:rPr>
            </w:pPr>
            <w:r>
              <w:rPr>
                <w:rFonts w:ascii="Times New Roman"/>
                <w:snapToGrid w:val="0"/>
                <w:color w:val="auto"/>
                <w:szCs w:val="21"/>
                <w:lang w:val="en-US"/>
              </w:rPr>
              <w:t>本项目建成后</w:t>
            </w:r>
          </w:p>
          <w:p w14:paraId="554C2F55">
            <w:pPr>
              <w:pStyle w:val="134"/>
              <w:spacing w:beforeLines="0" w:afterLines="0" w:line="240" w:lineRule="auto"/>
              <w:rPr>
                <w:rFonts w:ascii="Times New Roman"/>
                <w:snapToGrid w:val="0"/>
                <w:color w:val="auto"/>
                <w:szCs w:val="21"/>
                <w:lang w:val="en-US"/>
              </w:rPr>
            </w:pPr>
            <w:r>
              <w:rPr>
                <w:rFonts w:ascii="Times New Roman"/>
                <w:snapToGrid w:val="0"/>
                <w:color w:val="auto"/>
                <w:szCs w:val="21"/>
                <w:lang w:val="en-US"/>
              </w:rPr>
              <w:t>全厂排放量（固体废物产生量）</w:t>
            </w:r>
            <w:r>
              <w:rPr>
                <w:rFonts w:ascii="Times New Roman"/>
                <w:snapToGrid w:val="0"/>
                <w:color w:val="auto"/>
                <w:szCs w:val="21"/>
                <w:lang w:val="en-US"/>
              </w:rPr>
              <w:fldChar w:fldCharType="begin"/>
            </w:r>
            <w:r>
              <w:rPr>
                <w:rFonts w:ascii="Times New Roman"/>
                <w:snapToGrid w:val="0"/>
                <w:color w:val="auto"/>
                <w:szCs w:val="21"/>
                <w:lang w:val="en-US"/>
              </w:rPr>
              <w:instrText xml:space="preserve"> = 6 \* GB3 \* MERGEFORMAT </w:instrText>
            </w:r>
            <w:r>
              <w:rPr>
                <w:rFonts w:ascii="Times New Roman"/>
                <w:snapToGrid w:val="0"/>
                <w:color w:val="auto"/>
                <w:szCs w:val="21"/>
                <w:lang w:val="en-US"/>
              </w:rPr>
              <w:fldChar w:fldCharType="separate"/>
            </w:r>
            <w:r>
              <w:rPr>
                <w:rFonts w:ascii="Times New Roman"/>
                <w:snapToGrid w:val="0"/>
                <w:color w:val="auto"/>
                <w:szCs w:val="21"/>
                <w:lang w:val="en-US"/>
              </w:rPr>
              <w:t>⑥</w:t>
            </w:r>
            <w:r>
              <w:rPr>
                <w:rFonts w:ascii="Times New Roman"/>
                <w:snapToGrid w:val="0"/>
                <w:color w:val="auto"/>
                <w:szCs w:val="21"/>
                <w:lang w:val="en-US"/>
              </w:rPr>
              <w:fldChar w:fldCharType="end"/>
            </w:r>
          </w:p>
        </w:tc>
        <w:tc>
          <w:tcPr>
            <w:tcW w:w="421" w:type="pct"/>
            <w:tcMar>
              <w:left w:w="28" w:type="dxa"/>
              <w:right w:w="28" w:type="dxa"/>
            </w:tcMar>
            <w:vAlign w:val="center"/>
          </w:tcPr>
          <w:p w14:paraId="237CBAE5">
            <w:pPr>
              <w:pStyle w:val="134"/>
              <w:spacing w:beforeLines="0" w:afterLines="0" w:line="240" w:lineRule="auto"/>
              <w:rPr>
                <w:rFonts w:ascii="Times New Roman"/>
                <w:snapToGrid w:val="0"/>
                <w:color w:val="auto"/>
                <w:szCs w:val="21"/>
                <w:lang w:val="en-US"/>
              </w:rPr>
            </w:pPr>
            <w:r>
              <w:rPr>
                <w:rFonts w:ascii="Times New Roman"/>
                <w:snapToGrid w:val="0"/>
                <w:color w:val="auto"/>
                <w:szCs w:val="21"/>
                <w:lang w:val="en-US"/>
              </w:rPr>
              <w:t>变化量</w:t>
            </w:r>
          </w:p>
          <w:p w14:paraId="64EF34B9">
            <w:pPr>
              <w:pStyle w:val="134"/>
              <w:spacing w:beforeLines="0" w:afterLines="0" w:line="240" w:lineRule="auto"/>
              <w:rPr>
                <w:rFonts w:ascii="Times New Roman"/>
                <w:snapToGrid w:val="0"/>
                <w:color w:val="auto"/>
                <w:szCs w:val="21"/>
                <w:lang w:val="en-US"/>
              </w:rPr>
            </w:pPr>
            <w:r>
              <w:rPr>
                <w:rFonts w:ascii="Times New Roman"/>
                <w:snapToGrid w:val="0"/>
                <w:color w:val="auto"/>
                <w:szCs w:val="21"/>
                <w:lang w:val="en-US"/>
              </w:rPr>
              <w:fldChar w:fldCharType="begin"/>
            </w:r>
            <w:r>
              <w:rPr>
                <w:rFonts w:ascii="Times New Roman"/>
                <w:snapToGrid w:val="0"/>
                <w:color w:val="auto"/>
                <w:szCs w:val="21"/>
                <w:lang w:val="en-US"/>
              </w:rPr>
              <w:instrText xml:space="preserve"> = 7 \* GB3 \* MERGEFORMAT </w:instrText>
            </w:r>
            <w:r>
              <w:rPr>
                <w:rFonts w:ascii="Times New Roman"/>
                <w:snapToGrid w:val="0"/>
                <w:color w:val="auto"/>
                <w:szCs w:val="21"/>
                <w:lang w:val="en-US"/>
              </w:rPr>
              <w:fldChar w:fldCharType="separate"/>
            </w:r>
            <w:r>
              <w:rPr>
                <w:rFonts w:ascii="Times New Roman"/>
                <w:snapToGrid w:val="0"/>
                <w:color w:val="auto"/>
                <w:szCs w:val="21"/>
                <w:lang w:val="en-US"/>
              </w:rPr>
              <w:t>⑦</w:t>
            </w:r>
            <w:r>
              <w:rPr>
                <w:rFonts w:ascii="Times New Roman"/>
                <w:snapToGrid w:val="0"/>
                <w:color w:val="auto"/>
                <w:szCs w:val="21"/>
                <w:lang w:val="en-US"/>
              </w:rPr>
              <w:fldChar w:fldCharType="end"/>
            </w:r>
          </w:p>
        </w:tc>
      </w:tr>
      <w:tr w14:paraId="53515E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Merge w:val="restart"/>
            <w:vAlign w:val="center"/>
          </w:tcPr>
          <w:p w14:paraId="5D854D11">
            <w:pPr>
              <w:pStyle w:val="134"/>
              <w:spacing w:beforeLines="0" w:afterLines="0" w:line="240" w:lineRule="auto"/>
              <w:rPr>
                <w:rFonts w:ascii="Times New Roman"/>
                <w:snapToGrid w:val="0"/>
                <w:color w:val="auto"/>
                <w:szCs w:val="21"/>
                <w:lang w:val="en-US"/>
              </w:rPr>
            </w:pPr>
            <w:r>
              <w:rPr>
                <w:rFonts w:ascii="Times New Roman"/>
                <w:snapToGrid w:val="0"/>
                <w:color w:val="auto"/>
                <w:szCs w:val="21"/>
                <w:lang w:val="en-US"/>
              </w:rPr>
              <w:t>废气</w:t>
            </w:r>
          </w:p>
        </w:tc>
        <w:tc>
          <w:tcPr>
            <w:tcW w:w="403" w:type="pct"/>
            <w:gridSpan w:val="2"/>
            <w:vMerge w:val="restart"/>
            <w:vAlign w:val="center"/>
          </w:tcPr>
          <w:p w14:paraId="42E9902D">
            <w:pPr>
              <w:spacing w:line="280" w:lineRule="exact"/>
              <w:jc w:val="center"/>
              <w:rPr>
                <w:snapToGrid w:val="0"/>
                <w:color w:val="auto"/>
                <w:szCs w:val="21"/>
              </w:rPr>
            </w:pPr>
            <w:r>
              <w:rPr>
                <w:rFonts w:hint="eastAsia"/>
                <w:bCs/>
                <w:color w:val="auto"/>
                <w:szCs w:val="21"/>
              </w:rPr>
              <w:t>颗粒物</w:t>
            </w:r>
          </w:p>
        </w:tc>
        <w:tc>
          <w:tcPr>
            <w:tcW w:w="403" w:type="pct"/>
            <w:vAlign w:val="center"/>
          </w:tcPr>
          <w:p w14:paraId="6495D2E6">
            <w:pPr>
              <w:spacing w:line="280" w:lineRule="exact"/>
              <w:jc w:val="center"/>
              <w:rPr>
                <w:bCs/>
                <w:color w:val="auto"/>
                <w:szCs w:val="21"/>
              </w:rPr>
            </w:pPr>
            <w:r>
              <w:rPr>
                <w:bCs/>
                <w:color w:val="auto"/>
                <w:szCs w:val="21"/>
              </w:rPr>
              <w:t>有组织</w:t>
            </w:r>
          </w:p>
        </w:tc>
        <w:tc>
          <w:tcPr>
            <w:tcW w:w="597" w:type="pct"/>
            <w:vAlign w:val="center"/>
          </w:tcPr>
          <w:p w14:paraId="70A91022">
            <w:pPr>
              <w:jc w:val="center"/>
              <w:rPr>
                <w:snapToGrid w:val="0"/>
                <w:color w:val="auto"/>
                <w:kern w:val="0"/>
                <w:szCs w:val="21"/>
              </w:rPr>
            </w:pPr>
            <w:r>
              <w:rPr>
                <w:snapToGrid w:val="0"/>
                <w:color w:val="auto"/>
                <w:kern w:val="0"/>
                <w:szCs w:val="21"/>
              </w:rPr>
              <w:t>0</w:t>
            </w:r>
          </w:p>
        </w:tc>
        <w:tc>
          <w:tcPr>
            <w:tcW w:w="442" w:type="pct"/>
            <w:vAlign w:val="center"/>
          </w:tcPr>
          <w:p w14:paraId="3559E4D9">
            <w:pPr>
              <w:jc w:val="center"/>
              <w:rPr>
                <w:snapToGrid w:val="0"/>
                <w:color w:val="auto"/>
                <w:kern w:val="0"/>
                <w:szCs w:val="21"/>
              </w:rPr>
            </w:pPr>
            <w:r>
              <w:rPr>
                <w:snapToGrid w:val="0"/>
                <w:color w:val="auto"/>
                <w:kern w:val="0"/>
                <w:szCs w:val="21"/>
              </w:rPr>
              <w:t>0</w:t>
            </w:r>
          </w:p>
        </w:tc>
        <w:tc>
          <w:tcPr>
            <w:tcW w:w="597" w:type="pct"/>
            <w:vAlign w:val="center"/>
          </w:tcPr>
          <w:p w14:paraId="7A50F444">
            <w:pPr>
              <w:jc w:val="center"/>
              <w:rPr>
                <w:snapToGrid w:val="0"/>
                <w:color w:val="auto"/>
                <w:kern w:val="0"/>
                <w:szCs w:val="21"/>
              </w:rPr>
            </w:pPr>
            <w:r>
              <w:rPr>
                <w:snapToGrid w:val="0"/>
                <w:color w:val="auto"/>
                <w:kern w:val="0"/>
                <w:szCs w:val="21"/>
              </w:rPr>
              <w:t>0</w:t>
            </w:r>
          </w:p>
        </w:tc>
        <w:tc>
          <w:tcPr>
            <w:tcW w:w="545" w:type="pct"/>
            <w:vAlign w:val="center"/>
          </w:tcPr>
          <w:p w14:paraId="781E64FD">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0.059</w:t>
            </w:r>
          </w:p>
        </w:tc>
        <w:tc>
          <w:tcPr>
            <w:tcW w:w="565" w:type="pct"/>
            <w:vAlign w:val="center"/>
          </w:tcPr>
          <w:p w14:paraId="53C13E02">
            <w:pPr>
              <w:pStyle w:val="134"/>
              <w:keepNext w:val="0"/>
              <w:keepLines w:val="0"/>
              <w:pageBreakBefore w:val="0"/>
              <w:kinsoku/>
              <w:wordWrap/>
              <w:overflowPunct/>
              <w:topLinePunct w:val="0"/>
              <w:autoSpaceDE/>
              <w:autoSpaceDN/>
              <w:bidi w:val="0"/>
              <w:adjustRightInd w:val="0"/>
              <w:snapToGrid w:val="0"/>
              <w:spacing w:beforeLines="0" w:afterLines="0" w:line="240" w:lineRule="auto"/>
              <w:ind w:firstLine="0"/>
              <w:textAlignment w:val="auto"/>
              <w:rPr>
                <w:rFonts w:ascii="Times New Roman"/>
                <w:snapToGrid w:val="0"/>
                <w:color w:val="auto"/>
                <w:szCs w:val="21"/>
                <w:lang w:val="en-US"/>
              </w:rPr>
            </w:pPr>
            <w:r>
              <w:rPr>
                <w:rFonts w:ascii="Times New Roman"/>
                <w:snapToGrid w:val="0"/>
                <w:color w:val="auto"/>
                <w:szCs w:val="21"/>
                <w:lang w:val="en-US"/>
              </w:rPr>
              <w:t>0</w:t>
            </w:r>
          </w:p>
        </w:tc>
        <w:tc>
          <w:tcPr>
            <w:tcW w:w="1697" w:type="dxa"/>
            <w:shd w:val="clear" w:color="auto" w:fill="auto"/>
            <w:vAlign w:val="center"/>
          </w:tcPr>
          <w:p w14:paraId="29DB9551">
            <w:pPr>
              <w:pStyle w:val="143"/>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0.059</w:t>
            </w:r>
          </w:p>
        </w:tc>
        <w:tc>
          <w:tcPr>
            <w:tcW w:w="1136" w:type="dxa"/>
            <w:shd w:val="clear" w:color="auto" w:fill="auto"/>
            <w:vAlign w:val="center"/>
          </w:tcPr>
          <w:p w14:paraId="75B75CE4">
            <w:pPr>
              <w:pStyle w:val="143"/>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+0.059</w:t>
            </w:r>
          </w:p>
        </w:tc>
      </w:tr>
      <w:tr w14:paraId="62B2E3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Merge w:val="continue"/>
            <w:vAlign w:val="center"/>
          </w:tcPr>
          <w:p w14:paraId="282CC21B">
            <w:pPr>
              <w:pStyle w:val="134"/>
              <w:spacing w:beforeLines="0" w:afterLines="0" w:line="240" w:lineRule="auto"/>
              <w:rPr>
                <w:rFonts w:ascii="Times New Roman"/>
                <w:snapToGrid w:val="0"/>
                <w:color w:val="auto"/>
                <w:szCs w:val="21"/>
                <w:lang w:val="en-US"/>
              </w:rPr>
            </w:pPr>
          </w:p>
        </w:tc>
        <w:tc>
          <w:tcPr>
            <w:tcW w:w="403" w:type="pct"/>
            <w:gridSpan w:val="2"/>
            <w:vMerge w:val="continue"/>
            <w:shd w:val="clear" w:color="auto" w:fill="auto"/>
            <w:vAlign w:val="center"/>
          </w:tcPr>
          <w:p w14:paraId="0E1555B5">
            <w:pPr>
              <w:spacing w:line="280" w:lineRule="exact"/>
              <w:jc w:val="center"/>
              <w:rPr>
                <w:snapToGrid w:val="0"/>
                <w:color w:val="auto"/>
                <w:szCs w:val="21"/>
              </w:rPr>
            </w:pPr>
          </w:p>
        </w:tc>
        <w:tc>
          <w:tcPr>
            <w:tcW w:w="403" w:type="pct"/>
            <w:shd w:val="clear" w:color="auto" w:fill="auto"/>
            <w:vAlign w:val="center"/>
          </w:tcPr>
          <w:p w14:paraId="72510CE7">
            <w:pPr>
              <w:spacing w:line="280" w:lineRule="exact"/>
              <w:jc w:val="center"/>
              <w:rPr>
                <w:bCs/>
                <w:color w:val="auto"/>
                <w:szCs w:val="21"/>
              </w:rPr>
            </w:pPr>
            <w:r>
              <w:rPr>
                <w:bCs/>
                <w:color w:val="auto"/>
                <w:szCs w:val="21"/>
              </w:rPr>
              <w:t>无组织</w:t>
            </w:r>
          </w:p>
        </w:tc>
        <w:tc>
          <w:tcPr>
            <w:tcW w:w="597" w:type="pct"/>
            <w:shd w:val="clear" w:color="auto" w:fill="auto"/>
            <w:vAlign w:val="center"/>
          </w:tcPr>
          <w:p w14:paraId="61630245">
            <w:pPr>
              <w:jc w:val="center"/>
              <w:rPr>
                <w:snapToGrid w:val="0"/>
                <w:color w:val="auto"/>
                <w:kern w:val="0"/>
                <w:szCs w:val="21"/>
              </w:rPr>
            </w:pPr>
            <w:r>
              <w:rPr>
                <w:snapToGrid w:val="0"/>
                <w:color w:val="auto"/>
                <w:kern w:val="0"/>
                <w:szCs w:val="21"/>
              </w:rPr>
              <w:t>0</w:t>
            </w:r>
          </w:p>
        </w:tc>
        <w:tc>
          <w:tcPr>
            <w:tcW w:w="442" w:type="pct"/>
            <w:shd w:val="clear" w:color="auto" w:fill="auto"/>
            <w:vAlign w:val="center"/>
          </w:tcPr>
          <w:p w14:paraId="794CD5F2">
            <w:pPr>
              <w:jc w:val="center"/>
              <w:rPr>
                <w:snapToGrid w:val="0"/>
                <w:color w:val="auto"/>
                <w:kern w:val="0"/>
                <w:szCs w:val="21"/>
              </w:rPr>
            </w:pPr>
            <w:r>
              <w:rPr>
                <w:snapToGrid w:val="0"/>
                <w:color w:val="auto"/>
                <w:kern w:val="0"/>
                <w:szCs w:val="21"/>
              </w:rPr>
              <w:t>0</w:t>
            </w:r>
          </w:p>
        </w:tc>
        <w:tc>
          <w:tcPr>
            <w:tcW w:w="597" w:type="pct"/>
            <w:shd w:val="clear" w:color="auto" w:fill="auto"/>
            <w:vAlign w:val="center"/>
          </w:tcPr>
          <w:p w14:paraId="7B817825">
            <w:pPr>
              <w:jc w:val="center"/>
              <w:rPr>
                <w:snapToGrid w:val="0"/>
                <w:color w:val="auto"/>
                <w:kern w:val="0"/>
                <w:szCs w:val="21"/>
              </w:rPr>
            </w:pPr>
            <w:r>
              <w:rPr>
                <w:snapToGrid w:val="0"/>
                <w:color w:val="auto"/>
                <w:kern w:val="0"/>
                <w:szCs w:val="21"/>
              </w:rPr>
              <w:t>0</w:t>
            </w:r>
          </w:p>
        </w:tc>
        <w:tc>
          <w:tcPr>
            <w:tcW w:w="545" w:type="pct"/>
            <w:shd w:val="clear" w:color="auto" w:fill="auto"/>
            <w:vAlign w:val="center"/>
          </w:tcPr>
          <w:p w14:paraId="7A9040BB">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0.127</w:t>
            </w:r>
          </w:p>
        </w:tc>
        <w:tc>
          <w:tcPr>
            <w:tcW w:w="565" w:type="pct"/>
            <w:shd w:val="clear" w:color="auto" w:fill="auto"/>
            <w:vAlign w:val="center"/>
          </w:tcPr>
          <w:p w14:paraId="5AC2FEFF">
            <w:pPr>
              <w:pStyle w:val="134"/>
              <w:keepNext w:val="0"/>
              <w:keepLines w:val="0"/>
              <w:pageBreakBefore w:val="0"/>
              <w:kinsoku/>
              <w:wordWrap/>
              <w:overflowPunct/>
              <w:topLinePunct w:val="0"/>
              <w:autoSpaceDE/>
              <w:autoSpaceDN/>
              <w:bidi w:val="0"/>
              <w:adjustRightInd w:val="0"/>
              <w:snapToGrid w:val="0"/>
              <w:spacing w:beforeLines="0" w:afterLines="0" w:line="240" w:lineRule="auto"/>
              <w:ind w:firstLine="0"/>
              <w:textAlignment w:val="auto"/>
              <w:rPr>
                <w:rFonts w:ascii="Times New Roman"/>
                <w:snapToGrid w:val="0"/>
                <w:color w:val="auto"/>
                <w:szCs w:val="21"/>
                <w:lang w:val="en-US"/>
              </w:rPr>
            </w:pPr>
            <w:r>
              <w:rPr>
                <w:rFonts w:ascii="Times New Roman"/>
                <w:snapToGrid w:val="0"/>
                <w:color w:val="auto"/>
                <w:szCs w:val="21"/>
                <w:lang w:val="en-US"/>
              </w:rPr>
              <w:t>0</w:t>
            </w:r>
          </w:p>
        </w:tc>
        <w:tc>
          <w:tcPr>
            <w:tcW w:w="1697" w:type="dxa"/>
            <w:shd w:val="clear" w:color="auto" w:fill="auto"/>
            <w:vAlign w:val="center"/>
          </w:tcPr>
          <w:p w14:paraId="038F77A8">
            <w:pPr>
              <w:pStyle w:val="143"/>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0.127</w:t>
            </w:r>
          </w:p>
        </w:tc>
        <w:tc>
          <w:tcPr>
            <w:tcW w:w="1136" w:type="dxa"/>
            <w:shd w:val="clear" w:color="auto" w:fill="auto"/>
            <w:vAlign w:val="center"/>
          </w:tcPr>
          <w:p w14:paraId="00AEEE9C">
            <w:pPr>
              <w:pStyle w:val="143"/>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+0.127</w:t>
            </w:r>
          </w:p>
        </w:tc>
      </w:tr>
      <w:tr w14:paraId="2375EF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Merge w:val="continue"/>
            <w:vAlign w:val="center"/>
          </w:tcPr>
          <w:p w14:paraId="46251B80">
            <w:pPr>
              <w:pStyle w:val="134"/>
              <w:spacing w:beforeLines="0" w:afterLines="0" w:line="240" w:lineRule="auto"/>
              <w:rPr>
                <w:rFonts w:ascii="Times New Roman"/>
                <w:snapToGrid w:val="0"/>
                <w:color w:val="auto"/>
                <w:szCs w:val="21"/>
                <w:lang w:val="en-US"/>
              </w:rPr>
            </w:pPr>
          </w:p>
        </w:tc>
        <w:tc>
          <w:tcPr>
            <w:tcW w:w="403" w:type="pct"/>
            <w:gridSpan w:val="2"/>
            <w:vMerge w:val="restart"/>
            <w:vAlign w:val="center"/>
          </w:tcPr>
          <w:p w14:paraId="078E2E09">
            <w:pPr>
              <w:spacing w:line="280" w:lineRule="exact"/>
              <w:jc w:val="center"/>
              <w:rPr>
                <w:bCs/>
                <w:color w:val="auto"/>
                <w:szCs w:val="21"/>
              </w:rPr>
            </w:pPr>
            <w:r>
              <w:rPr>
                <w:rFonts w:hint="eastAsia"/>
                <w:bCs/>
                <w:color w:val="auto"/>
                <w:szCs w:val="21"/>
              </w:rPr>
              <w:t>NMHC</w:t>
            </w:r>
          </w:p>
        </w:tc>
        <w:tc>
          <w:tcPr>
            <w:tcW w:w="403" w:type="pct"/>
            <w:shd w:val="clear" w:color="auto" w:fill="auto"/>
            <w:vAlign w:val="center"/>
          </w:tcPr>
          <w:p w14:paraId="04B16E83">
            <w:pPr>
              <w:spacing w:line="280" w:lineRule="exact"/>
              <w:jc w:val="center"/>
              <w:rPr>
                <w:bCs/>
                <w:color w:val="auto"/>
                <w:szCs w:val="21"/>
              </w:rPr>
            </w:pPr>
            <w:r>
              <w:rPr>
                <w:bCs/>
                <w:color w:val="auto"/>
                <w:szCs w:val="21"/>
              </w:rPr>
              <w:t>有组织</w:t>
            </w:r>
          </w:p>
        </w:tc>
        <w:tc>
          <w:tcPr>
            <w:tcW w:w="597" w:type="pct"/>
            <w:shd w:val="clear" w:color="auto" w:fill="auto"/>
            <w:vAlign w:val="center"/>
          </w:tcPr>
          <w:p w14:paraId="1612B28F">
            <w:pPr>
              <w:jc w:val="center"/>
              <w:rPr>
                <w:snapToGrid w:val="0"/>
                <w:color w:val="auto"/>
                <w:kern w:val="0"/>
                <w:szCs w:val="21"/>
              </w:rPr>
            </w:pPr>
            <w:r>
              <w:rPr>
                <w:snapToGrid w:val="0"/>
                <w:color w:val="auto"/>
                <w:kern w:val="0"/>
                <w:szCs w:val="21"/>
              </w:rPr>
              <w:t>0</w:t>
            </w:r>
          </w:p>
        </w:tc>
        <w:tc>
          <w:tcPr>
            <w:tcW w:w="442" w:type="pct"/>
            <w:shd w:val="clear" w:color="auto" w:fill="auto"/>
            <w:vAlign w:val="center"/>
          </w:tcPr>
          <w:p w14:paraId="22BA5E3B">
            <w:pPr>
              <w:jc w:val="center"/>
              <w:rPr>
                <w:snapToGrid w:val="0"/>
                <w:color w:val="auto"/>
                <w:kern w:val="0"/>
                <w:szCs w:val="21"/>
              </w:rPr>
            </w:pPr>
            <w:r>
              <w:rPr>
                <w:snapToGrid w:val="0"/>
                <w:color w:val="auto"/>
                <w:kern w:val="0"/>
                <w:szCs w:val="21"/>
              </w:rPr>
              <w:t>0</w:t>
            </w:r>
          </w:p>
        </w:tc>
        <w:tc>
          <w:tcPr>
            <w:tcW w:w="597" w:type="pct"/>
            <w:shd w:val="clear" w:color="auto" w:fill="auto"/>
            <w:vAlign w:val="center"/>
          </w:tcPr>
          <w:p w14:paraId="547F836D">
            <w:pPr>
              <w:jc w:val="center"/>
              <w:rPr>
                <w:snapToGrid w:val="0"/>
                <w:color w:val="auto"/>
                <w:kern w:val="0"/>
                <w:szCs w:val="21"/>
              </w:rPr>
            </w:pPr>
            <w:r>
              <w:rPr>
                <w:snapToGrid w:val="0"/>
                <w:color w:val="auto"/>
                <w:kern w:val="0"/>
                <w:szCs w:val="21"/>
              </w:rPr>
              <w:t>0</w:t>
            </w:r>
          </w:p>
        </w:tc>
        <w:tc>
          <w:tcPr>
            <w:tcW w:w="545" w:type="pct"/>
            <w:vAlign w:val="center"/>
          </w:tcPr>
          <w:p w14:paraId="77506ECF">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0.0214</w:t>
            </w:r>
          </w:p>
        </w:tc>
        <w:tc>
          <w:tcPr>
            <w:tcW w:w="565" w:type="pct"/>
            <w:vAlign w:val="center"/>
          </w:tcPr>
          <w:p w14:paraId="333B252B">
            <w:pPr>
              <w:pStyle w:val="134"/>
              <w:keepNext w:val="0"/>
              <w:keepLines w:val="0"/>
              <w:pageBreakBefore w:val="0"/>
              <w:kinsoku/>
              <w:wordWrap/>
              <w:overflowPunct/>
              <w:topLinePunct w:val="0"/>
              <w:autoSpaceDE/>
              <w:autoSpaceDN/>
              <w:bidi w:val="0"/>
              <w:adjustRightInd w:val="0"/>
              <w:snapToGrid w:val="0"/>
              <w:spacing w:beforeLines="0" w:afterLines="0" w:line="240" w:lineRule="auto"/>
              <w:ind w:firstLine="0"/>
              <w:textAlignment w:val="auto"/>
              <w:rPr>
                <w:rFonts w:ascii="Times New Roman"/>
                <w:snapToGrid w:val="0"/>
                <w:color w:val="auto"/>
                <w:szCs w:val="21"/>
                <w:lang w:val="en-US"/>
              </w:rPr>
            </w:pPr>
            <w:r>
              <w:rPr>
                <w:rFonts w:hint="eastAsia" w:ascii="Times New Roman"/>
                <w:snapToGrid w:val="0"/>
                <w:color w:val="auto"/>
                <w:szCs w:val="21"/>
                <w:lang w:val="en-US"/>
              </w:rPr>
              <w:t>0</w:t>
            </w:r>
          </w:p>
        </w:tc>
        <w:tc>
          <w:tcPr>
            <w:tcW w:w="1697" w:type="dxa"/>
            <w:shd w:val="clear" w:color="auto" w:fill="auto"/>
            <w:vAlign w:val="center"/>
          </w:tcPr>
          <w:p w14:paraId="60BD86A7">
            <w:pPr>
              <w:pStyle w:val="143"/>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0.0214</w:t>
            </w:r>
          </w:p>
        </w:tc>
        <w:tc>
          <w:tcPr>
            <w:tcW w:w="1136" w:type="dxa"/>
            <w:shd w:val="clear" w:color="auto" w:fill="auto"/>
            <w:vAlign w:val="center"/>
          </w:tcPr>
          <w:p w14:paraId="70DBE2B7">
            <w:pPr>
              <w:pStyle w:val="143"/>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+0.0214</w:t>
            </w:r>
          </w:p>
        </w:tc>
      </w:tr>
      <w:tr w14:paraId="7D605A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Merge w:val="continue"/>
            <w:vAlign w:val="center"/>
          </w:tcPr>
          <w:p w14:paraId="7B0091C6">
            <w:pPr>
              <w:pStyle w:val="134"/>
              <w:spacing w:beforeLines="0" w:afterLines="0" w:line="240" w:lineRule="auto"/>
              <w:rPr>
                <w:rFonts w:ascii="Times New Roman"/>
                <w:snapToGrid w:val="0"/>
                <w:color w:val="auto"/>
                <w:szCs w:val="21"/>
                <w:lang w:val="en-US"/>
              </w:rPr>
            </w:pPr>
          </w:p>
        </w:tc>
        <w:tc>
          <w:tcPr>
            <w:tcW w:w="403" w:type="pct"/>
            <w:gridSpan w:val="2"/>
            <w:vMerge w:val="continue"/>
            <w:vAlign w:val="center"/>
          </w:tcPr>
          <w:p w14:paraId="3F252E40">
            <w:pPr>
              <w:spacing w:line="280" w:lineRule="exact"/>
              <w:jc w:val="center"/>
              <w:rPr>
                <w:bCs/>
                <w:color w:val="auto"/>
                <w:szCs w:val="21"/>
              </w:rPr>
            </w:pPr>
          </w:p>
        </w:tc>
        <w:tc>
          <w:tcPr>
            <w:tcW w:w="403" w:type="pct"/>
            <w:shd w:val="clear" w:color="auto" w:fill="auto"/>
            <w:vAlign w:val="center"/>
          </w:tcPr>
          <w:p w14:paraId="692390BF">
            <w:pPr>
              <w:spacing w:line="280" w:lineRule="exact"/>
              <w:jc w:val="center"/>
              <w:rPr>
                <w:bCs/>
                <w:color w:val="auto"/>
                <w:szCs w:val="21"/>
              </w:rPr>
            </w:pPr>
            <w:r>
              <w:rPr>
                <w:bCs/>
                <w:color w:val="auto"/>
                <w:szCs w:val="21"/>
              </w:rPr>
              <w:t>无组织</w:t>
            </w:r>
          </w:p>
        </w:tc>
        <w:tc>
          <w:tcPr>
            <w:tcW w:w="597" w:type="pct"/>
            <w:vAlign w:val="center"/>
          </w:tcPr>
          <w:p w14:paraId="49ADF154">
            <w:pPr>
              <w:jc w:val="center"/>
              <w:rPr>
                <w:snapToGrid w:val="0"/>
                <w:color w:val="auto"/>
                <w:kern w:val="0"/>
                <w:szCs w:val="21"/>
              </w:rPr>
            </w:pPr>
            <w:r>
              <w:rPr>
                <w:snapToGrid w:val="0"/>
                <w:color w:val="auto"/>
                <w:szCs w:val="21"/>
              </w:rPr>
              <w:t>0</w:t>
            </w:r>
          </w:p>
        </w:tc>
        <w:tc>
          <w:tcPr>
            <w:tcW w:w="442" w:type="pct"/>
            <w:vAlign w:val="center"/>
          </w:tcPr>
          <w:p w14:paraId="1F39BDE4">
            <w:pPr>
              <w:jc w:val="center"/>
              <w:rPr>
                <w:snapToGrid w:val="0"/>
                <w:color w:val="auto"/>
                <w:kern w:val="0"/>
                <w:szCs w:val="21"/>
              </w:rPr>
            </w:pPr>
            <w:r>
              <w:rPr>
                <w:snapToGrid w:val="0"/>
                <w:color w:val="auto"/>
                <w:szCs w:val="21"/>
              </w:rPr>
              <w:t>0</w:t>
            </w:r>
          </w:p>
        </w:tc>
        <w:tc>
          <w:tcPr>
            <w:tcW w:w="597" w:type="pct"/>
            <w:vAlign w:val="center"/>
          </w:tcPr>
          <w:p w14:paraId="22386772">
            <w:pPr>
              <w:jc w:val="center"/>
              <w:rPr>
                <w:snapToGrid w:val="0"/>
                <w:color w:val="auto"/>
                <w:kern w:val="0"/>
                <w:szCs w:val="21"/>
              </w:rPr>
            </w:pPr>
            <w:r>
              <w:rPr>
                <w:snapToGrid w:val="0"/>
                <w:color w:val="auto"/>
                <w:szCs w:val="21"/>
              </w:rPr>
              <w:t>0</w:t>
            </w:r>
          </w:p>
        </w:tc>
        <w:tc>
          <w:tcPr>
            <w:tcW w:w="545" w:type="pct"/>
            <w:vAlign w:val="center"/>
          </w:tcPr>
          <w:p w14:paraId="5EEA3A36">
            <w:pPr>
              <w:pStyle w:val="143"/>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0.0112</w:t>
            </w:r>
          </w:p>
        </w:tc>
        <w:tc>
          <w:tcPr>
            <w:tcW w:w="565" w:type="pct"/>
            <w:vAlign w:val="center"/>
          </w:tcPr>
          <w:p w14:paraId="6FC48F87">
            <w:pPr>
              <w:pStyle w:val="134"/>
              <w:keepNext w:val="0"/>
              <w:keepLines w:val="0"/>
              <w:pageBreakBefore w:val="0"/>
              <w:kinsoku/>
              <w:wordWrap/>
              <w:overflowPunct/>
              <w:topLinePunct w:val="0"/>
              <w:autoSpaceDE/>
              <w:autoSpaceDN/>
              <w:bidi w:val="0"/>
              <w:adjustRightInd w:val="0"/>
              <w:snapToGrid w:val="0"/>
              <w:spacing w:beforeLines="0" w:afterLines="0" w:line="240" w:lineRule="auto"/>
              <w:ind w:firstLine="0"/>
              <w:textAlignment w:val="auto"/>
              <w:rPr>
                <w:rFonts w:ascii="Times New Roman"/>
                <w:snapToGrid w:val="0"/>
                <w:color w:val="auto"/>
                <w:szCs w:val="21"/>
                <w:lang w:val="en-US"/>
              </w:rPr>
            </w:pPr>
            <w:r>
              <w:rPr>
                <w:rFonts w:ascii="Times New Roman"/>
                <w:snapToGrid w:val="0"/>
                <w:color w:val="auto"/>
                <w:szCs w:val="21"/>
                <w:lang w:val="en-US"/>
              </w:rPr>
              <w:t>0</w:t>
            </w:r>
          </w:p>
        </w:tc>
        <w:tc>
          <w:tcPr>
            <w:tcW w:w="1697" w:type="dxa"/>
            <w:shd w:val="clear" w:color="auto" w:fill="auto"/>
            <w:vAlign w:val="center"/>
          </w:tcPr>
          <w:p w14:paraId="7E0C976E">
            <w:pPr>
              <w:pStyle w:val="143"/>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0.0112</w:t>
            </w:r>
          </w:p>
        </w:tc>
        <w:tc>
          <w:tcPr>
            <w:tcW w:w="1136" w:type="dxa"/>
            <w:shd w:val="clear" w:color="auto" w:fill="auto"/>
            <w:vAlign w:val="center"/>
          </w:tcPr>
          <w:p w14:paraId="4397F89D">
            <w:pPr>
              <w:pStyle w:val="143"/>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+0.0112</w:t>
            </w:r>
          </w:p>
        </w:tc>
      </w:tr>
      <w:tr w14:paraId="0BEAF4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Merge w:val="restart"/>
            <w:vAlign w:val="center"/>
          </w:tcPr>
          <w:p w14:paraId="08B671FC">
            <w:pPr>
              <w:pStyle w:val="134"/>
              <w:spacing w:before="31" w:after="31" w:line="240" w:lineRule="auto"/>
              <w:rPr>
                <w:color w:val="auto"/>
              </w:rPr>
            </w:pPr>
            <w:r>
              <w:rPr>
                <w:rFonts w:ascii="Times New Roman"/>
                <w:snapToGrid w:val="0"/>
                <w:color w:val="auto"/>
                <w:szCs w:val="21"/>
                <w:lang w:val="en-US"/>
              </w:rPr>
              <w:t>废水</w:t>
            </w:r>
          </w:p>
          <w:p w14:paraId="415FC8D5">
            <w:pPr>
              <w:pStyle w:val="134"/>
              <w:spacing w:before="31" w:after="31" w:line="240" w:lineRule="auto"/>
              <w:rPr>
                <w:rFonts w:ascii="Times New Roman"/>
                <w:snapToGrid w:val="0"/>
                <w:color w:val="auto"/>
                <w:szCs w:val="21"/>
                <w:lang w:val="en-US"/>
              </w:rPr>
            </w:pPr>
            <w:r>
              <w:rPr>
                <w:rFonts w:hint="eastAsia"/>
                <w:color w:val="auto"/>
              </w:rPr>
              <w:t>（接管量）</w:t>
            </w:r>
          </w:p>
        </w:tc>
        <w:tc>
          <w:tcPr>
            <w:tcW w:w="166" w:type="pct"/>
            <w:vMerge w:val="restart"/>
            <w:vAlign w:val="center"/>
          </w:tcPr>
          <w:p w14:paraId="11D6C4FC">
            <w:pPr>
              <w:pStyle w:val="143"/>
              <w:keepNext w:val="0"/>
              <w:keepLines w:val="0"/>
              <w:pageBreakBefore w:val="0"/>
              <w:widowControl/>
              <w:kinsoku/>
              <w:wordWrap/>
              <w:overflowPunct/>
              <w:topLinePunct w:val="0"/>
              <w:autoSpaceDE/>
              <w:autoSpaceDN/>
              <w:bidi w:val="0"/>
              <w:adjustRightInd w:val="0"/>
              <w:snapToGrid w:val="0"/>
              <w:ind w:firstLine="0"/>
              <w:jc w:val="center"/>
              <w:textAlignment w:val="auto"/>
              <w:rPr>
                <w:rFonts w:ascii="Times New Roman" w:hAnsi="Times New Roman" w:cs="Times New Roman"/>
                <w:bCs/>
                <w:color w:val="auto"/>
                <w:sz w:val="21"/>
                <w:szCs w:val="21"/>
              </w:rPr>
            </w:pPr>
            <w:r>
              <w:rPr>
                <w:rFonts w:ascii="Times New Roman" w:hAnsi="Times New Roman" w:cs="Times New Roman"/>
                <w:bCs/>
                <w:color w:val="auto"/>
                <w:sz w:val="21"/>
                <w:szCs w:val="21"/>
              </w:rPr>
              <w:t>生活</w:t>
            </w:r>
          </w:p>
          <w:p w14:paraId="38CE0683">
            <w:pPr>
              <w:jc w:val="center"/>
              <w:rPr>
                <w:snapToGrid w:val="0"/>
                <w:color w:val="auto"/>
                <w:kern w:val="0"/>
                <w:szCs w:val="21"/>
              </w:rPr>
            </w:pPr>
            <w:r>
              <w:rPr>
                <w:bCs/>
                <w:color w:val="auto"/>
                <w:szCs w:val="21"/>
              </w:rPr>
              <w:t>废水</w:t>
            </w:r>
          </w:p>
        </w:tc>
        <w:tc>
          <w:tcPr>
            <w:tcW w:w="641" w:type="pct"/>
            <w:gridSpan w:val="2"/>
            <w:vAlign w:val="center"/>
          </w:tcPr>
          <w:p w14:paraId="0F8819B6">
            <w:pPr>
              <w:jc w:val="center"/>
              <w:rPr>
                <w:bCs/>
                <w:color w:val="auto"/>
                <w:szCs w:val="21"/>
              </w:rPr>
            </w:pPr>
            <w:r>
              <w:rPr>
                <w:bCs/>
                <w:color w:val="auto"/>
                <w:szCs w:val="21"/>
              </w:rPr>
              <w:t>水量</w:t>
            </w:r>
            <w:r>
              <w:rPr>
                <w:rFonts w:hint="eastAsia"/>
                <w:bCs/>
                <w:color w:val="auto"/>
                <w:szCs w:val="21"/>
              </w:rPr>
              <w:t>（</w:t>
            </w:r>
            <w:r>
              <w:rPr>
                <w:bCs/>
                <w:color w:val="auto"/>
                <w:szCs w:val="21"/>
              </w:rPr>
              <w:t>m</w:t>
            </w:r>
            <w:r>
              <w:rPr>
                <w:bCs/>
                <w:color w:val="auto"/>
                <w:szCs w:val="21"/>
                <w:vertAlign w:val="superscript"/>
              </w:rPr>
              <w:t>3</w:t>
            </w:r>
            <w:r>
              <w:rPr>
                <w:bCs/>
                <w:color w:val="auto"/>
                <w:szCs w:val="21"/>
              </w:rPr>
              <w:t>/a</w:t>
            </w:r>
            <w:r>
              <w:rPr>
                <w:rFonts w:hint="eastAsia"/>
                <w:bCs/>
                <w:color w:val="auto"/>
                <w:szCs w:val="21"/>
              </w:rPr>
              <w:t>）</w:t>
            </w:r>
          </w:p>
        </w:tc>
        <w:tc>
          <w:tcPr>
            <w:tcW w:w="597" w:type="pct"/>
            <w:vAlign w:val="center"/>
          </w:tcPr>
          <w:p w14:paraId="040FF531">
            <w:pPr>
              <w:jc w:val="center"/>
              <w:rPr>
                <w:snapToGrid w:val="0"/>
                <w:color w:val="auto"/>
                <w:kern w:val="0"/>
                <w:szCs w:val="21"/>
              </w:rPr>
            </w:pPr>
            <w:r>
              <w:rPr>
                <w:snapToGrid w:val="0"/>
                <w:color w:val="auto"/>
                <w:kern w:val="0"/>
                <w:szCs w:val="21"/>
              </w:rPr>
              <w:t>0</w:t>
            </w:r>
          </w:p>
        </w:tc>
        <w:tc>
          <w:tcPr>
            <w:tcW w:w="442" w:type="pct"/>
            <w:vAlign w:val="center"/>
          </w:tcPr>
          <w:p w14:paraId="712901C9">
            <w:pPr>
              <w:jc w:val="center"/>
              <w:rPr>
                <w:snapToGrid w:val="0"/>
                <w:color w:val="auto"/>
                <w:kern w:val="0"/>
                <w:szCs w:val="21"/>
              </w:rPr>
            </w:pPr>
            <w:r>
              <w:rPr>
                <w:snapToGrid w:val="0"/>
                <w:color w:val="auto"/>
                <w:kern w:val="0"/>
                <w:szCs w:val="21"/>
              </w:rPr>
              <w:t>0</w:t>
            </w:r>
          </w:p>
        </w:tc>
        <w:tc>
          <w:tcPr>
            <w:tcW w:w="597" w:type="pct"/>
            <w:vAlign w:val="center"/>
          </w:tcPr>
          <w:p w14:paraId="18764862">
            <w:pPr>
              <w:jc w:val="center"/>
              <w:rPr>
                <w:snapToGrid w:val="0"/>
                <w:color w:val="auto"/>
                <w:kern w:val="0"/>
                <w:szCs w:val="21"/>
              </w:rPr>
            </w:pPr>
            <w:r>
              <w:rPr>
                <w:snapToGrid w:val="0"/>
                <w:color w:val="auto"/>
                <w:kern w:val="0"/>
                <w:szCs w:val="21"/>
              </w:rPr>
              <w:t>0</w:t>
            </w:r>
          </w:p>
        </w:tc>
        <w:tc>
          <w:tcPr>
            <w:tcW w:w="545" w:type="pct"/>
            <w:shd w:val="clear" w:color="auto" w:fill="auto"/>
            <w:vAlign w:val="center"/>
          </w:tcPr>
          <w:p w14:paraId="3447EA5B">
            <w:pPr>
              <w:widowControl/>
              <w:jc w:val="center"/>
              <w:rPr>
                <w:rFonts w:hint="default" w:eastAsia="宋体"/>
                <w:bCs/>
                <w:color w:val="auto"/>
                <w:kern w:val="0"/>
                <w:szCs w:val="21"/>
                <w:lang w:val="en-US" w:eastAsia="zh-CN"/>
              </w:rPr>
            </w:pPr>
            <w:r>
              <w:rPr>
                <w:rFonts w:hint="eastAsia"/>
                <w:bCs/>
                <w:color w:val="auto"/>
                <w:kern w:val="0"/>
                <w:szCs w:val="21"/>
                <w:lang w:val="en-US" w:eastAsia="zh-CN"/>
              </w:rPr>
              <w:t>2280</w:t>
            </w:r>
          </w:p>
        </w:tc>
        <w:tc>
          <w:tcPr>
            <w:tcW w:w="565" w:type="pct"/>
            <w:vAlign w:val="center"/>
          </w:tcPr>
          <w:p w14:paraId="20B3A23E">
            <w:pPr>
              <w:pStyle w:val="134"/>
              <w:spacing w:beforeLines="0" w:afterLines="0" w:line="240" w:lineRule="auto"/>
              <w:rPr>
                <w:rFonts w:ascii="Times New Roman"/>
                <w:snapToGrid w:val="0"/>
                <w:color w:val="auto"/>
                <w:szCs w:val="21"/>
                <w:lang w:val="en-US"/>
              </w:rPr>
            </w:pPr>
            <w:r>
              <w:rPr>
                <w:rFonts w:ascii="Times New Roman"/>
                <w:snapToGrid w:val="0"/>
                <w:color w:val="auto"/>
                <w:szCs w:val="21"/>
                <w:lang w:val="en-US"/>
              </w:rPr>
              <w:t>0</w:t>
            </w:r>
          </w:p>
        </w:tc>
        <w:tc>
          <w:tcPr>
            <w:tcW w:w="1697" w:type="dxa"/>
            <w:shd w:val="clear" w:color="auto" w:fill="auto"/>
            <w:vAlign w:val="center"/>
          </w:tcPr>
          <w:p w14:paraId="22FE2EBE">
            <w:pPr>
              <w:widowControl/>
              <w:jc w:val="center"/>
              <w:rPr>
                <w:bCs/>
                <w:color w:val="auto"/>
                <w:kern w:val="0"/>
                <w:szCs w:val="21"/>
              </w:rPr>
            </w:pPr>
            <w:r>
              <w:rPr>
                <w:rFonts w:hint="eastAsia"/>
                <w:bCs/>
                <w:color w:val="auto"/>
                <w:kern w:val="0"/>
                <w:szCs w:val="21"/>
                <w:lang w:val="en-US" w:eastAsia="zh-CN"/>
              </w:rPr>
              <w:t>2280</w:t>
            </w:r>
          </w:p>
        </w:tc>
        <w:tc>
          <w:tcPr>
            <w:tcW w:w="1136" w:type="dxa"/>
            <w:shd w:val="clear" w:color="auto" w:fill="auto"/>
            <w:vAlign w:val="center"/>
          </w:tcPr>
          <w:p w14:paraId="60FBCE9A">
            <w:pPr>
              <w:widowControl/>
              <w:jc w:val="center"/>
              <w:rPr>
                <w:bCs/>
                <w:color w:val="auto"/>
                <w:kern w:val="0"/>
                <w:szCs w:val="21"/>
              </w:rPr>
            </w:pPr>
            <w:r>
              <w:rPr>
                <w:rFonts w:hint="eastAsia"/>
                <w:bCs/>
                <w:color w:val="auto"/>
                <w:kern w:val="0"/>
                <w:szCs w:val="21"/>
                <w:lang w:val="en-US" w:eastAsia="zh-CN"/>
              </w:rPr>
              <w:t>+2280</w:t>
            </w:r>
          </w:p>
        </w:tc>
      </w:tr>
      <w:tr w14:paraId="16873E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Merge w:val="continue"/>
            <w:vAlign w:val="center"/>
          </w:tcPr>
          <w:p w14:paraId="17A412A9">
            <w:pPr>
              <w:pStyle w:val="134"/>
              <w:spacing w:before="31" w:after="31" w:line="240" w:lineRule="auto"/>
              <w:rPr>
                <w:rFonts w:ascii="Times New Roman"/>
                <w:snapToGrid w:val="0"/>
                <w:color w:val="auto"/>
                <w:szCs w:val="21"/>
                <w:lang w:val="en-US"/>
              </w:rPr>
            </w:pPr>
          </w:p>
        </w:tc>
        <w:tc>
          <w:tcPr>
            <w:tcW w:w="166" w:type="pct"/>
            <w:vMerge w:val="continue"/>
            <w:vAlign w:val="center"/>
          </w:tcPr>
          <w:p w14:paraId="2138AE35">
            <w:pPr>
              <w:jc w:val="center"/>
              <w:rPr>
                <w:snapToGrid w:val="0"/>
                <w:color w:val="auto"/>
                <w:kern w:val="0"/>
                <w:szCs w:val="21"/>
              </w:rPr>
            </w:pPr>
          </w:p>
        </w:tc>
        <w:tc>
          <w:tcPr>
            <w:tcW w:w="641" w:type="pct"/>
            <w:gridSpan w:val="2"/>
            <w:vAlign w:val="center"/>
          </w:tcPr>
          <w:p w14:paraId="5BB07F50">
            <w:pPr>
              <w:widowControl/>
              <w:jc w:val="center"/>
              <w:textAlignment w:val="center"/>
              <w:rPr>
                <w:color w:val="auto"/>
                <w:szCs w:val="21"/>
              </w:rPr>
            </w:pPr>
            <w:r>
              <w:rPr>
                <w:color w:val="auto"/>
                <w:kern w:val="0"/>
                <w:szCs w:val="21"/>
              </w:rPr>
              <w:t>COD</w:t>
            </w:r>
          </w:p>
        </w:tc>
        <w:tc>
          <w:tcPr>
            <w:tcW w:w="597" w:type="pct"/>
            <w:vAlign w:val="center"/>
          </w:tcPr>
          <w:p w14:paraId="6D8D557E">
            <w:pPr>
              <w:jc w:val="center"/>
              <w:rPr>
                <w:snapToGrid w:val="0"/>
                <w:color w:val="auto"/>
                <w:kern w:val="0"/>
                <w:szCs w:val="21"/>
              </w:rPr>
            </w:pPr>
            <w:r>
              <w:rPr>
                <w:snapToGrid w:val="0"/>
                <w:color w:val="auto"/>
                <w:kern w:val="0"/>
                <w:szCs w:val="21"/>
              </w:rPr>
              <w:t>0</w:t>
            </w:r>
          </w:p>
        </w:tc>
        <w:tc>
          <w:tcPr>
            <w:tcW w:w="442" w:type="pct"/>
            <w:vAlign w:val="center"/>
          </w:tcPr>
          <w:p w14:paraId="7E14F63F">
            <w:pPr>
              <w:jc w:val="center"/>
              <w:rPr>
                <w:snapToGrid w:val="0"/>
                <w:color w:val="auto"/>
                <w:kern w:val="0"/>
                <w:szCs w:val="21"/>
              </w:rPr>
            </w:pPr>
            <w:r>
              <w:rPr>
                <w:snapToGrid w:val="0"/>
                <w:color w:val="auto"/>
                <w:kern w:val="0"/>
                <w:szCs w:val="21"/>
              </w:rPr>
              <w:t>0</w:t>
            </w:r>
          </w:p>
        </w:tc>
        <w:tc>
          <w:tcPr>
            <w:tcW w:w="597" w:type="pct"/>
            <w:vAlign w:val="center"/>
          </w:tcPr>
          <w:p w14:paraId="541A2DAB">
            <w:pPr>
              <w:jc w:val="center"/>
              <w:rPr>
                <w:snapToGrid w:val="0"/>
                <w:color w:val="auto"/>
                <w:kern w:val="0"/>
                <w:szCs w:val="21"/>
              </w:rPr>
            </w:pPr>
            <w:r>
              <w:rPr>
                <w:snapToGrid w:val="0"/>
                <w:color w:val="auto"/>
                <w:kern w:val="0"/>
                <w:szCs w:val="21"/>
              </w:rPr>
              <w:t>0</w:t>
            </w:r>
          </w:p>
        </w:tc>
        <w:tc>
          <w:tcPr>
            <w:tcW w:w="545" w:type="pct"/>
            <w:shd w:val="clear" w:color="auto" w:fill="auto"/>
            <w:vAlign w:val="center"/>
          </w:tcPr>
          <w:p w14:paraId="151ED96B">
            <w:pPr>
              <w:widowControl/>
              <w:jc w:val="center"/>
              <w:rPr>
                <w:rFonts w:hint="default" w:eastAsia="宋体"/>
                <w:color w:val="auto"/>
                <w:szCs w:val="21"/>
                <w:lang w:val="en-US" w:eastAsia="zh-CN"/>
              </w:rPr>
            </w:pPr>
            <w:r>
              <w:rPr>
                <w:rFonts w:hint="eastAsia"/>
                <w:color w:val="auto"/>
                <w:szCs w:val="21"/>
                <w:lang w:val="en-US" w:eastAsia="zh-CN"/>
              </w:rPr>
              <w:t>0.114</w:t>
            </w:r>
          </w:p>
        </w:tc>
        <w:tc>
          <w:tcPr>
            <w:tcW w:w="565" w:type="pct"/>
            <w:vAlign w:val="center"/>
          </w:tcPr>
          <w:p w14:paraId="35D12A35">
            <w:pPr>
              <w:pStyle w:val="134"/>
              <w:spacing w:beforeLines="0" w:afterLines="0" w:line="240" w:lineRule="auto"/>
              <w:rPr>
                <w:rFonts w:ascii="Times New Roman"/>
                <w:snapToGrid w:val="0"/>
                <w:color w:val="auto"/>
                <w:szCs w:val="21"/>
                <w:lang w:val="en-US"/>
              </w:rPr>
            </w:pPr>
            <w:r>
              <w:rPr>
                <w:rFonts w:ascii="Times New Roman"/>
                <w:snapToGrid w:val="0"/>
                <w:color w:val="auto"/>
                <w:szCs w:val="21"/>
                <w:lang w:val="en-US"/>
              </w:rPr>
              <w:t>0</w:t>
            </w:r>
          </w:p>
        </w:tc>
        <w:tc>
          <w:tcPr>
            <w:tcW w:w="1697" w:type="dxa"/>
            <w:shd w:val="clear" w:color="auto" w:fill="auto"/>
            <w:vAlign w:val="center"/>
          </w:tcPr>
          <w:p w14:paraId="6501C4EC">
            <w:pPr>
              <w:widowControl/>
              <w:jc w:val="center"/>
              <w:rPr>
                <w:color w:val="auto"/>
                <w:szCs w:val="21"/>
              </w:rPr>
            </w:pPr>
            <w:r>
              <w:rPr>
                <w:rFonts w:hint="eastAsia"/>
                <w:color w:val="auto"/>
                <w:szCs w:val="21"/>
                <w:lang w:val="en-US" w:eastAsia="zh-CN"/>
              </w:rPr>
              <w:t>0.114</w:t>
            </w:r>
          </w:p>
        </w:tc>
        <w:tc>
          <w:tcPr>
            <w:tcW w:w="1136" w:type="dxa"/>
            <w:shd w:val="clear" w:color="auto" w:fill="auto"/>
            <w:vAlign w:val="center"/>
          </w:tcPr>
          <w:p w14:paraId="3B7ECF75">
            <w:pPr>
              <w:widowControl/>
              <w:jc w:val="center"/>
              <w:rPr>
                <w:color w:val="auto"/>
                <w:szCs w:val="21"/>
              </w:rPr>
            </w:pPr>
            <w:r>
              <w:rPr>
                <w:rFonts w:hint="eastAsia"/>
                <w:color w:val="auto"/>
                <w:szCs w:val="21"/>
                <w:lang w:val="en-US" w:eastAsia="zh-CN"/>
              </w:rPr>
              <w:t>+0.114</w:t>
            </w:r>
          </w:p>
        </w:tc>
      </w:tr>
      <w:tr w14:paraId="77009B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Merge w:val="continue"/>
            <w:vAlign w:val="center"/>
          </w:tcPr>
          <w:p w14:paraId="782420DB">
            <w:pPr>
              <w:pStyle w:val="134"/>
              <w:spacing w:before="31" w:after="31" w:line="240" w:lineRule="auto"/>
              <w:rPr>
                <w:rFonts w:ascii="Times New Roman"/>
                <w:snapToGrid w:val="0"/>
                <w:color w:val="auto"/>
                <w:szCs w:val="21"/>
                <w:lang w:val="en-US"/>
              </w:rPr>
            </w:pPr>
          </w:p>
        </w:tc>
        <w:tc>
          <w:tcPr>
            <w:tcW w:w="166" w:type="pct"/>
            <w:vMerge w:val="continue"/>
            <w:vAlign w:val="center"/>
          </w:tcPr>
          <w:p w14:paraId="6DDFF669">
            <w:pPr>
              <w:jc w:val="center"/>
              <w:rPr>
                <w:snapToGrid w:val="0"/>
                <w:color w:val="auto"/>
                <w:kern w:val="0"/>
                <w:szCs w:val="21"/>
              </w:rPr>
            </w:pPr>
          </w:p>
        </w:tc>
        <w:tc>
          <w:tcPr>
            <w:tcW w:w="641" w:type="pct"/>
            <w:gridSpan w:val="2"/>
            <w:vAlign w:val="center"/>
          </w:tcPr>
          <w:p w14:paraId="397F1C8F">
            <w:pPr>
              <w:widowControl/>
              <w:jc w:val="center"/>
              <w:textAlignment w:val="center"/>
              <w:rPr>
                <w:color w:val="auto"/>
                <w:szCs w:val="21"/>
              </w:rPr>
            </w:pPr>
            <w:r>
              <w:rPr>
                <w:color w:val="auto"/>
                <w:kern w:val="0"/>
                <w:szCs w:val="21"/>
              </w:rPr>
              <w:t>SS</w:t>
            </w:r>
          </w:p>
        </w:tc>
        <w:tc>
          <w:tcPr>
            <w:tcW w:w="597" w:type="pct"/>
            <w:vAlign w:val="center"/>
          </w:tcPr>
          <w:p w14:paraId="1349EBD2">
            <w:pPr>
              <w:jc w:val="center"/>
              <w:rPr>
                <w:snapToGrid w:val="0"/>
                <w:color w:val="auto"/>
                <w:kern w:val="0"/>
                <w:szCs w:val="21"/>
              </w:rPr>
            </w:pPr>
            <w:r>
              <w:rPr>
                <w:snapToGrid w:val="0"/>
                <w:color w:val="auto"/>
                <w:kern w:val="0"/>
                <w:szCs w:val="21"/>
              </w:rPr>
              <w:t>0</w:t>
            </w:r>
          </w:p>
        </w:tc>
        <w:tc>
          <w:tcPr>
            <w:tcW w:w="442" w:type="pct"/>
            <w:vAlign w:val="center"/>
          </w:tcPr>
          <w:p w14:paraId="34AA281F">
            <w:pPr>
              <w:jc w:val="center"/>
              <w:rPr>
                <w:snapToGrid w:val="0"/>
                <w:color w:val="auto"/>
                <w:kern w:val="0"/>
                <w:szCs w:val="21"/>
              </w:rPr>
            </w:pPr>
            <w:r>
              <w:rPr>
                <w:snapToGrid w:val="0"/>
                <w:color w:val="auto"/>
                <w:kern w:val="0"/>
                <w:szCs w:val="21"/>
              </w:rPr>
              <w:t>0</w:t>
            </w:r>
          </w:p>
        </w:tc>
        <w:tc>
          <w:tcPr>
            <w:tcW w:w="597" w:type="pct"/>
            <w:vAlign w:val="center"/>
          </w:tcPr>
          <w:p w14:paraId="79561B49">
            <w:pPr>
              <w:jc w:val="center"/>
              <w:rPr>
                <w:snapToGrid w:val="0"/>
                <w:color w:val="auto"/>
                <w:kern w:val="0"/>
                <w:szCs w:val="21"/>
              </w:rPr>
            </w:pPr>
            <w:r>
              <w:rPr>
                <w:snapToGrid w:val="0"/>
                <w:color w:val="auto"/>
                <w:kern w:val="0"/>
                <w:szCs w:val="21"/>
              </w:rPr>
              <w:t>0</w:t>
            </w:r>
          </w:p>
        </w:tc>
        <w:tc>
          <w:tcPr>
            <w:tcW w:w="545" w:type="pct"/>
            <w:shd w:val="clear" w:color="auto" w:fill="auto"/>
            <w:vAlign w:val="center"/>
          </w:tcPr>
          <w:p w14:paraId="77D8BE34">
            <w:pPr>
              <w:jc w:val="center"/>
              <w:rPr>
                <w:rFonts w:hint="default" w:eastAsia="宋体"/>
                <w:color w:val="auto"/>
                <w:szCs w:val="21"/>
                <w:lang w:val="en-US" w:eastAsia="zh-CN"/>
              </w:rPr>
            </w:pPr>
            <w:r>
              <w:rPr>
                <w:rFonts w:hint="eastAsia"/>
                <w:color w:val="auto"/>
                <w:szCs w:val="21"/>
                <w:lang w:val="en-US" w:eastAsia="zh-CN"/>
              </w:rPr>
              <w:t>0.0228</w:t>
            </w:r>
          </w:p>
        </w:tc>
        <w:tc>
          <w:tcPr>
            <w:tcW w:w="565" w:type="pct"/>
            <w:vAlign w:val="center"/>
          </w:tcPr>
          <w:p w14:paraId="46DF143B">
            <w:pPr>
              <w:pStyle w:val="134"/>
              <w:spacing w:beforeLines="0" w:afterLines="0" w:line="240" w:lineRule="auto"/>
              <w:rPr>
                <w:rFonts w:ascii="Times New Roman"/>
                <w:snapToGrid w:val="0"/>
                <w:color w:val="auto"/>
                <w:szCs w:val="21"/>
                <w:lang w:val="en-US"/>
              </w:rPr>
            </w:pPr>
            <w:r>
              <w:rPr>
                <w:rFonts w:ascii="Times New Roman"/>
                <w:snapToGrid w:val="0"/>
                <w:color w:val="auto"/>
                <w:szCs w:val="21"/>
                <w:lang w:val="en-US"/>
              </w:rPr>
              <w:t>0</w:t>
            </w:r>
          </w:p>
        </w:tc>
        <w:tc>
          <w:tcPr>
            <w:tcW w:w="1697" w:type="dxa"/>
            <w:shd w:val="clear" w:color="auto" w:fill="auto"/>
            <w:vAlign w:val="center"/>
          </w:tcPr>
          <w:p w14:paraId="4C08E974">
            <w:pPr>
              <w:jc w:val="center"/>
              <w:rPr>
                <w:color w:val="auto"/>
                <w:szCs w:val="21"/>
              </w:rPr>
            </w:pPr>
            <w:r>
              <w:rPr>
                <w:rFonts w:hint="eastAsia"/>
                <w:color w:val="auto"/>
                <w:szCs w:val="21"/>
                <w:lang w:val="en-US" w:eastAsia="zh-CN"/>
              </w:rPr>
              <w:t>0.0228</w:t>
            </w:r>
          </w:p>
        </w:tc>
        <w:tc>
          <w:tcPr>
            <w:tcW w:w="1136" w:type="dxa"/>
            <w:shd w:val="clear" w:color="auto" w:fill="auto"/>
            <w:vAlign w:val="center"/>
          </w:tcPr>
          <w:p w14:paraId="17105CF1">
            <w:pPr>
              <w:jc w:val="center"/>
              <w:rPr>
                <w:color w:val="auto"/>
                <w:szCs w:val="21"/>
              </w:rPr>
            </w:pPr>
            <w:r>
              <w:rPr>
                <w:rFonts w:hint="eastAsia"/>
                <w:color w:val="auto"/>
                <w:szCs w:val="21"/>
                <w:lang w:val="en-US" w:eastAsia="zh-CN"/>
              </w:rPr>
              <w:t>+0.0228</w:t>
            </w:r>
          </w:p>
        </w:tc>
      </w:tr>
      <w:tr w14:paraId="64C1C6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Merge w:val="continue"/>
            <w:vAlign w:val="center"/>
          </w:tcPr>
          <w:p w14:paraId="2BBB368B">
            <w:pPr>
              <w:pStyle w:val="134"/>
              <w:spacing w:before="31" w:after="31" w:line="240" w:lineRule="auto"/>
              <w:rPr>
                <w:rFonts w:ascii="Times New Roman"/>
                <w:snapToGrid w:val="0"/>
                <w:color w:val="auto"/>
                <w:szCs w:val="21"/>
                <w:lang w:val="en-US"/>
              </w:rPr>
            </w:pPr>
          </w:p>
        </w:tc>
        <w:tc>
          <w:tcPr>
            <w:tcW w:w="166" w:type="pct"/>
            <w:vMerge w:val="continue"/>
            <w:vAlign w:val="center"/>
          </w:tcPr>
          <w:p w14:paraId="54891FE3">
            <w:pPr>
              <w:jc w:val="center"/>
              <w:rPr>
                <w:snapToGrid w:val="0"/>
                <w:color w:val="auto"/>
                <w:kern w:val="0"/>
                <w:szCs w:val="21"/>
              </w:rPr>
            </w:pPr>
          </w:p>
        </w:tc>
        <w:tc>
          <w:tcPr>
            <w:tcW w:w="641" w:type="pct"/>
            <w:gridSpan w:val="2"/>
            <w:vAlign w:val="center"/>
          </w:tcPr>
          <w:p w14:paraId="7B5BF6EC">
            <w:pPr>
              <w:adjustRightInd w:val="0"/>
              <w:snapToGrid w:val="0"/>
              <w:jc w:val="center"/>
              <w:rPr>
                <w:color w:val="auto"/>
                <w:szCs w:val="21"/>
              </w:rPr>
            </w:pPr>
            <w:r>
              <w:rPr>
                <w:color w:val="auto"/>
                <w:szCs w:val="21"/>
              </w:rPr>
              <w:t>NH</w:t>
            </w:r>
            <w:r>
              <w:rPr>
                <w:color w:val="auto"/>
                <w:szCs w:val="21"/>
                <w:vertAlign w:val="subscript"/>
              </w:rPr>
              <w:t>3</w:t>
            </w:r>
            <w:r>
              <w:rPr>
                <w:color w:val="auto"/>
                <w:szCs w:val="21"/>
              </w:rPr>
              <w:t>-N</w:t>
            </w:r>
          </w:p>
        </w:tc>
        <w:tc>
          <w:tcPr>
            <w:tcW w:w="597" w:type="pct"/>
            <w:vAlign w:val="center"/>
          </w:tcPr>
          <w:p w14:paraId="59713324">
            <w:pPr>
              <w:jc w:val="center"/>
              <w:rPr>
                <w:snapToGrid w:val="0"/>
                <w:color w:val="auto"/>
                <w:kern w:val="0"/>
                <w:szCs w:val="21"/>
              </w:rPr>
            </w:pPr>
            <w:r>
              <w:rPr>
                <w:snapToGrid w:val="0"/>
                <w:color w:val="auto"/>
                <w:kern w:val="0"/>
                <w:szCs w:val="21"/>
              </w:rPr>
              <w:t>0</w:t>
            </w:r>
          </w:p>
        </w:tc>
        <w:tc>
          <w:tcPr>
            <w:tcW w:w="442" w:type="pct"/>
            <w:vAlign w:val="center"/>
          </w:tcPr>
          <w:p w14:paraId="444BEC03">
            <w:pPr>
              <w:jc w:val="center"/>
              <w:rPr>
                <w:snapToGrid w:val="0"/>
                <w:color w:val="auto"/>
                <w:kern w:val="0"/>
                <w:szCs w:val="21"/>
              </w:rPr>
            </w:pPr>
            <w:r>
              <w:rPr>
                <w:snapToGrid w:val="0"/>
                <w:color w:val="auto"/>
                <w:kern w:val="0"/>
                <w:szCs w:val="21"/>
              </w:rPr>
              <w:t>0</w:t>
            </w:r>
          </w:p>
        </w:tc>
        <w:tc>
          <w:tcPr>
            <w:tcW w:w="597" w:type="pct"/>
            <w:vAlign w:val="center"/>
          </w:tcPr>
          <w:p w14:paraId="10F52C42">
            <w:pPr>
              <w:jc w:val="center"/>
              <w:rPr>
                <w:snapToGrid w:val="0"/>
                <w:color w:val="auto"/>
                <w:kern w:val="0"/>
                <w:szCs w:val="21"/>
              </w:rPr>
            </w:pPr>
            <w:r>
              <w:rPr>
                <w:snapToGrid w:val="0"/>
                <w:color w:val="auto"/>
                <w:kern w:val="0"/>
                <w:szCs w:val="21"/>
              </w:rPr>
              <w:t>0</w:t>
            </w:r>
          </w:p>
        </w:tc>
        <w:tc>
          <w:tcPr>
            <w:tcW w:w="545" w:type="pct"/>
            <w:shd w:val="clear" w:color="auto" w:fill="auto"/>
            <w:vAlign w:val="center"/>
          </w:tcPr>
          <w:p w14:paraId="3ECA8E40">
            <w:pPr>
              <w:jc w:val="center"/>
              <w:rPr>
                <w:rFonts w:hint="default" w:eastAsia="宋体"/>
                <w:color w:val="auto"/>
                <w:szCs w:val="21"/>
                <w:lang w:val="en-US" w:eastAsia="zh-CN"/>
              </w:rPr>
            </w:pPr>
            <w:r>
              <w:rPr>
                <w:rFonts w:hint="eastAsia"/>
                <w:color w:val="auto"/>
                <w:szCs w:val="21"/>
                <w:lang w:val="en-US" w:eastAsia="zh-CN"/>
              </w:rPr>
              <w:t>0.01824</w:t>
            </w:r>
          </w:p>
        </w:tc>
        <w:tc>
          <w:tcPr>
            <w:tcW w:w="565" w:type="pct"/>
            <w:vAlign w:val="center"/>
          </w:tcPr>
          <w:p w14:paraId="0A1352BF">
            <w:pPr>
              <w:jc w:val="center"/>
              <w:rPr>
                <w:snapToGrid w:val="0"/>
                <w:color w:val="auto"/>
                <w:szCs w:val="21"/>
              </w:rPr>
            </w:pPr>
            <w:r>
              <w:rPr>
                <w:snapToGrid w:val="0"/>
                <w:color w:val="auto"/>
                <w:szCs w:val="21"/>
              </w:rPr>
              <w:t>0</w:t>
            </w:r>
          </w:p>
        </w:tc>
        <w:tc>
          <w:tcPr>
            <w:tcW w:w="1697" w:type="dxa"/>
            <w:shd w:val="clear" w:color="auto" w:fill="auto"/>
            <w:vAlign w:val="center"/>
          </w:tcPr>
          <w:p w14:paraId="15130B7D">
            <w:pPr>
              <w:jc w:val="center"/>
              <w:rPr>
                <w:color w:val="auto"/>
                <w:szCs w:val="21"/>
              </w:rPr>
            </w:pPr>
            <w:r>
              <w:rPr>
                <w:rFonts w:hint="eastAsia"/>
                <w:color w:val="auto"/>
                <w:szCs w:val="21"/>
                <w:lang w:val="en-US" w:eastAsia="zh-CN"/>
              </w:rPr>
              <w:t>0.01824</w:t>
            </w:r>
          </w:p>
        </w:tc>
        <w:tc>
          <w:tcPr>
            <w:tcW w:w="1136" w:type="dxa"/>
            <w:shd w:val="clear" w:color="auto" w:fill="auto"/>
            <w:vAlign w:val="center"/>
          </w:tcPr>
          <w:p w14:paraId="37DEBD79">
            <w:pPr>
              <w:jc w:val="center"/>
              <w:rPr>
                <w:color w:val="auto"/>
                <w:szCs w:val="21"/>
              </w:rPr>
            </w:pPr>
            <w:r>
              <w:rPr>
                <w:rFonts w:hint="eastAsia"/>
                <w:color w:val="auto"/>
                <w:szCs w:val="21"/>
                <w:lang w:val="en-US" w:eastAsia="zh-CN"/>
              </w:rPr>
              <w:t>+0.01824</w:t>
            </w:r>
          </w:p>
        </w:tc>
      </w:tr>
      <w:tr w14:paraId="284053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Merge w:val="continue"/>
            <w:vAlign w:val="center"/>
          </w:tcPr>
          <w:p w14:paraId="01A18F75">
            <w:pPr>
              <w:pStyle w:val="134"/>
              <w:spacing w:before="31" w:after="31" w:line="240" w:lineRule="auto"/>
              <w:rPr>
                <w:rFonts w:ascii="Times New Roman"/>
                <w:snapToGrid w:val="0"/>
                <w:color w:val="auto"/>
                <w:szCs w:val="21"/>
                <w:lang w:val="en-US"/>
              </w:rPr>
            </w:pPr>
          </w:p>
        </w:tc>
        <w:tc>
          <w:tcPr>
            <w:tcW w:w="166" w:type="pct"/>
            <w:vMerge w:val="continue"/>
            <w:vAlign w:val="center"/>
          </w:tcPr>
          <w:p w14:paraId="1C689A44">
            <w:pPr>
              <w:jc w:val="center"/>
              <w:rPr>
                <w:snapToGrid w:val="0"/>
                <w:color w:val="auto"/>
                <w:kern w:val="0"/>
                <w:szCs w:val="21"/>
              </w:rPr>
            </w:pPr>
          </w:p>
        </w:tc>
        <w:tc>
          <w:tcPr>
            <w:tcW w:w="641" w:type="pct"/>
            <w:gridSpan w:val="2"/>
            <w:vAlign w:val="center"/>
          </w:tcPr>
          <w:p w14:paraId="224FF501">
            <w:pPr>
              <w:adjustRightInd w:val="0"/>
              <w:snapToGrid w:val="0"/>
              <w:jc w:val="center"/>
              <w:rPr>
                <w:color w:val="auto"/>
                <w:szCs w:val="21"/>
              </w:rPr>
            </w:pPr>
            <w:r>
              <w:rPr>
                <w:rFonts w:hint="eastAsia"/>
                <w:color w:val="auto"/>
                <w:szCs w:val="21"/>
              </w:rPr>
              <w:t>TN</w:t>
            </w:r>
          </w:p>
        </w:tc>
        <w:tc>
          <w:tcPr>
            <w:tcW w:w="597" w:type="pct"/>
            <w:vAlign w:val="center"/>
          </w:tcPr>
          <w:p w14:paraId="4A6D7A34">
            <w:pPr>
              <w:jc w:val="center"/>
              <w:rPr>
                <w:snapToGrid w:val="0"/>
                <w:color w:val="auto"/>
                <w:kern w:val="0"/>
                <w:szCs w:val="21"/>
              </w:rPr>
            </w:pPr>
            <w:r>
              <w:rPr>
                <w:snapToGrid w:val="0"/>
                <w:color w:val="auto"/>
                <w:kern w:val="0"/>
                <w:szCs w:val="21"/>
              </w:rPr>
              <w:t>0</w:t>
            </w:r>
          </w:p>
        </w:tc>
        <w:tc>
          <w:tcPr>
            <w:tcW w:w="442" w:type="pct"/>
            <w:vAlign w:val="center"/>
          </w:tcPr>
          <w:p w14:paraId="64378759">
            <w:pPr>
              <w:jc w:val="center"/>
              <w:rPr>
                <w:snapToGrid w:val="0"/>
                <w:color w:val="auto"/>
                <w:kern w:val="0"/>
                <w:szCs w:val="21"/>
              </w:rPr>
            </w:pPr>
            <w:r>
              <w:rPr>
                <w:snapToGrid w:val="0"/>
                <w:color w:val="auto"/>
                <w:kern w:val="0"/>
                <w:szCs w:val="21"/>
              </w:rPr>
              <w:t>0</w:t>
            </w:r>
          </w:p>
        </w:tc>
        <w:tc>
          <w:tcPr>
            <w:tcW w:w="597" w:type="pct"/>
            <w:vAlign w:val="center"/>
          </w:tcPr>
          <w:p w14:paraId="4717A303">
            <w:pPr>
              <w:jc w:val="center"/>
              <w:rPr>
                <w:snapToGrid w:val="0"/>
                <w:color w:val="auto"/>
                <w:kern w:val="0"/>
                <w:szCs w:val="21"/>
              </w:rPr>
            </w:pPr>
            <w:r>
              <w:rPr>
                <w:snapToGrid w:val="0"/>
                <w:color w:val="auto"/>
                <w:kern w:val="0"/>
                <w:szCs w:val="21"/>
              </w:rPr>
              <w:t>0</w:t>
            </w:r>
          </w:p>
        </w:tc>
        <w:tc>
          <w:tcPr>
            <w:tcW w:w="545" w:type="pct"/>
            <w:shd w:val="clear" w:color="auto" w:fill="auto"/>
            <w:vAlign w:val="center"/>
          </w:tcPr>
          <w:p w14:paraId="3BF468AE">
            <w:pPr>
              <w:jc w:val="center"/>
              <w:rPr>
                <w:rFonts w:hint="default" w:eastAsia="宋体"/>
                <w:color w:val="auto"/>
                <w:szCs w:val="21"/>
                <w:lang w:val="en-US" w:eastAsia="zh-CN"/>
              </w:rPr>
            </w:pPr>
            <w:r>
              <w:rPr>
                <w:rFonts w:hint="eastAsia"/>
                <w:color w:val="auto"/>
                <w:szCs w:val="21"/>
                <w:lang w:val="en-US" w:eastAsia="zh-CN"/>
              </w:rPr>
              <w:t>0.0342</w:t>
            </w:r>
          </w:p>
        </w:tc>
        <w:tc>
          <w:tcPr>
            <w:tcW w:w="565" w:type="pct"/>
            <w:vAlign w:val="center"/>
          </w:tcPr>
          <w:p w14:paraId="084F9A4C">
            <w:pPr>
              <w:jc w:val="center"/>
              <w:rPr>
                <w:snapToGrid w:val="0"/>
                <w:color w:val="auto"/>
                <w:szCs w:val="21"/>
              </w:rPr>
            </w:pPr>
            <w:r>
              <w:rPr>
                <w:snapToGrid w:val="0"/>
                <w:color w:val="auto"/>
                <w:szCs w:val="21"/>
              </w:rPr>
              <w:t>0</w:t>
            </w:r>
          </w:p>
        </w:tc>
        <w:tc>
          <w:tcPr>
            <w:tcW w:w="1697" w:type="dxa"/>
            <w:shd w:val="clear" w:color="auto" w:fill="auto"/>
            <w:vAlign w:val="center"/>
          </w:tcPr>
          <w:p w14:paraId="0F1FF9B5">
            <w:pPr>
              <w:jc w:val="center"/>
              <w:rPr>
                <w:color w:val="auto"/>
                <w:szCs w:val="21"/>
              </w:rPr>
            </w:pPr>
            <w:r>
              <w:rPr>
                <w:rFonts w:hint="eastAsia"/>
                <w:color w:val="auto"/>
                <w:szCs w:val="21"/>
                <w:lang w:val="en-US" w:eastAsia="zh-CN"/>
              </w:rPr>
              <w:t>0.0342</w:t>
            </w:r>
          </w:p>
        </w:tc>
        <w:tc>
          <w:tcPr>
            <w:tcW w:w="1136" w:type="dxa"/>
            <w:shd w:val="clear" w:color="auto" w:fill="auto"/>
            <w:vAlign w:val="center"/>
          </w:tcPr>
          <w:p w14:paraId="06BC44F3">
            <w:pPr>
              <w:jc w:val="center"/>
              <w:rPr>
                <w:color w:val="auto"/>
                <w:szCs w:val="21"/>
              </w:rPr>
            </w:pPr>
            <w:r>
              <w:rPr>
                <w:rFonts w:hint="eastAsia"/>
                <w:color w:val="auto"/>
                <w:szCs w:val="21"/>
                <w:lang w:val="en-US" w:eastAsia="zh-CN"/>
              </w:rPr>
              <w:t>+0.0342</w:t>
            </w:r>
          </w:p>
        </w:tc>
      </w:tr>
      <w:tr w14:paraId="4376C0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Merge w:val="continue"/>
            <w:vAlign w:val="center"/>
          </w:tcPr>
          <w:p w14:paraId="0625C766">
            <w:pPr>
              <w:pStyle w:val="134"/>
              <w:spacing w:before="31" w:after="31" w:line="240" w:lineRule="auto"/>
              <w:rPr>
                <w:rFonts w:ascii="Times New Roman"/>
                <w:snapToGrid w:val="0"/>
                <w:color w:val="auto"/>
                <w:szCs w:val="21"/>
                <w:lang w:val="en-US"/>
              </w:rPr>
            </w:pPr>
          </w:p>
        </w:tc>
        <w:tc>
          <w:tcPr>
            <w:tcW w:w="166" w:type="pct"/>
            <w:vMerge w:val="continue"/>
            <w:vAlign w:val="center"/>
          </w:tcPr>
          <w:p w14:paraId="58AAEF6E">
            <w:pPr>
              <w:jc w:val="center"/>
              <w:rPr>
                <w:snapToGrid w:val="0"/>
                <w:color w:val="auto"/>
                <w:kern w:val="0"/>
                <w:szCs w:val="21"/>
              </w:rPr>
            </w:pPr>
          </w:p>
        </w:tc>
        <w:tc>
          <w:tcPr>
            <w:tcW w:w="641" w:type="pct"/>
            <w:gridSpan w:val="2"/>
            <w:vAlign w:val="center"/>
          </w:tcPr>
          <w:p w14:paraId="5360FD78">
            <w:pPr>
              <w:adjustRightInd w:val="0"/>
              <w:snapToGrid w:val="0"/>
              <w:jc w:val="center"/>
              <w:rPr>
                <w:color w:val="auto"/>
                <w:szCs w:val="21"/>
              </w:rPr>
            </w:pPr>
            <w:r>
              <w:rPr>
                <w:color w:val="auto"/>
                <w:szCs w:val="21"/>
              </w:rPr>
              <w:t>TP</w:t>
            </w:r>
          </w:p>
        </w:tc>
        <w:tc>
          <w:tcPr>
            <w:tcW w:w="597" w:type="pct"/>
            <w:vAlign w:val="center"/>
          </w:tcPr>
          <w:p w14:paraId="017E18C8">
            <w:pPr>
              <w:jc w:val="center"/>
              <w:rPr>
                <w:snapToGrid w:val="0"/>
                <w:color w:val="auto"/>
                <w:kern w:val="0"/>
                <w:szCs w:val="21"/>
              </w:rPr>
            </w:pPr>
            <w:r>
              <w:rPr>
                <w:snapToGrid w:val="0"/>
                <w:color w:val="auto"/>
                <w:kern w:val="0"/>
                <w:szCs w:val="21"/>
              </w:rPr>
              <w:t>0</w:t>
            </w:r>
          </w:p>
        </w:tc>
        <w:tc>
          <w:tcPr>
            <w:tcW w:w="442" w:type="pct"/>
            <w:vAlign w:val="center"/>
          </w:tcPr>
          <w:p w14:paraId="4AA684C2">
            <w:pPr>
              <w:jc w:val="center"/>
              <w:rPr>
                <w:snapToGrid w:val="0"/>
                <w:color w:val="auto"/>
                <w:kern w:val="0"/>
                <w:szCs w:val="21"/>
              </w:rPr>
            </w:pPr>
            <w:r>
              <w:rPr>
                <w:snapToGrid w:val="0"/>
                <w:color w:val="auto"/>
                <w:kern w:val="0"/>
                <w:szCs w:val="21"/>
              </w:rPr>
              <w:t>0</w:t>
            </w:r>
          </w:p>
        </w:tc>
        <w:tc>
          <w:tcPr>
            <w:tcW w:w="597" w:type="pct"/>
            <w:vAlign w:val="center"/>
          </w:tcPr>
          <w:p w14:paraId="1FBFC153">
            <w:pPr>
              <w:jc w:val="center"/>
              <w:rPr>
                <w:snapToGrid w:val="0"/>
                <w:color w:val="auto"/>
                <w:kern w:val="0"/>
                <w:szCs w:val="21"/>
              </w:rPr>
            </w:pPr>
            <w:r>
              <w:rPr>
                <w:snapToGrid w:val="0"/>
                <w:color w:val="auto"/>
                <w:kern w:val="0"/>
                <w:szCs w:val="21"/>
              </w:rPr>
              <w:t>0</w:t>
            </w:r>
          </w:p>
        </w:tc>
        <w:tc>
          <w:tcPr>
            <w:tcW w:w="545" w:type="pct"/>
            <w:shd w:val="clear" w:color="auto" w:fill="auto"/>
            <w:vAlign w:val="center"/>
          </w:tcPr>
          <w:p w14:paraId="7BBA00BA">
            <w:pPr>
              <w:jc w:val="center"/>
              <w:rPr>
                <w:rFonts w:hint="default" w:eastAsia="宋体"/>
                <w:color w:val="auto"/>
                <w:szCs w:val="21"/>
                <w:lang w:val="en-US" w:eastAsia="zh-CN"/>
              </w:rPr>
            </w:pPr>
            <w:r>
              <w:rPr>
                <w:rFonts w:hint="eastAsia"/>
                <w:color w:val="auto"/>
                <w:szCs w:val="21"/>
                <w:lang w:val="en-US" w:eastAsia="zh-CN"/>
              </w:rPr>
              <w:t>0.00114</w:t>
            </w:r>
          </w:p>
        </w:tc>
        <w:tc>
          <w:tcPr>
            <w:tcW w:w="565" w:type="pct"/>
            <w:vAlign w:val="center"/>
          </w:tcPr>
          <w:p w14:paraId="4D275A33">
            <w:pPr>
              <w:pStyle w:val="134"/>
              <w:spacing w:beforeLines="0" w:afterLines="0" w:line="240" w:lineRule="auto"/>
              <w:rPr>
                <w:rFonts w:ascii="Times New Roman"/>
                <w:snapToGrid w:val="0"/>
                <w:color w:val="auto"/>
                <w:szCs w:val="21"/>
                <w:lang w:val="en-US"/>
              </w:rPr>
            </w:pPr>
            <w:r>
              <w:rPr>
                <w:rFonts w:ascii="Times New Roman"/>
                <w:snapToGrid w:val="0"/>
                <w:color w:val="auto"/>
                <w:szCs w:val="21"/>
                <w:lang w:val="en-US"/>
              </w:rPr>
              <w:t>0</w:t>
            </w:r>
          </w:p>
        </w:tc>
        <w:tc>
          <w:tcPr>
            <w:tcW w:w="1697" w:type="dxa"/>
            <w:shd w:val="clear" w:color="auto" w:fill="auto"/>
            <w:vAlign w:val="center"/>
          </w:tcPr>
          <w:p w14:paraId="698B7769">
            <w:pPr>
              <w:jc w:val="center"/>
              <w:rPr>
                <w:color w:val="auto"/>
                <w:szCs w:val="21"/>
              </w:rPr>
            </w:pPr>
            <w:r>
              <w:rPr>
                <w:rFonts w:hint="eastAsia"/>
                <w:color w:val="auto"/>
                <w:szCs w:val="21"/>
                <w:lang w:val="en-US" w:eastAsia="zh-CN"/>
              </w:rPr>
              <w:t>0.00114</w:t>
            </w:r>
          </w:p>
        </w:tc>
        <w:tc>
          <w:tcPr>
            <w:tcW w:w="1136" w:type="dxa"/>
            <w:shd w:val="clear" w:color="auto" w:fill="auto"/>
            <w:vAlign w:val="center"/>
          </w:tcPr>
          <w:p w14:paraId="78D02BA7">
            <w:pPr>
              <w:jc w:val="center"/>
              <w:rPr>
                <w:color w:val="auto"/>
                <w:szCs w:val="21"/>
              </w:rPr>
            </w:pPr>
            <w:r>
              <w:rPr>
                <w:rFonts w:hint="eastAsia"/>
                <w:color w:val="auto"/>
                <w:szCs w:val="21"/>
                <w:lang w:val="en-US" w:eastAsia="zh-CN"/>
              </w:rPr>
              <w:t>+0.00114</w:t>
            </w:r>
          </w:p>
        </w:tc>
      </w:tr>
      <w:tr w14:paraId="57FC46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Merge w:val="continue"/>
            <w:vAlign w:val="center"/>
          </w:tcPr>
          <w:p w14:paraId="48B261F2">
            <w:pPr>
              <w:pStyle w:val="134"/>
              <w:spacing w:before="31" w:after="31" w:line="240" w:lineRule="auto"/>
              <w:rPr>
                <w:rFonts w:ascii="Times New Roman"/>
                <w:snapToGrid w:val="0"/>
                <w:color w:val="auto"/>
                <w:szCs w:val="21"/>
                <w:lang w:val="en-US"/>
              </w:rPr>
            </w:pPr>
          </w:p>
        </w:tc>
        <w:tc>
          <w:tcPr>
            <w:tcW w:w="166" w:type="pct"/>
            <w:vMerge w:val="continue"/>
            <w:vAlign w:val="center"/>
          </w:tcPr>
          <w:p w14:paraId="07FF2886">
            <w:pPr>
              <w:jc w:val="center"/>
              <w:rPr>
                <w:snapToGrid w:val="0"/>
                <w:color w:val="auto"/>
                <w:kern w:val="0"/>
                <w:szCs w:val="21"/>
              </w:rPr>
            </w:pPr>
          </w:p>
        </w:tc>
        <w:tc>
          <w:tcPr>
            <w:tcW w:w="641" w:type="pct"/>
            <w:gridSpan w:val="2"/>
            <w:vAlign w:val="center"/>
          </w:tcPr>
          <w:p w14:paraId="60158F7F">
            <w:pPr>
              <w:adjustRightInd w:val="0"/>
              <w:snapToGrid w:val="0"/>
              <w:jc w:val="center"/>
              <w:rPr>
                <w:color w:val="auto"/>
                <w:szCs w:val="21"/>
              </w:rPr>
            </w:pPr>
            <w:r>
              <w:rPr>
                <w:rFonts w:hint="eastAsia"/>
                <w:color w:val="auto"/>
                <w:szCs w:val="21"/>
              </w:rPr>
              <w:t>动植物油</w:t>
            </w:r>
          </w:p>
        </w:tc>
        <w:tc>
          <w:tcPr>
            <w:tcW w:w="597" w:type="pct"/>
            <w:vAlign w:val="center"/>
          </w:tcPr>
          <w:p w14:paraId="6B4CA872">
            <w:pPr>
              <w:jc w:val="center"/>
              <w:rPr>
                <w:snapToGrid w:val="0"/>
                <w:color w:val="auto"/>
                <w:kern w:val="0"/>
                <w:szCs w:val="21"/>
              </w:rPr>
            </w:pPr>
            <w:r>
              <w:rPr>
                <w:snapToGrid w:val="0"/>
                <w:color w:val="auto"/>
                <w:szCs w:val="21"/>
              </w:rPr>
              <w:t>0</w:t>
            </w:r>
          </w:p>
        </w:tc>
        <w:tc>
          <w:tcPr>
            <w:tcW w:w="442" w:type="pct"/>
            <w:vAlign w:val="center"/>
          </w:tcPr>
          <w:p w14:paraId="2439BA76">
            <w:pPr>
              <w:jc w:val="center"/>
              <w:rPr>
                <w:snapToGrid w:val="0"/>
                <w:color w:val="auto"/>
                <w:kern w:val="0"/>
                <w:szCs w:val="21"/>
              </w:rPr>
            </w:pPr>
            <w:r>
              <w:rPr>
                <w:snapToGrid w:val="0"/>
                <w:color w:val="auto"/>
                <w:szCs w:val="21"/>
              </w:rPr>
              <w:t>0</w:t>
            </w:r>
          </w:p>
        </w:tc>
        <w:tc>
          <w:tcPr>
            <w:tcW w:w="597" w:type="pct"/>
            <w:vAlign w:val="center"/>
          </w:tcPr>
          <w:p w14:paraId="2EC8D4A3">
            <w:pPr>
              <w:jc w:val="center"/>
              <w:rPr>
                <w:snapToGrid w:val="0"/>
                <w:color w:val="auto"/>
                <w:kern w:val="0"/>
                <w:szCs w:val="21"/>
              </w:rPr>
            </w:pPr>
            <w:r>
              <w:rPr>
                <w:snapToGrid w:val="0"/>
                <w:color w:val="auto"/>
                <w:szCs w:val="21"/>
              </w:rPr>
              <w:t>0</w:t>
            </w:r>
          </w:p>
        </w:tc>
        <w:tc>
          <w:tcPr>
            <w:tcW w:w="545" w:type="pct"/>
            <w:shd w:val="clear" w:color="auto" w:fill="auto"/>
            <w:vAlign w:val="center"/>
          </w:tcPr>
          <w:p w14:paraId="57D8D725">
            <w:pPr>
              <w:jc w:val="center"/>
              <w:rPr>
                <w:rFonts w:hint="default" w:eastAsia="宋体"/>
                <w:color w:val="auto"/>
                <w:szCs w:val="21"/>
                <w:lang w:val="en-US" w:eastAsia="zh-CN"/>
              </w:rPr>
            </w:pPr>
            <w:r>
              <w:rPr>
                <w:rFonts w:hint="eastAsia"/>
                <w:color w:val="auto"/>
                <w:szCs w:val="21"/>
                <w:lang w:val="en-US" w:eastAsia="zh-CN"/>
              </w:rPr>
              <w:t>0.00228</w:t>
            </w:r>
          </w:p>
        </w:tc>
        <w:tc>
          <w:tcPr>
            <w:tcW w:w="565" w:type="pct"/>
            <w:vAlign w:val="center"/>
          </w:tcPr>
          <w:p w14:paraId="74D6E712">
            <w:pPr>
              <w:pStyle w:val="134"/>
              <w:spacing w:beforeLines="0" w:afterLines="0" w:line="240" w:lineRule="auto"/>
              <w:rPr>
                <w:rFonts w:ascii="Times New Roman"/>
                <w:snapToGrid w:val="0"/>
                <w:color w:val="auto"/>
                <w:szCs w:val="21"/>
                <w:lang w:val="en-US"/>
              </w:rPr>
            </w:pPr>
            <w:r>
              <w:rPr>
                <w:rFonts w:ascii="Times New Roman"/>
                <w:snapToGrid w:val="0"/>
                <w:color w:val="auto"/>
                <w:szCs w:val="21"/>
                <w:lang w:val="en-US"/>
              </w:rPr>
              <w:t>0</w:t>
            </w:r>
          </w:p>
        </w:tc>
        <w:tc>
          <w:tcPr>
            <w:tcW w:w="1697" w:type="dxa"/>
            <w:shd w:val="clear" w:color="auto" w:fill="auto"/>
            <w:vAlign w:val="center"/>
          </w:tcPr>
          <w:p w14:paraId="36AAA112">
            <w:pPr>
              <w:jc w:val="center"/>
              <w:rPr>
                <w:color w:val="auto"/>
                <w:szCs w:val="21"/>
              </w:rPr>
            </w:pPr>
            <w:r>
              <w:rPr>
                <w:rFonts w:hint="eastAsia"/>
                <w:color w:val="auto"/>
                <w:szCs w:val="21"/>
                <w:lang w:val="en-US" w:eastAsia="zh-CN"/>
              </w:rPr>
              <w:t>0.00228</w:t>
            </w:r>
          </w:p>
        </w:tc>
        <w:tc>
          <w:tcPr>
            <w:tcW w:w="1136" w:type="dxa"/>
            <w:shd w:val="clear" w:color="auto" w:fill="auto"/>
            <w:vAlign w:val="center"/>
          </w:tcPr>
          <w:p w14:paraId="72AF4050">
            <w:pPr>
              <w:jc w:val="center"/>
              <w:rPr>
                <w:color w:val="auto"/>
                <w:szCs w:val="21"/>
              </w:rPr>
            </w:pPr>
            <w:r>
              <w:rPr>
                <w:rFonts w:hint="eastAsia"/>
                <w:color w:val="auto"/>
                <w:szCs w:val="21"/>
                <w:lang w:val="en-US" w:eastAsia="zh-CN"/>
              </w:rPr>
              <w:t>+0.00228</w:t>
            </w:r>
          </w:p>
        </w:tc>
      </w:tr>
      <w:tr w14:paraId="27BFAA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Merge w:val="restart"/>
            <w:vAlign w:val="center"/>
          </w:tcPr>
          <w:p w14:paraId="5814085D">
            <w:pPr>
              <w:pStyle w:val="134"/>
              <w:spacing w:beforeLines="0" w:afterLines="0" w:line="240" w:lineRule="auto"/>
              <w:rPr>
                <w:rFonts w:ascii="Times New Roman"/>
                <w:snapToGrid w:val="0"/>
                <w:color w:val="auto"/>
                <w:szCs w:val="21"/>
                <w:lang w:val="en-US"/>
              </w:rPr>
            </w:pPr>
            <w:r>
              <w:rPr>
                <w:rFonts w:ascii="Times New Roman"/>
                <w:snapToGrid w:val="0"/>
                <w:color w:val="auto"/>
                <w:szCs w:val="21"/>
                <w:lang w:val="en-US"/>
              </w:rPr>
              <w:t>一般工业固体废物</w:t>
            </w:r>
          </w:p>
        </w:tc>
        <w:tc>
          <w:tcPr>
            <w:tcW w:w="807" w:type="pct"/>
            <w:gridSpan w:val="3"/>
            <w:vAlign w:val="center"/>
          </w:tcPr>
          <w:p w14:paraId="79F06E87">
            <w:pPr>
              <w:pStyle w:val="134"/>
              <w:spacing w:beforeLines="0" w:afterLines="0" w:line="240" w:lineRule="auto"/>
              <w:rPr>
                <w:rFonts w:ascii="Times New Roman"/>
                <w:snapToGrid w:val="0"/>
                <w:color w:val="auto"/>
                <w:szCs w:val="21"/>
                <w:lang w:val="en-US"/>
              </w:rPr>
            </w:pPr>
            <w:r>
              <w:rPr>
                <w:rFonts w:hint="eastAsia" w:ascii="Times New Roman"/>
                <w:snapToGrid w:val="0"/>
                <w:color w:val="auto"/>
                <w:szCs w:val="21"/>
                <w:lang w:val="en-US"/>
              </w:rPr>
              <w:t>废边角料</w:t>
            </w:r>
          </w:p>
        </w:tc>
        <w:tc>
          <w:tcPr>
            <w:tcW w:w="597" w:type="pct"/>
            <w:vAlign w:val="center"/>
          </w:tcPr>
          <w:p w14:paraId="4E5B6B98">
            <w:pPr>
              <w:pStyle w:val="134"/>
              <w:spacing w:beforeLines="0" w:afterLines="0" w:line="240" w:lineRule="auto"/>
              <w:rPr>
                <w:rFonts w:ascii="Times New Roman"/>
                <w:snapToGrid w:val="0"/>
                <w:color w:val="auto"/>
                <w:szCs w:val="21"/>
                <w:lang w:val="en-US"/>
              </w:rPr>
            </w:pPr>
            <w:r>
              <w:rPr>
                <w:rFonts w:ascii="Times New Roman"/>
                <w:snapToGrid w:val="0"/>
                <w:color w:val="auto"/>
                <w:szCs w:val="21"/>
                <w:lang w:val="en-US"/>
              </w:rPr>
              <w:t>0</w:t>
            </w:r>
          </w:p>
        </w:tc>
        <w:tc>
          <w:tcPr>
            <w:tcW w:w="442" w:type="pct"/>
            <w:vAlign w:val="center"/>
          </w:tcPr>
          <w:p w14:paraId="2D5B5B8C">
            <w:pPr>
              <w:pStyle w:val="134"/>
              <w:spacing w:beforeLines="0" w:afterLines="0" w:line="240" w:lineRule="auto"/>
              <w:rPr>
                <w:rFonts w:ascii="Times New Roman"/>
                <w:snapToGrid w:val="0"/>
                <w:color w:val="auto"/>
                <w:szCs w:val="21"/>
                <w:lang w:val="en-US"/>
              </w:rPr>
            </w:pPr>
            <w:r>
              <w:rPr>
                <w:rFonts w:ascii="Times New Roman"/>
                <w:snapToGrid w:val="0"/>
                <w:color w:val="auto"/>
                <w:szCs w:val="21"/>
                <w:lang w:val="en-US"/>
              </w:rPr>
              <w:t>0</w:t>
            </w:r>
          </w:p>
        </w:tc>
        <w:tc>
          <w:tcPr>
            <w:tcW w:w="597" w:type="pct"/>
            <w:vAlign w:val="center"/>
          </w:tcPr>
          <w:p w14:paraId="0BBF40D3">
            <w:pPr>
              <w:pStyle w:val="134"/>
              <w:spacing w:beforeLines="0" w:afterLines="0" w:line="240" w:lineRule="auto"/>
              <w:rPr>
                <w:rFonts w:ascii="Times New Roman"/>
                <w:snapToGrid w:val="0"/>
                <w:color w:val="auto"/>
                <w:szCs w:val="21"/>
                <w:lang w:val="en-US"/>
              </w:rPr>
            </w:pPr>
            <w:r>
              <w:rPr>
                <w:rFonts w:ascii="Times New Roman"/>
                <w:snapToGrid w:val="0"/>
                <w:color w:val="auto"/>
                <w:szCs w:val="21"/>
                <w:lang w:val="en-US"/>
              </w:rPr>
              <w:t>0</w:t>
            </w:r>
          </w:p>
        </w:tc>
        <w:tc>
          <w:tcPr>
            <w:tcW w:w="545" w:type="pct"/>
            <w:vAlign w:val="center"/>
          </w:tcPr>
          <w:p w14:paraId="61EC35C7">
            <w:pPr>
              <w:jc w:val="center"/>
              <w:rPr>
                <w:snapToGrid w:val="0"/>
                <w:color w:val="auto"/>
                <w:szCs w:val="21"/>
              </w:rPr>
            </w:pPr>
            <w:r>
              <w:rPr>
                <w:rFonts w:hint="eastAsia"/>
                <w:color w:val="auto"/>
                <w:szCs w:val="21"/>
              </w:rPr>
              <w:t>1.2</w:t>
            </w:r>
          </w:p>
        </w:tc>
        <w:tc>
          <w:tcPr>
            <w:tcW w:w="565" w:type="pct"/>
            <w:vAlign w:val="center"/>
          </w:tcPr>
          <w:p w14:paraId="566EB548">
            <w:pPr>
              <w:pStyle w:val="134"/>
              <w:spacing w:beforeLines="0" w:afterLines="0" w:line="240" w:lineRule="auto"/>
              <w:rPr>
                <w:rFonts w:ascii="Times New Roman"/>
                <w:snapToGrid w:val="0"/>
                <w:color w:val="auto"/>
                <w:szCs w:val="21"/>
                <w:lang w:val="en-US"/>
              </w:rPr>
            </w:pPr>
            <w:r>
              <w:rPr>
                <w:rFonts w:ascii="Times New Roman"/>
                <w:snapToGrid w:val="0"/>
                <w:color w:val="auto"/>
                <w:szCs w:val="21"/>
                <w:lang w:val="en-US"/>
              </w:rPr>
              <w:t>0</w:t>
            </w:r>
          </w:p>
        </w:tc>
        <w:tc>
          <w:tcPr>
            <w:tcW w:w="628" w:type="pct"/>
            <w:shd w:val="clear" w:color="auto" w:fill="auto"/>
            <w:vAlign w:val="center"/>
          </w:tcPr>
          <w:p w14:paraId="238C3830">
            <w:pPr>
              <w:jc w:val="center"/>
              <w:rPr>
                <w:snapToGrid w:val="0"/>
                <w:color w:val="auto"/>
                <w:szCs w:val="21"/>
              </w:rPr>
            </w:pPr>
            <w:r>
              <w:rPr>
                <w:rFonts w:hint="eastAsia"/>
                <w:color w:val="auto"/>
                <w:szCs w:val="21"/>
              </w:rPr>
              <w:t>1.2</w:t>
            </w:r>
          </w:p>
        </w:tc>
        <w:tc>
          <w:tcPr>
            <w:tcW w:w="421" w:type="pct"/>
            <w:shd w:val="clear" w:color="auto" w:fill="auto"/>
            <w:vAlign w:val="center"/>
          </w:tcPr>
          <w:p w14:paraId="7D275049">
            <w:pPr>
              <w:jc w:val="center"/>
              <w:rPr>
                <w:snapToGrid w:val="0"/>
                <w:color w:val="auto"/>
                <w:szCs w:val="21"/>
              </w:rPr>
            </w:pPr>
            <w:r>
              <w:rPr>
                <w:rFonts w:hint="eastAsia"/>
                <w:color w:val="auto"/>
                <w:szCs w:val="21"/>
              </w:rPr>
              <w:t>+1.2</w:t>
            </w:r>
          </w:p>
        </w:tc>
      </w:tr>
      <w:tr w14:paraId="0E0A26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Merge w:val="continue"/>
            <w:vAlign w:val="center"/>
          </w:tcPr>
          <w:p w14:paraId="07F2221B">
            <w:pPr>
              <w:pStyle w:val="134"/>
              <w:spacing w:beforeLines="0" w:afterLines="0" w:line="240" w:lineRule="auto"/>
              <w:rPr>
                <w:rFonts w:ascii="Times New Roman"/>
                <w:snapToGrid w:val="0"/>
                <w:color w:val="auto"/>
                <w:szCs w:val="21"/>
                <w:lang w:val="en-US"/>
              </w:rPr>
            </w:pPr>
          </w:p>
        </w:tc>
        <w:tc>
          <w:tcPr>
            <w:tcW w:w="807" w:type="pct"/>
            <w:gridSpan w:val="3"/>
            <w:vAlign w:val="center"/>
          </w:tcPr>
          <w:p w14:paraId="59841629">
            <w:pPr>
              <w:pStyle w:val="134"/>
              <w:spacing w:beforeLines="0" w:afterLines="0" w:line="240" w:lineRule="auto"/>
              <w:rPr>
                <w:rFonts w:ascii="Times New Roman"/>
                <w:snapToGrid w:val="0"/>
                <w:color w:val="auto"/>
                <w:szCs w:val="21"/>
                <w:lang w:val="en-US"/>
              </w:rPr>
            </w:pPr>
            <w:r>
              <w:rPr>
                <w:rFonts w:hint="eastAsia" w:ascii="Times New Roman"/>
                <w:snapToGrid w:val="0"/>
                <w:color w:val="auto"/>
                <w:szCs w:val="21"/>
                <w:lang w:val="en-US"/>
              </w:rPr>
              <w:t>测试不合格品</w:t>
            </w:r>
          </w:p>
        </w:tc>
        <w:tc>
          <w:tcPr>
            <w:tcW w:w="597" w:type="pct"/>
            <w:vAlign w:val="center"/>
          </w:tcPr>
          <w:p w14:paraId="1C72F785">
            <w:pPr>
              <w:jc w:val="center"/>
              <w:rPr>
                <w:snapToGrid w:val="0"/>
                <w:color w:val="auto"/>
                <w:szCs w:val="21"/>
              </w:rPr>
            </w:pPr>
            <w:r>
              <w:rPr>
                <w:snapToGrid w:val="0"/>
                <w:color w:val="auto"/>
                <w:szCs w:val="21"/>
              </w:rPr>
              <w:t>0</w:t>
            </w:r>
          </w:p>
        </w:tc>
        <w:tc>
          <w:tcPr>
            <w:tcW w:w="442" w:type="pct"/>
            <w:vAlign w:val="center"/>
          </w:tcPr>
          <w:p w14:paraId="5B53DC28">
            <w:pPr>
              <w:jc w:val="center"/>
              <w:rPr>
                <w:snapToGrid w:val="0"/>
                <w:color w:val="auto"/>
                <w:szCs w:val="21"/>
              </w:rPr>
            </w:pPr>
            <w:r>
              <w:rPr>
                <w:snapToGrid w:val="0"/>
                <w:color w:val="auto"/>
                <w:szCs w:val="21"/>
              </w:rPr>
              <w:t>0</w:t>
            </w:r>
          </w:p>
        </w:tc>
        <w:tc>
          <w:tcPr>
            <w:tcW w:w="597" w:type="pct"/>
            <w:vAlign w:val="center"/>
          </w:tcPr>
          <w:p w14:paraId="482382C4">
            <w:pPr>
              <w:jc w:val="center"/>
              <w:rPr>
                <w:snapToGrid w:val="0"/>
                <w:color w:val="auto"/>
                <w:szCs w:val="21"/>
              </w:rPr>
            </w:pPr>
            <w:r>
              <w:rPr>
                <w:snapToGrid w:val="0"/>
                <w:color w:val="auto"/>
                <w:szCs w:val="21"/>
              </w:rPr>
              <w:t>0</w:t>
            </w:r>
          </w:p>
        </w:tc>
        <w:tc>
          <w:tcPr>
            <w:tcW w:w="545" w:type="pct"/>
            <w:vAlign w:val="center"/>
          </w:tcPr>
          <w:p w14:paraId="038017A3">
            <w:pPr>
              <w:jc w:val="center"/>
              <w:rPr>
                <w:snapToGrid w:val="0"/>
                <w:color w:val="auto"/>
                <w:szCs w:val="21"/>
              </w:rPr>
            </w:pPr>
            <w:r>
              <w:rPr>
                <w:rFonts w:hint="eastAsia"/>
                <w:color w:val="auto"/>
                <w:szCs w:val="21"/>
              </w:rPr>
              <w:t>0.6</w:t>
            </w:r>
          </w:p>
        </w:tc>
        <w:tc>
          <w:tcPr>
            <w:tcW w:w="565" w:type="pct"/>
            <w:vAlign w:val="center"/>
          </w:tcPr>
          <w:p w14:paraId="3E507959">
            <w:pPr>
              <w:jc w:val="center"/>
              <w:rPr>
                <w:snapToGrid w:val="0"/>
                <w:color w:val="auto"/>
                <w:szCs w:val="21"/>
              </w:rPr>
            </w:pPr>
            <w:r>
              <w:rPr>
                <w:snapToGrid w:val="0"/>
                <w:color w:val="auto"/>
                <w:szCs w:val="21"/>
              </w:rPr>
              <w:t>0</w:t>
            </w:r>
          </w:p>
        </w:tc>
        <w:tc>
          <w:tcPr>
            <w:tcW w:w="628" w:type="pct"/>
            <w:shd w:val="clear" w:color="auto" w:fill="auto"/>
            <w:vAlign w:val="center"/>
          </w:tcPr>
          <w:p w14:paraId="411ADE56">
            <w:pPr>
              <w:jc w:val="center"/>
              <w:rPr>
                <w:snapToGrid w:val="0"/>
                <w:color w:val="auto"/>
                <w:szCs w:val="21"/>
              </w:rPr>
            </w:pPr>
            <w:r>
              <w:rPr>
                <w:rFonts w:hint="eastAsia"/>
                <w:color w:val="auto"/>
                <w:szCs w:val="21"/>
              </w:rPr>
              <w:t>0.6</w:t>
            </w:r>
          </w:p>
        </w:tc>
        <w:tc>
          <w:tcPr>
            <w:tcW w:w="421" w:type="pct"/>
            <w:shd w:val="clear" w:color="auto" w:fill="auto"/>
            <w:vAlign w:val="center"/>
          </w:tcPr>
          <w:p w14:paraId="6E2E816A">
            <w:pPr>
              <w:jc w:val="center"/>
              <w:rPr>
                <w:snapToGrid w:val="0"/>
                <w:color w:val="auto"/>
                <w:szCs w:val="21"/>
              </w:rPr>
            </w:pPr>
            <w:r>
              <w:rPr>
                <w:rFonts w:hint="eastAsia"/>
                <w:color w:val="auto"/>
                <w:szCs w:val="21"/>
              </w:rPr>
              <w:t>+0.6</w:t>
            </w:r>
          </w:p>
        </w:tc>
      </w:tr>
      <w:tr w14:paraId="73626C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Merge w:val="continue"/>
            <w:vAlign w:val="center"/>
          </w:tcPr>
          <w:p w14:paraId="4AE74900">
            <w:pPr>
              <w:pStyle w:val="134"/>
              <w:spacing w:beforeLines="0" w:afterLines="0" w:line="240" w:lineRule="auto"/>
              <w:rPr>
                <w:rFonts w:ascii="Times New Roman"/>
                <w:snapToGrid w:val="0"/>
                <w:color w:val="auto"/>
                <w:szCs w:val="21"/>
                <w:lang w:val="en-US"/>
              </w:rPr>
            </w:pPr>
          </w:p>
        </w:tc>
        <w:tc>
          <w:tcPr>
            <w:tcW w:w="807" w:type="pct"/>
            <w:gridSpan w:val="3"/>
            <w:vAlign w:val="center"/>
          </w:tcPr>
          <w:p w14:paraId="2A019024">
            <w:pPr>
              <w:pStyle w:val="134"/>
              <w:spacing w:beforeLines="0" w:afterLines="0" w:line="240" w:lineRule="auto"/>
              <w:rPr>
                <w:rFonts w:ascii="Times New Roman"/>
                <w:snapToGrid w:val="0"/>
                <w:color w:val="auto"/>
                <w:szCs w:val="21"/>
                <w:lang w:val="en-US"/>
              </w:rPr>
            </w:pPr>
            <w:r>
              <w:rPr>
                <w:rFonts w:hint="eastAsia" w:ascii="Times New Roman"/>
                <w:snapToGrid w:val="0"/>
                <w:color w:val="auto"/>
                <w:szCs w:val="21"/>
                <w:lang w:val="en-US"/>
              </w:rPr>
              <w:t>废漆包线</w:t>
            </w:r>
          </w:p>
        </w:tc>
        <w:tc>
          <w:tcPr>
            <w:tcW w:w="597" w:type="pct"/>
            <w:vAlign w:val="center"/>
          </w:tcPr>
          <w:p w14:paraId="25D7DC46">
            <w:pPr>
              <w:jc w:val="center"/>
              <w:rPr>
                <w:snapToGrid w:val="0"/>
                <w:color w:val="auto"/>
                <w:szCs w:val="21"/>
              </w:rPr>
            </w:pPr>
            <w:r>
              <w:rPr>
                <w:snapToGrid w:val="0"/>
                <w:color w:val="auto"/>
                <w:szCs w:val="21"/>
              </w:rPr>
              <w:t>0</w:t>
            </w:r>
          </w:p>
        </w:tc>
        <w:tc>
          <w:tcPr>
            <w:tcW w:w="442" w:type="pct"/>
            <w:vAlign w:val="center"/>
          </w:tcPr>
          <w:p w14:paraId="3EE5D764">
            <w:pPr>
              <w:jc w:val="center"/>
              <w:rPr>
                <w:snapToGrid w:val="0"/>
                <w:color w:val="auto"/>
                <w:szCs w:val="21"/>
              </w:rPr>
            </w:pPr>
            <w:r>
              <w:rPr>
                <w:snapToGrid w:val="0"/>
                <w:color w:val="auto"/>
                <w:szCs w:val="21"/>
              </w:rPr>
              <w:t>0</w:t>
            </w:r>
          </w:p>
        </w:tc>
        <w:tc>
          <w:tcPr>
            <w:tcW w:w="597" w:type="pct"/>
            <w:vAlign w:val="center"/>
          </w:tcPr>
          <w:p w14:paraId="7E024CC2">
            <w:pPr>
              <w:jc w:val="center"/>
              <w:rPr>
                <w:snapToGrid w:val="0"/>
                <w:color w:val="auto"/>
                <w:szCs w:val="21"/>
              </w:rPr>
            </w:pPr>
            <w:r>
              <w:rPr>
                <w:snapToGrid w:val="0"/>
                <w:color w:val="auto"/>
                <w:szCs w:val="21"/>
              </w:rPr>
              <w:t>0</w:t>
            </w:r>
          </w:p>
        </w:tc>
        <w:tc>
          <w:tcPr>
            <w:tcW w:w="545" w:type="pct"/>
            <w:vAlign w:val="center"/>
          </w:tcPr>
          <w:p w14:paraId="47C2D28B">
            <w:pPr>
              <w:jc w:val="center"/>
              <w:rPr>
                <w:snapToGrid w:val="0"/>
                <w:color w:val="auto"/>
                <w:szCs w:val="21"/>
              </w:rPr>
            </w:pPr>
            <w:r>
              <w:rPr>
                <w:rFonts w:hint="eastAsia"/>
                <w:color w:val="auto"/>
                <w:szCs w:val="21"/>
                <w:lang w:bidi="ar"/>
              </w:rPr>
              <w:t>0.5</w:t>
            </w:r>
          </w:p>
        </w:tc>
        <w:tc>
          <w:tcPr>
            <w:tcW w:w="565" w:type="pct"/>
            <w:vAlign w:val="center"/>
          </w:tcPr>
          <w:p w14:paraId="6EBA8261">
            <w:pPr>
              <w:jc w:val="center"/>
              <w:rPr>
                <w:snapToGrid w:val="0"/>
                <w:color w:val="auto"/>
                <w:szCs w:val="21"/>
              </w:rPr>
            </w:pPr>
            <w:r>
              <w:rPr>
                <w:snapToGrid w:val="0"/>
                <w:color w:val="auto"/>
                <w:szCs w:val="21"/>
              </w:rPr>
              <w:t>0</w:t>
            </w:r>
          </w:p>
        </w:tc>
        <w:tc>
          <w:tcPr>
            <w:tcW w:w="628" w:type="pct"/>
            <w:shd w:val="clear" w:color="auto" w:fill="auto"/>
            <w:vAlign w:val="center"/>
          </w:tcPr>
          <w:p w14:paraId="31475D89">
            <w:pPr>
              <w:jc w:val="center"/>
              <w:rPr>
                <w:snapToGrid w:val="0"/>
                <w:color w:val="auto"/>
                <w:szCs w:val="21"/>
              </w:rPr>
            </w:pPr>
            <w:r>
              <w:rPr>
                <w:rFonts w:hint="eastAsia"/>
                <w:color w:val="auto"/>
                <w:szCs w:val="21"/>
                <w:lang w:bidi="ar"/>
              </w:rPr>
              <w:t>0.5</w:t>
            </w:r>
          </w:p>
        </w:tc>
        <w:tc>
          <w:tcPr>
            <w:tcW w:w="421" w:type="pct"/>
            <w:shd w:val="clear" w:color="auto" w:fill="auto"/>
            <w:vAlign w:val="center"/>
          </w:tcPr>
          <w:p w14:paraId="7925EA6E">
            <w:pPr>
              <w:jc w:val="center"/>
              <w:rPr>
                <w:snapToGrid w:val="0"/>
                <w:color w:val="auto"/>
                <w:szCs w:val="21"/>
              </w:rPr>
            </w:pPr>
            <w:r>
              <w:rPr>
                <w:rFonts w:hint="eastAsia"/>
                <w:color w:val="auto"/>
                <w:szCs w:val="21"/>
                <w:lang w:bidi="ar"/>
              </w:rPr>
              <w:t>+0.5</w:t>
            </w:r>
          </w:p>
        </w:tc>
      </w:tr>
      <w:tr w14:paraId="11DD43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Merge w:val="continue"/>
            <w:vAlign w:val="center"/>
          </w:tcPr>
          <w:p w14:paraId="021B61F7">
            <w:pPr>
              <w:pStyle w:val="134"/>
              <w:spacing w:beforeLines="0" w:afterLines="0" w:line="240" w:lineRule="auto"/>
              <w:rPr>
                <w:rFonts w:ascii="Times New Roman"/>
                <w:snapToGrid w:val="0"/>
                <w:color w:val="auto"/>
                <w:szCs w:val="21"/>
                <w:lang w:val="en-US"/>
              </w:rPr>
            </w:pPr>
          </w:p>
        </w:tc>
        <w:tc>
          <w:tcPr>
            <w:tcW w:w="807" w:type="pct"/>
            <w:gridSpan w:val="3"/>
            <w:vAlign w:val="center"/>
          </w:tcPr>
          <w:p w14:paraId="0CAB035F">
            <w:pPr>
              <w:pStyle w:val="134"/>
              <w:spacing w:beforeLines="0" w:afterLines="0" w:line="240" w:lineRule="auto"/>
              <w:rPr>
                <w:rFonts w:ascii="Times New Roman"/>
                <w:snapToGrid w:val="0"/>
                <w:color w:val="auto"/>
                <w:szCs w:val="21"/>
                <w:lang w:val="en-US"/>
              </w:rPr>
            </w:pPr>
            <w:r>
              <w:rPr>
                <w:rFonts w:hint="eastAsia" w:ascii="Times New Roman"/>
                <w:snapToGrid w:val="0"/>
                <w:color w:val="auto"/>
                <w:szCs w:val="21"/>
                <w:lang w:val="en-US"/>
              </w:rPr>
              <w:t>质量检测不合格品</w:t>
            </w:r>
          </w:p>
        </w:tc>
        <w:tc>
          <w:tcPr>
            <w:tcW w:w="597" w:type="pct"/>
            <w:vAlign w:val="center"/>
          </w:tcPr>
          <w:p w14:paraId="5470D01F">
            <w:pPr>
              <w:jc w:val="center"/>
              <w:rPr>
                <w:snapToGrid w:val="0"/>
                <w:color w:val="auto"/>
                <w:szCs w:val="21"/>
              </w:rPr>
            </w:pPr>
            <w:r>
              <w:rPr>
                <w:snapToGrid w:val="0"/>
                <w:color w:val="auto"/>
                <w:szCs w:val="21"/>
              </w:rPr>
              <w:t>0</w:t>
            </w:r>
          </w:p>
        </w:tc>
        <w:tc>
          <w:tcPr>
            <w:tcW w:w="442" w:type="pct"/>
            <w:vAlign w:val="center"/>
          </w:tcPr>
          <w:p w14:paraId="79EF2CDC">
            <w:pPr>
              <w:jc w:val="center"/>
              <w:rPr>
                <w:snapToGrid w:val="0"/>
                <w:color w:val="auto"/>
                <w:szCs w:val="21"/>
              </w:rPr>
            </w:pPr>
            <w:r>
              <w:rPr>
                <w:snapToGrid w:val="0"/>
                <w:color w:val="auto"/>
                <w:szCs w:val="21"/>
              </w:rPr>
              <w:t>0</w:t>
            </w:r>
          </w:p>
        </w:tc>
        <w:tc>
          <w:tcPr>
            <w:tcW w:w="597" w:type="pct"/>
            <w:vAlign w:val="center"/>
          </w:tcPr>
          <w:p w14:paraId="3F16187C">
            <w:pPr>
              <w:jc w:val="center"/>
              <w:rPr>
                <w:snapToGrid w:val="0"/>
                <w:color w:val="auto"/>
                <w:szCs w:val="21"/>
              </w:rPr>
            </w:pPr>
            <w:r>
              <w:rPr>
                <w:snapToGrid w:val="0"/>
                <w:color w:val="auto"/>
                <w:szCs w:val="21"/>
              </w:rPr>
              <w:t>0</w:t>
            </w:r>
          </w:p>
        </w:tc>
        <w:tc>
          <w:tcPr>
            <w:tcW w:w="545" w:type="pct"/>
            <w:vAlign w:val="center"/>
          </w:tcPr>
          <w:p w14:paraId="3ED656FD">
            <w:pPr>
              <w:jc w:val="center"/>
              <w:rPr>
                <w:snapToGrid w:val="0"/>
                <w:color w:val="auto"/>
                <w:szCs w:val="21"/>
              </w:rPr>
            </w:pPr>
            <w:r>
              <w:rPr>
                <w:rFonts w:hint="eastAsia"/>
                <w:color w:val="auto"/>
                <w:szCs w:val="21"/>
                <w:lang w:bidi="ar"/>
              </w:rPr>
              <w:t>0.6</w:t>
            </w:r>
          </w:p>
        </w:tc>
        <w:tc>
          <w:tcPr>
            <w:tcW w:w="565" w:type="pct"/>
            <w:vAlign w:val="center"/>
          </w:tcPr>
          <w:p w14:paraId="52F90B9C">
            <w:pPr>
              <w:jc w:val="center"/>
              <w:rPr>
                <w:snapToGrid w:val="0"/>
                <w:color w:val="auto"/>
                <w:szCs w:val="21"/>
              </w:rPr>
            </w:pPr>
            <w:r>
              <w:rPr>
                <w:snapToGrid w:val="0"/>
                <w:color w:val="auto"/>
                <w:szCs w:val="21"/>
              </w:rPr>
              <w:t>0</w:t>
            </w:r>
          </w:p>
        </w:tc>
        <w:tc>
          <w:tcPr>
            <w:tcW w:w="628" w:type="pct"/>
            <w:shd w:val="clear" w:color="auto" w:fill="auto"/>
            <w:vAlign w:val="center"/>
          </w:tcPr>
          <w:p w14:paraId="4CB67C88">
            <w:pPr>
              <w:widowControl/>
              <w:jc w:val="center"/>
              <w:textAlignment w:val="center"/>
              <w:rPr>
                <w:snapToGrid w:val="0"/>
                <w:color w:val="auto"/>
                <w:szCs w:val="21"/>
              </w:rPr>
            </w:pPr>
            <w:r>
              <w:rPr>
                <w:color w:val="auto"/>
                <w:kern w:val="0"/>
                <w:szCs w:val="21"/>
                <w:lang w:bidi="ar"/>
              </w:rPr>
              <w:t>0.</w:t>
            </w:r>
            <w:r>
              <w:rPr>
                <w:rFonts w:hint="eastAsia"/>
                <w:color w:val="auto"/>
                <w:kern w:val="0"/>
                <w:szCs w:val="21"/>
                <w:lang w:bidi="ar"/>
              </w:rPr>
              <w:t>6</w:t>
            </w:r>
          </w:p>
        </w:tc>
        <w:tc>
          <w:tcPr>
            <w:tcW w:w="421" w:type="pct"/>
            <w:shd w:val="clear" w:color="auto" w:fill="auto"/>
            <w:vAlign w:val="center"/>
          </w:tcPr>
          <w:p w14:paraId="04AF2536">
            <w:pPr>
              <w:pStyle w:val="134"/>
              <w:spacing w:beforeLines="0" w:afterLines="0" w:line="240" w:lineRule="auto"/>
              <w:rPr>
                <w:rFonts w:ascii="Times New Roman"/>
                <w:snapToGrid w:val="0"/>
                <w:color w:val="auto"/>
                <w:szCs w:val="21"/>
                <w:lang w:val="en-US"/>
              </w:rPr>
            </w:pPr>
            <w:r>
              <w:rPr>
                <w:rFonts w:hint="eastAsia" w:ascii="Times New Roman"/>
                <w:bCs/>
                <w:color w:val="auto"/>
                <w:szCs w:val="21"/>
                <w:lang w:val="en-US"/>
              </w:rPr>
              <w:t>+</w:t>
            </w:r>
            <w:r>
              <w:rPr>
                <w:rFonts w:hint="eastAsia" w:ascii="Times New Roman"/>
                <w:snapToGrid w:val="0"/>
                <w:color w:val="auto"/>
                <w:szCs w:val="21"/>
                <w:lang w:val="en-US"/>
              </w:rPr>
              <w:t>0.6</w:t>
            </w:r>
          </w:p>
        </w:tc>
      </w:tr>
      <w:tr w14:paraId="5704B6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Merge w:val="continue"/>
            <w:vAlign w:val="center"/>
          </w:tcPr>
          <w:p w14:paraId="426547CA">
            <w:pPr>
              <w:pStyle w:val="134"/>
              <w:spacing w:beforeLines="0" w:afterLines="0" w:line="240" w:lineRule="auto"/>
              <w:rPr>
                <w:rFonts w:ascii="Times New Roman"/>
                <w:snapToGrid w:val="0"/>
                <w:color w:val="auto"/>
                <w:szCs w:val="21"/>
                <w:lang w:val="en-US"/>
              </w:rPr>
            </w:pPr>
          </w:p>
        </w:tc>
        <w:tc>
          <w:tcPr>
            <w:tcW w:w="807" w:type="pct"/>
            <w:gridSpan w:val="3"/>
            <w:vAlign w:val="center"/>
          </w:tcPr>
          <w:p w14:paraId="002993B2">
            <w:pPr>
              <w:pStyle w:val="134"/>
              <w:spacing w:beforeLines="0" w:afterLines="0" w:line="240" w:lineRule="auto"/>
              <w:rPr>
                <w:rFonts w:ascii="Times New Roman"/>
                <w:snapToGrid w:val="0"/>
                <w:color w:val="auto"/>
                <w:szCs w:val="21"/>
                <w:lang w:val="en-US"/>
              </w:rPr>
            </w:pPr>
            <w:r>
              <w:rPr>
                <w:rFonts w:hint="eastAsia" w:ascii="Times New Roman"/>
                <w:snapToGrid w:val="0"/>
                <w:color w:val="auto"/>
                <w:szCs w:val="21"/>
                <w:lang w:val="en-US"/>
              </w:rPr>
              <w:t>废包装材料</w:t>
            </w:r>
          </w:p>
        </w:tc>
        <w:tc>
          <w:tcPr>
            <w:tcW w:w="597" w:type="pct"/>
            <w:vAlign w:val="center"/>
          </w:tcPr>
          <w:p w14:paraId="56B4C040">
            <w:pPr>
              <w:jc w:val="center"/>
              <w:rPr>
                <w:snapToGrid w:val="0"/>
                <w:color w:val="auto"/>
                <w:szCs w:val="21"/>
              </w:rPr>
            </w:pPr>
            <w:r>
              <w:rPr>
                <w:snapToGrid w:val="0"/>
                <w:color w:val="auto"/>
                <w:szCs w:val="21"/>
              </w:rPr>
              <w:t>0</w:t>
            </w:r>
          </w:p>
        </w:tc>
        <w:tc>
          <w:tcPr>
            <w:tcW w:w="442" w:type="pct"/>
            <w:vAlign w:val="center"/>
          </w:tcPr>
          <w:p w14:paraId="0910C15D">
            <w:pPr>
              <w:jc w:val="center"/>
              <w:rPr>
                <w:snapToGrid w:val="0"/>
                <w:color w:val="auto"/>
                <w:szCs w:val="21"/>
              </w:rPr>
            </w:pPr>
            <w:r>
              <w:rPr>
                <w:snapToGrid w:val="0"/>
                <w:color w:val="auto"/>
                <w:szCs w:val="21"/>
              </w:rPr>
              <w:t>0</w:t>
            </w:r>
          </w:p>
        </w:tc>
        <w:tc>
          <w:tcPr>
            <w:tcW w:w="597" w:type="pct"/>
            <w:vAlign w:val="center"/>
          </w:tcPr>
          <w:p w14:paraId="1243176F">
            <w:pPr>
              <w:jc w:val="center"/>
              <w:rPr>
                <w:snapToGrid w:val="0"/>
                <w:color w:val="auto"/>
                <w:szCs w:val="21"/>
              </w:rPr>
            </w:pPr>
            <w:r>
              <w:rPr>
                <w:snapToGrid w:val="0"/>
                <w:color w:val="auto"/>
                <w:szCs w:val="21"/>
              </w:rPr>
              <w:t>0</w:t>
            </w:r>
          </w:p>
        </w:tc>
        <w:tc>
          <w:tcPr>
            <w:tcW w:w="545" w:type="pct"/>
            <w:vAlign w:val="center"/>
          </w:tcPr>
          <w:p w14:paraId="040EEF5B">
            <w:pPr>
              <w:jc w:val="center"/>
              <w:rPr>
                <w:snapToGrid w:val="0"/>
                <w:color w:val="auto"/>
                <w:szCs w:val="21"/>
              </w:rPr>
            </w:pPr>
            <w:r>
              <w:rPr>
                <w:rFonts w:hint="eastAsia"/>
                <w:color w:val="auto"/>
                <w:szCs w:val="21"/>
                <w:lang w:bidi="ar"/>
              </w:rPr>
              <w:t>0.3</w:t>
            </w:r>
          </w:p>
        </w:tc>
        <w:tc>
          <w:tcPr>
            <w:tcW w:w="565" w:type="pct"/>
            <w:vAlign w:val="center"/>
          </w:tcPr>
          <w:p w14:paraId="23442149">
            <w:pPr>
              <w:jc w:val="center"/>
              <w:rPr>
                <w:snapToGrid w:val="0"/>
                <w:color w:val="auto"/>
                <w:szCs w:val="21"/>
              </w:rPr>
            </w:pPr>
            <w:r>
              <w:rPr>
                <w:snapToGrid w:val="0"/>
                <w:color w:val="auto"/>
                <w:szCs w:val="21"/>
              </w:rPr>
              <w:t>0</w:t>
            </w:r>
          </w:p>
        </w:tc>
        <w:tc>
          <w:tcPr>
            <w:tcW w:w="628" w:type="pct"/>
            <w:shd w:val="clear" w:color="auto" w:fill="auto"/>
            <w:vAlign w:val="center"/>
          </w:tcPr>
          <w:p w14:paraId="515DEEC7">
            <w:pPr>
              <w:widowControl/>
              <w:jc w:val="center"/>
              <w:textAlignment w:val="center"/>
              <w:rPr>
                <w:snapToGrid w:val="0"/>
                <w:color w:val="auto"/>
                <w:szCs w:val="21"/>
              </w:rPr>
            </w:pPr>
            <w:r>
              <w:rPr>
                <w:color w:val="auto"/>
                <w:kern w:val="0"/>
                <w:szCs w:val="21"/>
                <w:lang w:bidi="ar"/>
              </w:rPr>
              <w:t>0.3</w:t>
            </w:r>
          </w:p>
        </w:tc>
        <w:tc>
          <w:tcPr>
            <w:tcW w:w="421" w:type="pct"/>
            <w:shd w:val="clear" w:color="auto" w:fill="auto"/>
            <w:vAlign w:val="center"/>
          </w:tcPr>
          <w:p w14:paraId="54D12794">
            <w:pPr>
              <w:pStyle w:val="134"/>
              <w:spacing w:beforeLines="0" w:afterLines="0" w:line="240" w:lineRule="auto"/>
              <w:rPr>
                <w:rFonts w:ascii="Times New Roman"/>
                <w:snapToGrid w:val="0"/>
                <w:color w:val="auto"/>
                <w:szCs w:val="21"/>
                <w:lang w:val="en-US"/>
              </w:rPr>
            </w:pPr>
            <w:r>
              <w:rPr>
                <w:rFonts w:hint="eastAsia" w:ascii="Times New Roman"/>
                <w:bCs/>
                <w:color w:val="auto"/>
                <w:szCs w:val="21"/>
                <w:lang w:val="en-US"/>
              </w:rPr>
              <w:t>+</w:t>
            </w:r>
            <w:r>
              <w:rPr>
                <w:rFonts w:hint="eastAsia" w:ascii="Times New Roman"/>
                <w:snapToGrid w:val="0"/>
                <w:color w:val="auto"/>
                <w:szCs w:val="21"/>
                <w:lang w:val="en-US"/>
              </w:rPr>
              <w:t>0.3</w:t>
            </w:r>
          </w:p>
        </w:tc>
      </w:tr>
      <w:tr w14:paraId="4C88C7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Align w:val="center"/>
          </w:tcPr>
          <w:p w14:paraId="6617635F">
            <w:pPr>
              <w:pStyle w:val="134"/>
              <w:spacing w:beforeLines="0" w:afterLines="0" w:line="240" w:lineRule="auto"/>
              <w:rPr>
                <w:rFonts w:ascii="Times New Roman"/>
                <w:snapToGrid w:val="0"/>
                <w:color w:val="auto"/>
                <w:szCs w:val="21"/>
                <w:lang w:val="en-US"/>
              </w:rPr>
            </w:pPr>
          </w:p>
        </w:tc>
        <w:tc>
          <w:tcPr>
            <w:tcW w:w="807" w:type="pct"/>
            <w:gridSpan w:val="3"/>
            <w:vAlign w:val="center"/>
          </w:tcPr>
          <w:p w14:paraId="3D6830EF">
            <w:pPr>
              <w:pStyle w:val="134"/>
              <w:spacing w:beforeLines="0" w:afterLines="0" w:line="240" w:lineRule="auto"/>
              <w:rPr>
                <w:rFonts w:hint="default" w:ascii="Times New Roman" w:eastAsia="宋体"/>
                <w:snapToGrid w:val="0"/>
                <w:color w:val="auto"/>
                <w:szCs w:val="21"/>
                <w:lang w:val="en-US" w:eastAsia="zh-CN"/>
              </w:rPr>
            </w:pPr>
            <w:r>
              <w:rPr>
                <w:rFonts w:hint="eastAsia" w:ascii="Times New Roman"/>
                <w:snapToGrid w:val="0"/>
                <w:color w:val="auto"/>
                <w:szCs w:val="21"/>
                <w:lang w:val="en-US" w:eastAsia="zh-CN"/>
              </w:rPr>
              <w:t>布袋除尘灰</w:t>
            </w:r>
          </w:p>
        </w:tc>
        <w:tc>
          <w:tcPr>
            <w:tcW w:w="1612" w:type="dxa"/>
            <w:vAlign w:val="center"/>
          </w:tcPr>
          <w:p w14:paraId="58D312E8">
            <w:pPr>
              <w:jc w:val="center"/>
              <w:rPr>
                <w:snapToGrid w:val="0"/>
                <w:color w:val="auto"/>
                <w:szCs w:val="21"/>
              </w:rPr>
            </w:pPr>
            <w:r>
              <w:rPr>
                <w:snapToGrid w:val="0"/>
                <w:color w:val="auto"/>
                <w:szCs w:val="21"/>
              </w:rPr>
              <w:t>0</w:t>
            </w:r>
          </w:p>
        </w:tc>
        <w:tc>
          <w:tcPr>
            <w:tcW w:w="1194" w:type="dxa"/>
            <w:vAlign w:val="center"/>
          </w:tcPr>
          <w:p w14:paraId="2B2DE4B1">
            <w:pPr>
              <w:jc w:val="center"/>
              <w:rPr>
                <w:snapToGrid w:val="0"/>
                <w:color w:val="auto"/>
                <w:szCs w:val="21"/>
              </w:rPr>
            </w:pPr>
            <w:r>
              <w:rPr>
                <w:snapToGrid w:val="0"/>
                <w:color w:val="auto"/>
                <w:szCs w:val="21"/>
              </w:rPr>
              <w:t>0</w:t>
            </w:r>
          </w:p>
        </w:tc>
        <w:tc>
          <w:tcPr>
            <w:tcW w:w="1612" w:type="dxa"/>
            <w:vAlign w:val="center"/>
          </w:tcPr>
          <w:p w14:paraId="29647211">
            <w:pPr>
              <w:jc w:val="center"/>
              <w:rPr>
                <w:snapToGrid w:val="0"/>
                <w:color w:val="auto"/>
                <w:szCs w:val="21"/>
              </w:rPr>
            </w:pPr>
            <w:r>
              <w:rPr>
                <w:snapToGrid w:val="0"/>
                <w:color w:val="auto"/>
                <w:szCs w:val="21"/>
              </w:rPr>
              <w:t>0</w:t>
            </w:r>
          </w:p>
        </w:tc>
        <w:tc>
          <w:tcPr>
            <w:tcW w:w="545" w:type="pct"/>
            <w:vAlign w:val="center"/>
          </w:tcPr>
          <w:p w14:paraId="52B472E4">
            <w:pPr>
              <w:jc w:val="center"/>
              <w:rPr>
                <w:rFonts w:hint="default" w:eastAsia="宋体"/>
                <w:color w:val="auto"/>
                <w:szCs w:val="21"/>
                <w:lang w:val="en-US" w:eastAsia="zh-CN" w:bidi="ar"/>
              </w:rPr>
            </w:pPr>
            <w:r>
              <w:rPr>
                <w:rFonts w:hint="eastAsia"/>
                <w:color w:val="auto"/>
                <w:szCs w:val="21"/>
                <w:lang w:val="en-US" w:eastAsia="zh-CN" w:bidi="ar"/>
              </w:rPr>
              <w:t>1.294</w:t>
            </w:r>
          </w:p>
        </w:tc>
        <w:tc>
          <w:tcPr>
            <w:tcW w:w="1526" w:type="dxa"/>
            <w:vAlign w:val="center"/>
          </w:tcPr>
          <w:p w14:paraId="654B72E2">
            <w:pPr>
              <w:jc w:val="center"/>
              <w:rPr>
                <w:snapToGrid w:val="0"/>
                <w:color w:val="auto"/>
                <w:szCs w:val="21"/>
              </w:rPr>
            </w:pPr>
            <w:r>
              <w:rPr>
                <w:snapToGrid w:val="0"/>
                <w:color w:val="auto"/>
                <w:szCs w:val="21"/>
              </w:rPr>
              <w:t>0</w:t>
            </w:r>
          </w:p>
        </w:tc>
        <w:tc>
          <w:tcPr>
            <w:tcW w:w="1697" w:type="dxa"/>
            <w:shd w:val="clear" w:color="auto" w:fill="auto"/>
            <w:vAlign w:val="center"/>
          </w:tcPr>
          <w:p w14:paraId="76B13746">
            <w:pPr>
              <w:jc w:val="center"/>
              <w:rPr>
                <w:color w:val="auto"/>
                <w:kern w:val="0"/>
                <w:szCs w:val="21"/>
                <w:lang w:bidi="ar"/>
              </w:rPr>
            </w:pPr>
            <w:r>
              <w:rPr>
                <w:rFonts w:hint="eastAsia"/>
                <w:color w:val="auto"/>
                <w:szCs w:val="21"/>
                <w:lang w:val="en-US" w:eastAsia="zh-CN" w:bidi="ar"/>
              </w:rPr>
              <w:t>1.294</w:t>
            </w:r>
          </w:p>
        </w:tc>
        <w:tc>
          <w:tcPr>
            <w:tcW w:w="1136" w:type="dxa"/>
            <w:shd w:val="clear" w:color="auto" w:fill="auto"/>
            <w:vAlign w:val="center"/>
          </w:tcPr>
          <w:p w14:paraId="0EAE2491">
            <w:pPr>
              <w:jc w:val="center"/>
              <w:rPr>
                <w:rFonts w:hint="eastAsia" w:ascii="Times New Roman"/>
                <w:bCs/>
                <w:color w:val="auto"/>
                <w:szCs w:val="21"/>
                <w:lang w:val="en-US"/>
              </w:rPr>
            </w:pPr>
            <w:r>
              <w:rPr>
                <w:rFonts w:hint="eastAsia"/>
                <w:color w:val="auto"/>
                <w:szCs w:val="21"/>
                <w:lang w:val="en-US" w:eastAsia="zh-CN" w:bidi="ar"/>
              </w:rPr>
              <w:t>+1.294</w:t>
            </w:r>
          </w:p>
        </w:tc>
      </w:tr>
      <w:tr w14:paraId="318A6C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Align w:val="center"/>
          </w:tcPr>
          <w:p w14:paraId="6ED98BDA">
            <w:pPr>
              <w:pStyle w:val="134"/>
              <w:spacing w:beforeLines="0" w:afterLines="0" w:line="240" w:lineRule="auto"/>
              <w:rPr>
                <w:rFonts w:ascii="Times New Roman"/>
                <w:snapToGrid w:val="0"/>
                <w:color w:val="auto"/>
                <w:szCs w:val="21"/>
                <w:lang w:val="en-US"/>
              </w:rPr>
            </w:pPr>
          </w:p>
        </w:tc>
        <w:tc>
          <w:tcPr>
            <w:tcW w:w="807" w:type="pct"/>
            <w:gridSpan w:val="3"/>
            <w:vAlign w:val="center"/>
          </w:tcPr>
          <w:p w14:paraId="6C868663">
            <w:pPr>
              <w:pStyle w:val="134"/>
              <w:spacing w:beforeLines="0" w:afterLines="0" w:line="240" w:lineRule="auto"/>
              <w:rPr>
                <w:rFonts w:hint="eastAsia" w:ascii="Times New Roman"/>
                <w:snapToGrid w:val="0"/>
                <w:color w:val="auto"/>
                <w:szCs w:val="21"/>
                <w:lang w:val="en-US" w:eastAsia="zh-CN"/>
              </w:rPr>
            </w:pPr>
            <w:r>
              <w:rPr>
                <w:rFonts w:hint="eastAsia" w:ascii="Times New Roman"/>
                <w:snapToGrid w:val="0"/>
                <w:color w:val="auto"/>
                <w:szCs w:val="21"/>
                <w:lang w:val="en-US" w:eastAsia="zh-CN"/>
              </w:rPr>
              <w:t>废布袋</w:t>
            </w:r>
          </w:p>
        </w:tc>
        <w:tc>
          <w:tcPr>
            <w:tcW w:w="1612" w:type="dxa"/>
            <w:vAlign w:val="center"/>
          </w:tcPr>
          <w:p w14:paraId="4B9D86FE">
            <w:pPr>
              <w:jc w:val="center"/>
              <w:rPr>
                <w:snapToGrid w:val="0"/>
                <w:color w:val="auto"/>
                <w:szCs w:val="21"/>
              </w:rPr>
            </w:pPr>
            <w:r>
              <w:rPr>
                <w:snapToGrid w:val="0"/>
                <w:color w:val="auto"/>
                <w:szCs w:val="21"/>
              </w:rPr>
              <w:t>0</w:t>
            </w:r>
          </w:p>
        </w:tc>
        <w:tc>
          <w:tcPr>
            <w:tcW w:w="1194" w:type="dxa"/>
            <w:vAlign w:val="center"/>
          </w:tcPr>
          <w:p w14:paraId="2F7CAF9C">
            <w:pPr>
              <w:jc w:val="center"/>
              <w:rPr>
                <w:snapToGrid w:val="0"/>
                <w:color w:val="auto"/>
                <w:szCs w:val="21"/>
              </w:rPr>
            </w:pPr>
            <w:r>
              <w:rPr>
                <w:snapToGrid w:val="0"/>
                <w:color w:val="auto"/>
                <w:szCs w:val="21"/>
              </w:rPr>
              <w:t>0</w:t>
            </w:r>
          </w:p>
        </w:tc>
        <w:tc>
          <w:tcPr>
            <w:tcW w:w="1612" w:type="dxa"/>
            <w:vAlign w:val="center"/>
          </w:tcPr>
          <w:p w14:paraId="03AD3DCE">
            <w:pPr>
              <w:jc w:val="center"/>
              <w:rPr>
                <w:snapToGrid w:val="0"/>
                <w:color w:val="auto"/>
                <w:szCs w:val="21"/>
              </w:rPr>
            </w:pPr>
            <w:r>
              <w:rPr>
                <w:snapToGrid w:val="0"/>
                <w:color w:val="auto"/>
                <w:szCs w:val="21"/>
              </w:rPr>
              <w:t>0</w:t>
            </w:r>
          </w:p>
        </w:tc>
        <w:tc>
          <w:tcPr>
            <w:tcW w:w="545" w:type="pct"/>
            <w:vAlign w:val="center"/>
          </w:tcPr>
          <w:p w14:paraId="152C9449">
            <w:pPr>
              <w:jc w:val="center"/>
              <w:rPr>
                <w:rFonts w:hint="default" w:eastAsia="宋体"/>
                <w:color w:val="auto"/>
                <w:szCs w:val="21"/>
                <w:lang w:val="en-US" w:eastAsia="zh-CN" w:bidi="ar"/>
              </w:rPr>
            </w:pPr>
            <w:r>
              <w:rPr>
                <w:rFonts w:hint="eastAsia"/>
                <w:color w:val="auto"/>
                <w:szCs w:val="21"/>
                <w:lang w:val="en-US" w:eastAsia="zh-CN" w:bidi="ar"/>
              </w:rPr>
              <w:t>0.0462</w:t>
            </w:r>
          </w:p>
        </w:tc>
        <w:tc>
          <w:tcPr>
            <w:tcW w:w="1526" w:type="dxa"/>
            <w:vAlign w:val="center"/>
          </w:tcPr>
          <w:p w14:paraId="111C4C65">
            <w:pPr>
              <w:jc w:val="center"/>
              <w:rPr>
                <w:snapToGrid w:val="0"/>
                <w:color w:val="auto"/>
                <w:szCs w:val="21"/>
              </w:rPr>
            </w:pPr>
            <w:r>
              <w:rPr>
                <w:snapToGrid w:val="0"/>
                <w:color w:val="auto"/>
                <w:szCs w:val="21"/>
              </w:rPr>
              <w:t>0</w:t>
            </w:r>
          </w:p>
        </w:tc>
        <w:tc>
          <w:tcPr>
            <w:tcW w:w="1697" w:type="dxa"/>
            <w:shd w:val="clear" w:color="auto" w:fill="auto"/>
            <w:vAlign w:val="center"/>
          </w:tcPr>
          <w:p w14:paraId="6659A45E">
            <w:pPr>
              <w:jc w:val="center"/>
              <w:rPr>
                <w:color w:val="auto"/>
                <w:kern w:val="0"/>
                <w:szCs w:val="21"/>
                <w:lang w:bidi="ar"/>
              </w:rPr>
            </w:pPr>
            <w:r>
              <w:rPr>
                <w:rFonts w:hint="eastAsia"/>
                <w:color w:val="auto"/>
                <w:szCs w:val="21"/>
                <w:lang w:val="en-US" w:eastAsia="zh-CN" w:bidi="ar"/>
              </w:rPr>
              <w:t>0.0462</w:t>
            </w:r>
          </w:p>
        </w:tc>
        <w:tc>
          <w:tcPr>
            <w:tcW w:w="1136" w:type="dxa"/>
            <w:shd w:val="clear" w:color="auto" w:fill="auto"/>
            <w:vAlign w:val="center"/>
          </w:tcPr>
          <w:p w14:paraId="6E9833A0">
            <w:pPr>
              <w:jc w:val="center"/>
              <w:rPr>
                <w:rFonts w:hint="eastAsia" w:ascii="Times New Roman"/>
                <w:bCs/>
                <w:color w:val="auto"/>
                <w:szCs w:val="21"/>
                <w:lang w:val="en-US"/>
              </w:rPr>
            </w:pPr>
            <w:r>
              <w:rPr>
                <w:rFonts w:hint="eastAsia"/>
                <w:color w:val="auto"/>
                <w:szCs w:val="21"/>
                <w:lang w:val="en-US" w:eastAsia="zh-CN" w:bidi="ar"/>
              </w:rPr>
              <w:t>+0.0462</w:t>
            </w:r>
          </w:p>
        </w:tc>
      </w:tr>
      <w:tr w14:paraId="573DCB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Merge w:val="restart"/>
            <w:vAlign w:val="center"/>
          </w:tcPr>
          <w:p w14:paraId="7C8FB9F4">
            <w:pPr>
              <w:pStyle w:val="134"/>
              <w:spacing w:beforeLines="0" w:afterLines="0" w:line="240" w:lineRule="auto"/>
              <w:rPr>
                <w:rFonts w:ascii="Times New Roman"/>
                <w:snapToGrid w:val="0"/>
                <w:color w:val="auto"/>
                <w:szCs w:val="21"/>
                <w:lang w:val="en-US"/>
              </w:rPr>
            </w:pPr>
            <w:r>
              <w:rPr>
                <w:rFonts w:ascii="Times New Roman"/>
                <w:snapToGrid w:val="0"/>
                <w:color w:val="auto"/>
                <w:szCs w:val="21"/>
                <w:lang w:val="en-US"/>
              </w:rPr>
              <w:t>危险废物</w:t>
            </w:r>
          </w:p>
        </w:tc>
        <w:tc>
          <w:tcPr>
            <w:tcW w:w="807" w:type="pct"/>
            <w:gridSpan w:val="3"/>
            <w:vAlign w:val="center"/>
          </w:tcPr>
          <w:p w14:paraId="61004655">
            <w:pPr>
              <w:pStyle w:val="134"/>
              <w:spacing w:beforeLines="0" w:afterLines="0" w:line="240" w:lineRule="auto"/>
              <w:rPr>
                <w:rFonts w:ascii="Times New Roman"/>
                <w:snapToGrid w:val="0"/>
                <w:color w:val="auto"/>
                <w:szCs w:val="21"/>
                <w:lang w:val="en-US"/>
              </w:rPr>
            </w:pPr>
            <w:r>
              <w:rPr>
                <w:rFonts w:hint="eastAsia" w:ascii="Times New Roman"/>
                <w:snapToGrid w:val="0"/>
                <w:color w:val="auto"/>
                <w:szCs w:val="21"/>
                <w:lang w:val="en-US"/>
              </w:rPr>
              <w:t>废包装桶</w:t>
            </w:r>
          </w:p>
        </w:tc>
        <w:tc>
          <w:tcPr>
            <w:tcW w:w="597" w:type="pct"/>
            <w:vAlign w:val="center"/>
          </w:tcPr>
          <w:p w14:paraId="3A792356">
            <w:pPr>
              <w:pStyle w:val="134"/>
              <w:spacing w:beforeLines="0" w:afterLines="0" w:line="240" w:lineRule="auto"/>
              <w:rPr>
                <w:rFonts w:ascii="Times New Roman"/>
                <w:snapToGrid w:val="0"/>
                <w:color w:val="auto"/>
                <w:szCs w:val="21"/>
                <w:lang w:val="en-US"/>
              </w:rPr>
            </w:pPr>
            <w:r>
              <w:rPr>
                <w:rFonts w:ascii="Times New Roman"/>
                <w:snapToGrid w:val="0"/>
                <w:color w:val="auto"/>
                <w:szCs w:val="21"/>
                <w:lang w:val="en-US"/>
              </w:rPr>
              <w:t>0</w:t>
            </w:r>
          </w:p>
        </w:tc>
        <w:tc>
          <w:tcPr>
            <w:tcW w:w="442" w:type="pct"/>
            <w:vAlign w:val="center"/>
          </w:tcPr>
          <w:p w14:paraId="02CEAE69">
            <w:pPr>
              <w:pStyle w:val="134"/>
              <w:spacing w:beforeLines="0" w:afterLines="0" w:line="240" w:lineRule="auto"/>
              <w:rPr>
                <w:rFonts w:ascii="Times New Roman"/>
                <w:snapToGrid w:val="0"/>
                <w:color w:val="auto"/>
                <w:szCs w:val="21"/>
                <w:lang w:val="en-US"/>
              </w:rPr>
            </w:pPr>
            <w:r>
              <w:rPr>
                <w:rFonts w:ascii="Times New Roman"/>
                <w:snapToGrid w:val="0"/>
                <w:color w:val="auto"/>
                <w:szCs w:val="21"/>
                <w:lang w:val="en-US"/>
              </w:rPr>
              <w:t>0</w:t>
            </w:r>
          </w:p>
        </w:tc>
        <w:tc>
          <w:tcPr>
            <w:tcW w:w="597" w:type="pct"/>
            <w:vAlign w:val="center"/>
          </w:tcPr>
          <w:p w14:paraId="1354EF7E">
            <w:pPr>
              <w:pStyle w:val="134"/>
              <w:spacing w:beforeLines="0" w:afterLines="0" w:line="240" w:lineRule="auto"/>
              <w:rPr>
                <w:rFonts w:ascii="Times New Roman"/>
                <w:snapToGrid w:val="0"/>
                <w:color w:val="auto"/>
                <w:szCs w:val="21"/>
                <w:lang w:val="en-US"/>
              </w:rPr>
            </w:pPr>
            <w:r>
              <w:rPr>
                <w:rFonts w:ascii="Times New Roman"/>
                <w:snapToGrid w:val="0"/>
                <w:color w:val="auto"/>
                <w:szCs w:val="21"/>
                <w:lang w:val="en-US"/>
              </w:rPr>
              <w:t>0</w:t>
            </w:r>
          </w:p>
        </w:tc>
        <w:tc>
          <w:tcPr>
            <w:tcW w:w="545" w:type="pct"/>
            <w:vAlign w:val="center"/>
          </w:tcPr>
          <w:p w14:paraId="03172D95">
            <w:pPr>
              <w:jc w:val="center"/>
              <w:rPr>
                <w:rFonts w:hint="eastAsia" w:eastAsia="宋体"/>
                <w:snapToGrid w:val="0"/>
                <w:color w:val="auto"/>
                <w:szCs w:val="21"/>
                <w:lang w:eastAsia="zh-CN"/>
              </w:rPr>
            </w:pPr>
            <w:r>
              <w:rPr>
                <w:rFonts w:hint="eastAsia"/>
                <w:color w:val="auto"/>
                <w:szCs w:val="21"/>
                <w:lang w:eastAsia="zh-CN" w:bidi="ar"/>
              </w:rPr>
              <w:t>0.1741</w:t>
            </w:r>
          </w:p>
        </w:tc>
        <w:tc>
          <w:tcPr>
            <w:tcW w:w="565" w:type="pct"/>
            <w:vAlign w:val="center"/>
          </w:tcPr>
          <w:p w14:paraId="5F587DB4">
            <w:pPr>
              <w:pStyle w:val="134"/>
              <w:spacing w:beforeLines="0" w:afterLines="0" w:line="240" w:lineRule="auto"/>
              <w:rPr>
                <w:rFonts w:ascii="Times New Roman"/>
                <w:snapToGrid w:val="0"/>
                <w:color w:val="auto"/>
                <w:szCs w:val="21"/>
                <w:lang w:val="en-US"/>
              </w:rPr>
            </w:pPr>
            <w:r>
              <w:rPr>
                <w:rFonts w:hint="eastAsia" w:ascii="Times New Roman"/>
                <w:snapToGrid w:val="0"/>
                <w:color w:val="auto"/>
                <w:szCs w:val="21"/>
                <w:lang w:val="en-US"/>
              </w:rPr>
              <w:t>0</w:t>
            </w:r>
          </w:p>
        </w:tc>
        <w:tc>
          <w:tcPr>
            <w:tcW w:w="628" w:type="pct"/>
            <w:shd w:val="clear" w:color="auto" w:fill="auto"/>
            <w:vAlign w:val="center"/>
          </w:tcPr>
          <w:p w14:paraId="739853CD">
            <w:pPr>
              <w:jc w:val="center"/>
              <w:rPr>
                <w:rFonts w:hint="eastAsia" w:eastAsia="宋体"/>
                <w:snapToGrid w:val="0"/>
                <w:color w:val="auto"/>
                <w:szCs w:val="21"/>
                <w:lang w:eastAsia="zh-CN"/>
              </w:rPr>
            </w:pPr>
            <w:r>
              <w:rPr>
                <w:rFonts w:hint="eastAsia"/>
                <w:color w:val="auto"/>
                <w:szCs w:val="21"/>
                <w:lang w:eastAsia="zh-CN" w:bidi="ar"/>
              </w:rPr>
              <w:t>0.1741</w:t>
            </w:r>
          </w:p>
        </w:tc>
        <w:tc>
          <w:tcPr>
            <w:tcW w:w="421" w:type="pct"/>
            <w:shd w:val="clear" w:color="auto" w:fill="auto"/>
            <w:vAlign w:val="center"/>
          </w:tcPr>
          <w:p w14:paraId="0998852C">
            <w:pPr>
              <w:pStyle w:val="134"/>
              <w:spacing w:beforeLines="0" w:afterLines="0" w:line="240" w:lineRule="auto"/>
              <w:rPr>
                <w:rFonts w:hint="eastAsia" w:ascii="Times New Roman" w:eastAsia="宋体"/>
                <w:snapToGrid w:val="0"/>
                <w:color w:val="auto"/>
                <w:szCs w:val="21"/>
                <w:lang w:val="en-US" w:eastAsia="zh-CN"/>
              </w:rPr>
            </w:pPr>
            <w:r>
              <w:rPr>
                <w:rFonts w:hint="eastAsia" w:ascii="Times New Roman"/>
                <w:bCs/>
                <w:color w:val="auto"/>
                <w:szCs w:val="21"/>
                <w:lang w:val="en-US"/>
              </w:rPr>
              <w:t>+</w:t>
            </w:r>
            <w:r>
              <w:rPr>
                <w:rFonts w:hint="eastAsia" w:ascii="Times New Roman"/>
                <w:snapToGrid w:val="0"/>
                <w:color w:val="auto"/>
                <w:szCs w:val="21"/>
                <w:lang w:val="en-US" w:eastAsia="zh-CN"/>
              </w:rPr>
              <w:t>0.1741</w:t>
            </w:r>
          </w:p>
        </w:tc>
      </w:tr>
      <w:tr w14:paraId="4AE2C4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Merge w:val="continue"/>
            <w:vAlign w:val="center"/>
          </w:tcPr>
          <w:p w14:paraId="1E1536B3">
            <w:pPr>
              <w:pStyle w:val="134"/>
              <w:spacing w:beforeLines="0" w:afterLines="0" w:line="240" w:lineRule="auto"/>
              <w:rPr>
                <w:rFonts w:ascii="Times New Roman"/>
                <w:snapToGrid w:val="0"/>
                <w:color w:val="auto"/>
                <w:szCs w:val="21"/>
                <w:lang w:val="en-US"/>
              </w:rPr>
            </w:pPr>
          </w:p>
        </w:tc>
        <w:tc>
          <w:tcPr>
            <w:tcW w:w="807" w:type="pct"/>
            <w:gridSpan w:val="3"/>
            <w:vAlign w:val="center"/>
          </w:tcPr>
          <w:p w14:paraId="663209AD">
            <w:pPr>
              <w:pStyle w:val="134"/>
              <w:spacing w:beforeLines="0" w:afterLines="0" w:line="240" w:lineRule="auto"/>
              <w:rPr>
                <w:rFonts w:ascii="Times New Roman"/>
                <w:snapToGrid w:val="0"/>
                <w:color w:val="auto"/>
                <w:szCs w:val="21"/>
                <w:lang w:val="en-US"/>
              </w:rPr>
            </w:pPr>
            <w:r>
              <w:rPr>
                <w:rFonts w:hint="eastAsia" w:ascii="Times New Roman"/>
                <w:snapToGrid w:val="0"/>
                <w:color w:val="auto"/>
                <w:szCs w:val="21"/>
                <w:lang w:val="en-US"/>
              </w:rPr>
              <w:t>废活性炭</w:t>
            </w:r>
          </w:p>
        </w:tc>
        <w:tc>
          <w:tcPr>
            <w:tcW w:w="597" w:type="pct"/>
            <w:vAlign w:val="center"/>
          </w:tcPr>
          <w:p w14:paraId="0E1ADBA0">
            <w:pPr>
              <w:jc w:val="center"/>
              <w:rPr>
                <w:snapToGrid w:val="0"/>
                <w:color w:val="auto"/>
                <w:szCs w:val="21"/>
              </w:rPr>
            </w:pPr>
            <w:r>
              <w:rPr>
                <w:snapToGrid w:val="0"/>
                <w:color w:val="auto"/>
                <w:szCs w:val="21"/>
              </w:rPr>
              <w:t>0</w:t>
            </w:r>
          </w:p>
        </w:tc>
        <w:tc>
          <w:tcPr>
            <w:tcW w:w="442" w:type="pct"/>
            <w:vAlign w:val="center"/>
          </w:tcPr>
          <w:p w14:paraId="73ECEF35">
            <w:pPr>
              <w:jc w:val="center"/>
              <w:rPr>
                <w:snapToGrid w:val="0"/>
                <w:color w:val="auto"/>
                <w:szCs w:val="21"/>
              </w:rPr>
            </w:pPr>
            <w:r>
              <w:rPr>
                <w:snapToGrid w:val="0"/>
                <w:color w:val="auto"/>
                <w:szCs w:val="21"/>
              </w:rPr>
              <w:t>0</w:t>
            </w:r>
          </w:p>
        </w:tc>
        <w:tc>
          <w:tcPr>
            <w:tcW w:w="597" w:type="pct"/>
            <w:vAlign w:val="center"/>
          </w:tcPr>
          <w:p w14:paraId="0D7481A4">
            <w:pPr>
              <w:jc w:val="center"/>
              <w:rPr>
                <w:snapToGrid w:val="0"/>
                <w:color w:val="auto"/>
                <w:szCs w:val="21"/>
              </w:rPr>
            </w:pPr>
            <w:r>
              <w:rPr>
                <w:snapToGrid w:val="0"/>
                <w:color w:val="auto"/>
                <w:szCs w:val="21"/>
              </w:rPr>
              <w:t>0</w:t>
            </w:r>
          </w:p>
        </w:tc>
        <w:tc>
          <w:tcPr>
            <w:tcW w:w="545" w:type="pct"/>
            <w:vAlign w:val="center"/>
          </w:tcPr>
          <w:p w14:paraId="7ECB9652">
            <w:pPr>
              <w:jc w:val="center"/>
              <w:rPr>
                <w:rFonts w:hint="eastAsia" w:eastAsia="宋体"/>
                <w:snapToGrid w:val="0"/>
                <w:color w:val="auto"/>
                <w:szCs w:val="21"/>
                <w:lang w:eastAsia="zh-CN"/>
              </w:rPr>
            </w:pPr>
            <w:r>
              <w:rPr>
                <w:rFonts w:hint="eastAsia"/>
                <w:color w:val="auto"/>
                <w:szCs w:val="21"/>
                <w:lang w:eastAsia="zh-CN" w:bidi="ar"/>
              </w:rPr>
              <w:t>1.1924</w:t>
            </w:r>
          </w:p>
        </w:tc>
        <w:tc>
          <w:tcPr>
            <w:tcW w:w="565" w:type="pct"/>
            <w:vAlign w:val="center"/>
          </w:tcPr>
          <w:p w14:paraId="6815334E">
            <w:pPr>
              <w:jc w:val="center"/>
              <w:rPr>
                <w:snapToGrid w:val="0"/>
                <w:color w:val="auto"/>
                <w:szCs w:val="21"/>
              </w:rPr>
            </w:pPr>
            <w:r>
              <w:rPr>
                <w:snapToGrid w:val="0"/>
                <w:color w:val="auto"/>
                <w:szCs w:val="21"/>
              </w:rPr>
              <w:t>0</w:t>
            </w:r>
          </w:p>
        </w:tc>
        <w:tc>
          <w:tcPr>
            <w:tcW w:w="628" w:type="pct"/>
            <w:shd w:val="clear" w:color="auto" w:fill="auto"/>
            <w:vAlign w:val="center"/>
          </w:tcPr>
          <w:p w14:paraId="3B7C635D">
            <w:pPr>
              <w:jc w:val="center"/>
              <w:rPr>
                <w:rFonts w:hint="eastAsia" w:eastAsia="宋体"/>
                <w:snapToGrid w:val="0"/>
                <w:color w:val="auto"/>
                <w:szCs w:val="21"/>
                <w:lang w:eastAsia="zh-CN"/>
              </w:rPr>
            </w:pPr>
            <w:r>
              <w:rPr>
                <w:rFonts w:hint="eastAsia"/>
                <w:color w:val="auto"/>
                <w:szCs w:val="21"/>
                <w:lang w:eastAsia="zh-CN" w:bidi="ar"/>
              </w:rPr>
              <w:t>1.1924</w:t>
            </w:r>
          </w:p>
        </w:tc>
        <w:tc>
          <w:tcPr>
            <w:tcW w:w="421" w:type="pct"/>
            <w:shd w:val="clear" w:color="auto" w:fill="auto"/>
            <w:vAlign w:val="center"/>
          </w:tcPr>
          <w:p w14:paraId="3AFE5E1A">
            <w:pPr>
              <w:pStyle w:val="134"/>
              <w:spacing w:beforeLines="0" w:afterLines="0" w:line="240" w:lineRule="auto"/>
              <w:rPr>
                <w:rFonts w:hint="eastAsia" w:ascii="Times New Roman" w:eastAsia="宋体"/>
                <w:snapToGrid w:val="0"/>
                <w:color w:val="auto"/>
                <w:szCs w:val="21"/>
                <w:lang w:val="en-US" w:eastAsia="zh-CN"/>
              </w:rPr>
            </w:pPr>
            <w:r>
              <w:rPr>
                <w:rFonts w:hint="eastAsia" w:ascii="Times New Roman"/>
                <w:bCs/>
                <w:color w:val="auto"/>
                <w:szCs w:val="21"/>
                <w:lang w:val="en-US"/>
              </w:rPr>
              <w:t>+</w:t>
            </w:r>
            <w:r>
              <w:rPr>
                <w:rFonts w:hint="eastAsia" w:ascii="Times New Roman"/>
                <w:color w:val="auto"/>
                <w:szCs w:val="21"/>
                <w:lang w:val="en-US" w:eastAsia="zh-CN" w:bidi="ar"/>
              </w:rPr>
              <w:t>1.1924</w:t>
            </w:r>
          </w:p>
        </w:tc>
      </w:tr>
      <w:tr w14:paraId="470A37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Merge w:val="continue"/>
            <w:vAlign w:val="center"/>
          </w:tcPr>
          <w:p w14:paraId="705ACB58">
            <w:pPr>
              <w:pStyle w:val="134"/>
              <w:spacing w:beforeLines="0" w:afterLines="0" w:line="240" w:lineRule="auto"/>
              <w:rPr>
                <w:rFonts w:ascii="Times New Roman"/>
                <w:snapToGrid w:val="0"/>
                <w:color w:val="auto"/>
                <w:szCs w:val="21"/>
                <w:lang w:val="en-US"/>
              </w:rPr>
            </w:pPr>
          </w:p>
        </w:tc>
        <w:tc>
          <w:tcPr>
            <w:tcW w:w="807" w:type="pct"/>
            <w:gridSpan w:val="3"/>
            <w:vAlign w:val="center"/>
          </w:tcPr>
          <w:p w14:paraId="7B903160">
            <w:pPr>
              <w:pStyle w:val="134"/>
              <w:spacing w:beforeLines="0" w:afterLines="0" w:line="240" w:lineRule="auto"/>
              <w:rPr>
                <w:rFonts w:ascii="Times New Roman"/>
                <w:snapToGrid w:val="0"/>
                <w:color w:val="auto"/>
                <w:szCs w:val="21"/>
                <w:lang w:val="en-US"/>
              </w:rPr>
            </w:pPr>
            <w:r>
              <w:rPr>
                <w:rFonts w:hint="eastAsia" w:ascii="Times New Roman"/>
                <w:snapToGrid w:val="0"/>
                <w:color w:val="auto"/>
                <w:szCs w:val="21"/>
                <w:lang w:val="en-US"/>
              </w:rPr>
              <w:t>废润滑油</w:t>
            </w:r>
          </w:p>
        </w:tc>
        <w:tc>
          <w:tcPr>
            <w:tcW w:w="597" w:type="pct"/>
            <w:vAlign w:val="center"/>
          </w:tcPr>
          <w:p w14:paraId="07289C38">
            <w:pPr>
              <w:jc w:val="center"/>
              <w:rPr>
                <w:snapToGrid w:val="0"/>
                <w:color w:val="auto"/>
                <w:szCs w:val="21"/>
              </w:rPr>
            </w:pPr>
            <w:r>
              <w:rPr>
                <w:snapToGrid w:val="0"/>
                <w:color w:val="auto"/>
                <w:szCs w:val="21"/>
              </w:rPr>
              <w:t>0</w:t>
            </w:r>
          </w:p>
        </w:tc>
        <w:tc>
          <w:tcPr>
            <w:tcW w:w="442" w:type="pct"/>
            <w:vAlign w:val="center"/>
          </w:tcPr>
          <w:p w14:paraId="1BFE4ED5">
            <w:pPr>
              <w:jc w:val="center"/>
              <w:rPr>
                <w:snapToGrid w:val="0"/>
                <w:color w:val="auto"/>
                <w:szCs w:val="21"/>
              </w:rPr>
            </w:pPr>
            <w:r>
              <w:rPr>
                <w:snapToGrid w:val="0"/>
                <w:color w:val="auto"/>
                <w:szCs w:val="21"/>
              </w:rPr>
              <w:t>0</w:t>
            </w:r>
          </w:p>
        </w:tc>
        <w:tc>
          <w:tcPr>
            <w:tcW w:w="597" w:type="pct"/>
            <w:vAlign w:val="center"/>
          </w:tcPr>
          <w:p w14:paraId="0D648AE6">
            <w:pPr>
              <w:jc w:val="center"/>
              <w:rPr>
                <w:snapToGrid w:val="0"/>
                <w:color w:val="auto"/>
                <w:szCs w:val="21"/>
              </w:rPr>
            </w:pPr>
            <w:r>
              <w:rPr>
                <w:snapToGrid w:val="0"/>
                <w:color w:val="auto"/>
                <w:szCs w:val="21"/>
              </w:rPr>
              <w:t>0</w:t>
            </w:r>
          </w:p>
        </w:tc>
        <w:tc>
          <w:tcPr>
            <w:tcW w:w="545" w:type="pct"/>
            <w:vAlign w:val="center"/>
          </w:tcPr>
          <w:p w14:paraId="2CDCAC9C">
            <w:pPr>
              <w:jc w:val="center"/>
              <w:rPr>
                <w:snapToGrid w:val="0"/>
                <w:color w:val="auto"/>
                <w:szCs w:val="21"/>
              </w:rPr>
            </w:pPr>
            <w:r>
              <w:rPr>
                <w:rFonts w:hint="eastAsia"/>
                <w:color w:val="auto"/>
                <w:szCs w:val="21"/>
                <w:lang w:bidi="ar"/>
              </w:rPr>
              <w:t>0.1</w:t>
            </w:r>
          </w:p>
        </w:tc>
        <w:tc>
          <w:tcPr>
            <w:tcW w:w="565" w:type="pct"/>
            <w:vAlign w:val="center"/>
          </w:tcPr>
          <w:p w14:paraId="3F038F6A">
            <w:pPr>
              <w:jc w:val="center"/>
              <w:rPr>
                <w:snapToGrid w:val="0"/>
                <w:color w:val="auto"/>
                <w:szCs w:val="21"/>
              </w:rPr>
            </w:pPr>
            <w:r>
              <w:rPr>
                <w:snapToGrid w:val="0"/>
                <w:color w:val="auto"/>
                <w:szCs w:val="21"/>
              </w:rPr>
              <w:t>0</w:t>
            </w:r>
          </w:p>
        </w:tc>
        <w:tc>
          <w:tcPr>
            <w:tcW w:w="628" w:type="pct"/>
            <w:shd w:val="clear" w:color="auto" w:fill="auto"/>
            <w:vAlign w:val="center"/>
          </w:tcPr>
          <w:p w14:paraId="4EF58370">
            <w:pPr>
              <w:jc w:val="center"/>
              <w:rPr>
                <w:snapToGrid w:val="0"/>
                <w:color w:val="auto"/>
                <w:szCs w:val="21"/>
              </w:rPr>
            </w:pPr>
            <w:r>
              <w:rPr>
                <w:rFonts w:hint="eastAsia"/>
                <w:color w:val="auto"/>
                <w:szCs w:val="21"/>
                <w:lang w:bidi="ar"/>
              </w:rPr>
              <w:t>0.1</w:t>
            </w:r>
          </w:p>
        </w:tc>
        <w:tc>
          <w:tcPr>
            <w:tcW w:w="421" w:type="pct"/>
            <w:shd w:val="clear" w:color="auto" w:fill="auto"/>
            <w:vAlign w:val="center"/>
          </w:tcPr>
          <w:p w14:paraId="794211C9">
            <w:pPr>
              <w:pStyle w:val="134"/>
              <w:spacing w:beforeLines="0" w:afterLines="0" w:line="240" w:lineRule="auto"/>
              <w:rPr>
                <w:rFonts w:ascii="Times New Roman"/>
                <w:snapToGrid w:val="0"/>
                <w:color w:val="auto"/>
                <w:szCs w:val="21"/>
                <w:lang w:val="en-US"/>
              </w:rPr>
            </w:pPr>
            <w:r>
              <w:rPr>
                <w:rFonts w:hint="eastAsia" w:ascii="Times New Roman"/>
                <w:bCs/>
                <w:color w:val="auto"/>
                <w:szCs w:val="21"/>
                <w:lang w:val="en-US"/>
              </w:rPr>
              <w:t>+</w:t>
            </w:r>
            <w:r>
              <w:rPr>
                <w:rFonts w:hint="eastAsia" w:ascii="Times New Roman"/>
                <w:snapToGrid w:val="0"/>
                <w:color w:val="auto"/>
                <w:szCs w:val="21"/>
                <w:lang w:val="en-US"/>
              </w:rPr>
              <w:t>0.1</w:t>
            </w:r>
          </w:p>
        </w:tc>
      </w:tr>
      <w:tr w14:paraId="7B5717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Merge w:val="continue"/>
            <w:vAlign w:val="center"/>
          </w:tcPr>
          <w:p w14:paraId="19F9F5EB">
            <w:pPr>
              <w:pStyle w:val="134"/>
              <w:spacing w:beforeLines="0" w:afterLines="0" w:line="240" w:lineRule="auto"/>
              <w:rPr>
                <w:rFonts w:ascii="Times New Roman"/>
                <w:snapToGrid w:val="0"/>
                <w:color w:val="auto"/>
                <w:szCs w:val="21"/>
                <w:lang w:val="en-US"/>
              </w:rPr>
            </w:pPr>
          </w:p>
        </w:tc>
        <w:tc>
          <w:tcPr>
            <w:tcW w:w="807" w:type="pct"/>
            <w:gridSpan w:val="3"/>
            <w:vAlign w:val="center"/>
          </w:tcPr>
          <w:p w14:paraId="5C020F51">
            <w:pPr>
              <w:pStyle w:val="134"/>
              <w:spacing w:beforeLines="0" w:afterLines="0" w:line="240" w:lineRule="auto"/>
              <w:rPr>
                <w:rFonts w:ascii="Times New Roman"/>
                <w:snapToGrid w:val="0"/>
                <w:color w:val="auto"/>
                <w:szCs w:val="21"/>
                <w:lang w:val="en-US"/>
              </w:rPr>
            </w:pPr>
            <w:r>
              <w:rPr>
                <w:rFonts w:hint="eastAsia" w:ascii="Times New Roman"/>
                <w:snapToGrid w:val="0"/>
                <w:color w:val="auto"/>
                <w:szCs w:val="21"/>
                <w:lang w:val="en-US"/>
              </w:rPr>
              <w:t>废切削液</w:t>
            </w:r>
          </w:p>
        </w:tc>
        <w:tc>
          <w:tcPr>
            <w:tcW w:w="597" w:type="pct"/>
            <w:shd w:val="clear" w:color="auto" w:fill="auto"/>
            <w:vAlign w:val="center"/>
          </w:tcPr>
          <w:p w14:paraId="1A72372F">
            <w:pPr>
              <w:jc w:val="center"/>
              <w:rPr>
                <w:snapToGrid w:val="0"/>
                <w:color w:val="auto"/>
                <w:szCs w:val="21"/>
              </w:rPr>
            </w:pPr>
            <w:r>
              <w:rPr>
                <w:snapToGrid w:val="0"/>
                <w:color w:val="auto"/>
                <w:szCs w:val="21"/>
              </w:rPr>
              <w:t>0</w:t>
            </w:r>
          </w:p>
        </w:tc>
        <w:tc>
          <w:tcPr>
            <w:tcW w:w="442" w:type="pct"/>
            <w:shd w:val="clear" w:color="auto" w:fill="auto"/>
            <w:vAlign w:val="center"/>
          </w:tcPr>
          <w:p w14:paraId="45708F3F">
            <w:pPr>
              <w:jc w:val="center"/>
              <w:rPr>
                <w:snapToGrid w:val="0"/>
                <w:color w:val="auto"/>
                <w:szCs w:val="21"/>
              </w:rPr>
            </w:pPr>
            <w:r>
              <w:rPr>
                <w:snapToGrid w:val="0"/>
                <w:color w:val="auto"/>
                <w:szCs w:val="21"/>
              </w:rPr>
              <w:t>0</w:t>
            </w:r>
          </w:p>
        </w:tc>
        <w:tc>
          <w:tcPr>
            <w:tcW w:w="597" w:type="pct"/>
            <w:shd w:val="clear" w:color="auto" w:fill="auto"/>
            <w:vAlign w:val="center"/>
          </w:tcPr>
          <w:p w14:paraId="7029810C">
            <w:pPr>
              <w:jc w:val="center"/>
              <w:rPr>
                <w:snapToGrid w:val="0"/>
                <w:color w:val="auto"/>
                <w:szCs w:val="21"/>
              </w:rPr>
            </w:pPr>
            <w:r>
              <w:rPr>
                <w:snapToGrid w:val="0"/>
                <w:color w:val="auto"/>
                <w:szCs w:val="21"/>
              </w:rPr>
              <w:t>0</w:t>
            </w:r>
          </w:p>
        </w:tc>
        <w:tc>
          <w:tcPr>
            <w:tcW w:w="545" w:type="pct"/>
            <w:vAlign w:val="center"/>
          </w:tcPr>
          <w:p w14:paraId="15555504">
            <w:pPr>
              <w:jc w:val="center"/>
              <w:rPr>
                <w:snapToGrid w:val="0"/>
                <w:color w:val="auto"/>
                <w:szCs w:val="21"/>
              </w:rPr>
            </w:pPr>
            <w:r>
              <w:rPr>
                <w:rFonts w:hint="eastAsia"/>
                <w:color w:val="auto"/>
                <w:szCs w:val="21"/>
                <w:lang w:bidi="ar"/>
              </w:rPr>
              <w:t>0.093</w:t>
            </w:r>
          </w:p>
        </w:tc>
        <w:tc>
          <w:tcPr>
            <w:tcW w:w="565" w:type="pct"/>
            <w:vAlign w:val="center"/>
          </w:tcPr>
          <w:p w14:paraId="77EA9903">
            <w:pPr>
              <w:jc w:val="center"/>
              <w:rPr>
                <w:snapToGrid w:val="0"/>
                <w:color w:val="auto"/>
                <w:szCs w:val="21"/>
              </w:rPr>
            </w:pPr>
            <w:r>
              <w:rPr>
                <w:rFonts w:hint="eastAsia"/>
                <w:snapToGrid w:val="0"/>
                <w:color w:val="auto"/>
                <w:szCs w:val="21"/>
              </w:rPr>
              <w:t>0</w:t>
            </w:r>
          </w:p>
        </w:tc>
        <w:tc>
          <w:tcPr>
            <w:tcW w:w="628" w:type="pct"/>
            <w:shd w:val="clear" w:color="auto" w:fill="auto"/>
            <w:vAlign w:val="center"/>
          </w:tcPr>
          <w:p w14:paraId="2C96C277">
            <w:pPr>
              <w:jc w:val="center"/>
              <w:rPr>
                <w:snapToGrid w:val="0"/>
                <w:color w:val="auto"/>
                <w:szCs w:val="21"/>
              </w:rPr>
            </w:pPr>
            <w:r>
              <w:rPr>
                <w:rFonts w:hint="eastAsia"/>
                <w:color w:val="auto"/>
                <w:szCs w:val="21"/>
                <w:lang w:bidi="ar"/>
              </w:rPr>
              <w:t>0.093</w:t>
            </w:r>
          </w:p>
        </w:tc>
        <w:tc>
          <w:tcPr>
            <w:tcW w:w="421" w:type="pct"/>
            <w:shd w:val="clear" w:color="auto" w:fill="auto"/>
            <w:vAlign w:val="center"/>
          </w:tcPr>
          <w:p w14:paraId="6048589D">
            <w:pPr>
              <w:jc w:val="center"/>
              <w:rPr>
                <w:snapToGrid w:val="0"/>
                <w:color w:val="auto"/>
                <w:szCs w:val="21"/>
              </w:rPr>
            </w:pPr>
            <w:r>
              <w:rPr>
                <w:rFonts w:hint="eastAsia"/>
                <w:color w:val="auto"/>
                <w:szCs w:val="21"/>
                <w:lang w:bidi="ar"/>
              </w:rPr>
              <w:t>+0.093</w:t>
            </w:r>
          </w:p>
        </w:tc>
      </w:tr>
      <w:tr w14:paraId="3B0AF8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4" w:type="pct"/>
            <w:vMerge w:val="continue"/>
            <w:vAlign w:val="center"/>
          </w:tcPr>
          <w:p w14:paraId="19AFAD73">
            <w:pPr>
              <w:pStyle w:val="134"/>
              <w:spacing w:beforeLines="0" w:afterLines="0" w:line="240" w:lineRule="auto"/>
              <w:rPr>
                <w:rFonts w:ascii="Times New Roman"/>
                <w:snapToGrid w:val="0"/>
                <w:color w:val="auto"/>
                <w:szCs w:val="21"/>
                <w:lang w:val="en-US"/>
              </w:rPr>
            </w:pPr>
          </w:p>
        </w:tc>
        <w:tc>
          <w:tcPr>
            <w:tcW w:w="807" w:type="pct"/>
            <w:gridSpan w:val="3"/>
            <w:vAlign w:val="center"/>
          </w:tcPr>
          <w:p w14:paraId="7457A775">
            <w:pPr>
              <w:pStyle w:val="134"/>
              <w:spacing w:beforeLines="0" w:afterLines="0" w:line="240" w:lineRule="auto"/>
              <w:rPr>
                <w:rFonts w:ascii="Times New Roman"/>
                <w:snapToGrid w:val="0"/>
                <w:color w:val="auto"/>
                <w:szCs w:val="21"/>
                <w:lang w:val="en-US"/>
              </w:rPr>
            </w:pPr>
            <w:r>
              <w:rPr>
                <w:rFonts w:hint="eastAsia" w:ascii="Times New Roman"/>
                <w:snapToGrid w:val="0"/>
                <w:color w:val="auto"/>
                <w:szCs w:val="21"/>
                <w:lang w:val="en-US"/>
              </w:rPr>
              <w:t>废过滤棉</w:t>
            </w:r>
          </w:p>
        </w:tc>
        <w:tc>
          <w:tcPr>
            <w:tcW w:w="597" w:type="pct"/>
            <w:shd w:val="clear" w:color="auto" w:fill="auto"/>
            <w:vAlign w:val="center"/>
          </w:tcPr>
          <w:p w14:paraId="0FF3C005">
            <w:pPr>
              <w:jc w:val="center"/>
              <w:rPr>
                <w:snapToGrid w:val="0"/>
                <w:color w:val="auto"/>
                <w:szCs w:val="21"/>
              </w:rPr>
            </w:pPr>
            <w:r>
              <w:rPr>
                <w:rFonts w:hint="eastAsia"/>
                <w:snapToGrid w:val="0"/>
                <w:color w:val="auto"/>
                <w:szCs w:val="21"/>
              </w:rPr>
              <w:t>0</w:t>
            </w:r>
          </w:p>
        </w:tc>
        <w:tc>
          <w:tcPr>
            <w:tcW w:w="442" w:type="pct"/>
            <w:shd w:val="clear" w:color="auto" w:fill="auto"/>
            <w:vAlign w:val="center"/>
          </w:tcPr>
          <w:p w14:paraId="1638E9D4">
            <w:pPr>
              <w:jc w:val="center"/>
              <w:rPr>
                <w:snapToGrid w:val="0"/>
                <w:color w:val="auto"/>
                <w:szCs w:val="21"/>
              </w:rPr>
            </w:pPr>
            <w:r>
              <w:rPr>
                <w:rFonts w:hint="eastAsia"/>
                <w:snapToGrid w:val="0"/>
                <w:color w:val="auto"/>
                <w:szCs w:val="21"/>
              </w:rPr>
              <w:t>0</w:t>
            </w:r>
          </w:p>
        </w:tc>
        <w:tc>
          <w:tcPr>
            <w:tcW w:w="597" w:type="pct"/>
            <w:shd w:val="clear" w:color="auto" w:fill="auto"/>
            <w:vAlign w:val="center"/>
          </w:tcPr>
          <w:p w14:paraId="21DEDF49">
            <w:pPr>
              <w:jc w:val="center"/>
              <w:rPr>
                <w:snapToGrid w:val="0"/>
                <w:color w:val="auto"/>
                <w:szCs w:val="21"/>
              </w:rPr>
            </w:pPr>
            <w:r>
              <w:rPr>
                <w:rFonts w:hint="eastAsia"/>
                <w:snapToGrid w:val="0"/>
                <w:color w:val="auto"/>
                <w:szCs w:val="21"/>
              </w:rPr>
              <w:t>0</w:t>
            </w:r>
          </w:p>
        </w:tc>
        <w:tc>
          <w:tcPr>
            <w:tcW w:w="545" w:type="pct"/>
            <w:vAlign w:val="center"/>
          </w:tcPr>
          <w:p w14:paraId="5FF63BA8">
            <w:pPr>
              <w:jc w:val="center"/>
              <w:rPr>
                <w:rFonts w:hint="eastAsia" w:eastAsia="宋体"/>
                <w:snapToGrid w:val="0"/>
                <w:color w:val="auto"/>
                <w:szCs w:val="21"/>
                <w:lang w:eastAsia="zh-CN"/>
              </w:rPr>
            </w:pPr>
            <w:r>
              <w:rPr>
                <w:rFonts w:hint="eastAsia"/>
                <w:color w:val="auto"/>
                <w:szCs w:val="21"/>
                <w:lang w:eastAsia="zh-CN" w:bidi="ar"/>
              </w:rPr>
              <w:t>0.7591</w:t>
            </w:r>
          </w:p>
        </w:tc>
        <w:tc>
          <w:tcPr>
            <w:tcW w:w="565" w:type="pct"/>
            <w:vAlign w:val="center"/>
          </w:tcPr>
          <w:p w14:paraId="57CC2BCA">
            <w:pPr>
              <w:jc w:val="center"/>
              <w:rPr>
                <w:rFonts w:hint="eastAsia" w:eastAsia="宋体"/>
                <w:snapToGrid w:val="0"/>
                <w:color w:val="auto"/>
                <w:szCs w:val="21"/>
                <w:lang w:val="en-US" w:eastAsia="zh-CN"/>
              </w:rPr>
            </w:pPr>
            <w:r>
              <w:rPr>
                <w:rFonts w:hint="eastAsia"/>
                <w:snapToGrid w:val="0"/>
                <w:color w:val="auto"/>
                <w:szCs w:val="21"/>
                <w:lang w:val="en-US" w:eastAsia="zh-CN"/>
              </w:rPr>
              <w:t>0</w:t>
            </w:r>
          </w:p>
        </w:tc>
        <w:tc>
          <w:tcPr>
            <w:tcW w:w="628" w:type="pct"/>
            <w:shd w:val="clear" w:color="auto" w:fill="auto"/>
            <w:vAlign w:val="center"/>
          </w:tcPr>
          <w:p w14:paraId="7B0424D4">
            <w:pPr>
              <w:jc w:val="center"/>
              <w:rPr>
                <w:rFonts w:hint="eastAsia" w:eastAsia="宋体"/>
                <w:snapToGrid w:val="0"/>
                <w:color w:val="auto"/>
                <w:szCs w:val="21"/>
                <w:lang w:eastAsia="zh-CN"/>
              </w:rPr>
            </w:pPr>
            <w:r>
              <w:rPr>
                <w:rFonts w:hint="eastAsia"/>
                <w:color w:val="auto"/>
                <w:szCs w:val="21"/>
                <w:lang w:eastAsia="zh-CN" w:bidi="ar"/>
              </w:rPr>
              <w:t>0.7591</w:t>
            </w:r>
          </w:p>
        </w:tc>
        <w:tc>
          <w:tcPr>
            <w:tcW w:w="421" w:type="pct"/>
            <w:shd w:val="clear" w:color="auto" w:fill="auto"/>
            <w:vAlign w:val="center"/>
          </w:tcPr>
          <w:p w14:paraId="3C4FF10A">
            <w:pPr>
              <w:jc w:val="center"/>
              <w:rPr>
                <w:rFonts w:hint="eastAsia" w:eastAsia="宋体"/>
                <w:bCs/>
                <w:color w:val="auto"/>
                <w:szCs w:val="21"/>
                <w:lang w:eastAsia="zh-CN"/>
              </w:rPr>
            </w:pPr>
            <w:r>
              <w:rPr>
                <w:rFonts w:hint="eastAsia"/>
                <w:color w:val="auto"/>
                <w:szCs w:val="21"/>
                <w:lang w:bidi="ar"/>
              </w:rPr>
              <w:t>+</w:t>
            </w:r>
            <w:r>
              <w:rPr>
                <w:rFonts w:hint="eastAsia"/>
                <w:color w:val="auto"/>
                <w:szCs w:val="21"/>
                <w:lang w:eastAsia="zh-CN" w:bidi="ar"/>
              </w:rPr>
              <w:t>0.7591</w:t>
            </w:r>
          </w:p>
        </w:tc>
      </w:tr>
    </w:tbl>
    <w:p w14:paraId="274466AA">
      <w:pPr>
        <w:pStyle w:val="134"/>
        <w:spacing w:before="249" w:beforeLines="80" w:after="31" w:line="240" w:lineRule="auto"/>
        <w:jc w:val="left"/>
        <w:rPr>
          <w:b/>
          <w:snapToGrid w:val="0"/>
          <w:color w:val="auto"/>
          <w:sz w:val="24"/>
          <w:lang w:val="en-US"/>
        </w:rPr>
      </w:pPr>
      <w:r>
        <w:rPr>
          <w:rFonts w:ascii="Times New Roman"/>
          <w:snapToGrid w:val="0"/>
          <w:color w:val="auto"/>
          <w:kern w:val="21"/>
          <w:szCs w:val="21"/>
        </w:rPr>
        <w:t>注</w:t>
      </w:r>
      <w:r>
        <w:rPr>
          <w:rFonts w:ascii="Times New Roman"/>
          <w:snapToGrid w:val="0"/>
          <w:color w:val="auto"/>
          <w:kern w:val="21"/>
          <w:szCs w:val="21"/>
          <w:lang w:val="en-US"/>
        </w:rPr>
        <w:t>：</w:t>
      </w:r>
      <w:r>
        <w:rPr>
          <w:rFonts w:ascii="Times New Roman"/>
          <w:snapToGrid w:val="0"/>
          <w:color w:val="auto"/>
          <w:spacing w:val="-16"/>
          <w:kern w:val="21"/>
          <w:szCs w:val="21"/>
        </w:rPr>
        <w:fldChar w:fldCharType="begin"/>
      </w:r>
      <w:r>
        <w:rPr>
          <w:rFonts w:ascii="Times New Roman"/>
          <w:snapToGrid w:val="0"/>
          <w:color w:val="auto"/>
          <w:spacing w:val="-16"/>
          <w:kern w:val="21"/>
          <w:szCs w:val="21"/>
          <w:lang w:val="en-US"/>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lang w:val="en-US"/>
        </w:rPr>
        <w:t>⑥</w:t>
      </w:r>
      <w:r>
        <w:rPr>
          <w:rFonts w:ascii="Times New Roman"/>
          <w:snapToGrid w:val="0"/>
          <w:color w:val="auto"/>
          <w:spacing w:val="-16"/>
          <w:kern w:val="21"/>
          <w:szCs w:val="21"/>
        </w:rPr>
        <w:fldChar w:fldCharType="end"/>
      </w:r>
      <w:r>
        <w:rPr>
          <w:rFonts w:ascii="Times New Roman"/>
          <w:snapToGrid w:val="0"/>
          <w:color w:val="auto"/>
          <w:spacing w:val="-16"/>
          <w:kern w:val="21"/>
          <w:szCs w:val="21"/>
          <w:lang w:val="en-US"/>
        </w:rPr>
        <w:t>=</w:t>
      </w:r>
      <w:r>
        <w:rPr>
          <w:rFonts w:ascii="Times New Roman"/>
          <w:snapToGrid w:val="0"/>
          <w:color w:val="auto"/>
          <w:spacing w:val="-6"/>
          <w:kern w:val="21"/>
          <w:szCs w:val="21"/>
        </w:rPr>
        <w:fldChar w:fldCharType="begin"/>
      </w:r>
      <w:r>
        <w:rPr>
          <w:rFonts w:ascii="Times New Roman"/>
          <w:snapToGrid w:val="0"/>
          <w:color w:val="auto"/>
          <w:spacing w:val="-6"/>
          <w:kern w:val="21"/>
          <w:szCs w:val="21"/>
          <w:lang w:val="en-US"/>
        </w:rPr>
        <w:instrText xml:space="preserve"> = 1 \* GB3 \* MERGEFORMAT </w:instrText>
      </w:r>
      <w:r>
        <w:rPr>
          <w:rFonts w:ascii="Times New Roman"/>
          <w:snapToGrid w:val="0"/>
          <w:color w:val="auto"/>
          <w:spacing w:val="-6"/>
          <w:kern w:val="21"/>
          <w:szCs w:val="21"/>
        </w:rPr>
        <w:fldChar w:fldCharType="separate"/>
      </w:r>
      <w:r>
        <w:rPr>
          <w:rFonts w:ascii="Times New Roman"/>
          <w:color w:val="auto"/>
          <w:szCs w:val="21"/>
          <w:lang w:val="en-US"/>
        </w:rPr>
        <w:t>①</w:t>
      </w:r>
      <w:r>
        <w:rPr>
          <w:rFonts w:ascii="Times New Roman"/>
          <w:snapToGrid w:val="0"/>
          <w:color w:val="auto"/>
          <w:spacing w:val="-6"/>
          <w:kern w:val="21"/>
          <w:szCs w:val="21"/>
        </w:rPr>
        <w:fldChar w:fldCharType="end"/>
      </w:r>
      <w:r>
        <w:rPr>
          <w:rFonts w:ascii="Times New Roman"/>
          <w:snapToGrid w:val="0"/>
          <w:color w:val="auto"/>
          <w:spacing w:val="-6"/>
          <w:kern w:val="21"/>
          <w:szCs w:val="21"/>
          <w:lang w:val="en-US"/>
        </w:rPr>
        <w:t>+</w:t>
      </w:r>
      <w:r>
        <w:rPr>
          <w:rFonts w:ascii="Times New Roman"/>
          <w:snapToGrid w:val="0"/>
          <w:color w:val="auto"/>
          <w:spacing w:val="-6"/>
          <w:kern w:val="21"/>
          <w:szCs w:val="21"/>
        </w:rPr>
        <w:fldChar w:fldCharType="begin"/>
      </w:r>
      <w:r>
        <w:rPr>
          <w:rFonts w:ascii="Times New Roman"/>
          <w:snapToGrid w:val="0"/>
          <w:color w:val="auto"/>
          <w:spacing w:val="-6"/>
          <w:kern w:val="21"/>
          <w:szCs w:val="21"/>
          <w:lang w:val="en-US"/>
        </w:rPr>
        <w:instrText xml:space="preserve"> = 3 \* GB3 \* MERGEFORMAT </w:instrText>
      </w:r>
      <w:r>
        <w:rPr>
          <w:rFonts w:ascii="Times New Roman"/>
          <w:snapToGrid w:val="0"/>
          <w:color w:val="auto"/>
          <w:spacing w:val="-6"/>
          <w:kern w:val="21"/>
          <w:szCs w:val="21"/>
        </w:rPr>
        <w:fldChar w:fldCharType="separate"/>
      </w:r>
      <w:r>
        <w:rPr>
          <w:rFonts w:ascii="Times New Roman"/>
          <w:color w:val="auto"/>
          <w:szCs w:val="21"/>
          <w:lang w:val="en-US"/>
        </w:rPr>
        <w:t>③</w:t>
      </w:r>
      <w:r>
        <w:rPr>
          <w:rFonts w:ascii="Times New Roman"/>
          <w:snapToGrid w:val="0"/>
          <w:color w:val="auto"/>
          <w:spacing w:val="-6"/>
          <w:kern w:val="21"/>
          <w:szCs w:val="21"/>
        </w:rPr>
        <w:fldChar w:fldCharType="end"/>
      </w:r>
      <w:r>
        <w:rPr>
          <w:rFonts w:ascii="Times New Roman"/>
          <w:snapToGrid w:val="0"/>
          <w:color w:val="auto"/>
          <w:spacing w:val="-6"/>
          <w:kern w:val="21"/>
          <w:szCs w:val="21"/>
          <w:lang w:val="en-US"/>
        </w:rPr>
        <w:t>+</w:t>
      </w:r>
      <w:r>
        <w:rPr>
          <w:rFonts w:ascii="Times New Roman"/>
          <w:snapToGrid w:val="0"/>
          <w:color w:val="auto"/>
          <w:spacing w:val="-6"/>
          <w:kern w:val="21"/>
          <w:szCs w:val="21"/>
        </w:rPr>
        <w:fldChar w:fldCharType="begin"/>
      </w:r>
      <w:r>
        <w:rPr>
          <w:rFonts w:ascii="Times New Roman"/>
          <w:snapToGrid w:val="0"/>
          <w:color w:val="auto"/>
          <w:spacing w:val="-6"/>
          <w:kern w:val="21"/>
          <w:szCs w:val="21"/>
          <w:lang w:val="en-US"/>
        </w:rPr>
        <w:instrText xml:space="preserve"> = 4 \* GB3 \* MERGEFORMAT </w:instrText>
      </w:r>
      <w:r>
        <w:rPr>
          <w:rFonts w:ascii="Times New Roman"/>
          <w:snapToGrid w:val="0"/>
          <w:color w:val="auto"/>
          <w:spacing w:val="-6"/>
          <w:kern w:val="21"/>
          <w:szCs w:val="21"/>
        </w:rPr>
        <w:fldChar w:fldCharType="separate"/>
      </w:r>
      <w:r>
        <w:rPr>
          <w:rFonts w:ascii="Times New Roman"/>
          <w:color w:val="auto"/>
          <w:szCs w:val="21"/>
          <w:lang w:val="en-US"/>
        </w:rPr>
        <w:t>④</w:t>
      </w:r>
      <w:r>
        <w:rPr>
          <w:rFonts w:ascii="Times New Roman"/>
          <w:snapToGrid w:val="0"/>
          <w:color w:val="auto"/>
          <w:spacing w:val="-6"/>
          <w:kern w:val="21"/>
          <w:szCs w:val="21"/>
        </w:rPr>
        <w:fldChar w:fldCharType="end"/>
      </w:r>
      <w:r>
        <w:rPr>
          <w:rFonts w:ascii="Times New Roman"/>
          <w:snapToGrid w:val="0"/>
          <w:color w:val="auto"/>
          <w:spacing w:val="-6"/>
          <w:kern w:val="21"/>
          <w:szCs w:val="21"/>
          <w:lang w:val="en-US"/>
        </w:rPr>
        <w:t>-</w:t>
      </w:r>
      <w:r>
        <w:rPr>
          <w:rFonts w:ascii="Times New Roman"/>
          <w:snapToGrid w:val="0"/>
          <w:color w:val="auto"/>
          <w:spacing w:val="-16"/>
          <w:kern w:val="21"/>
          <w:szCs w:val="21"/>
        </w:rPr>
        <w:fldChar w:fldCharType="begin"/>
      </w:r>
      <w:r>
        <w:rPr>
          <w:rFonts w:ascii="Times New Roman"/>
          <w:snapToGrid w:val="0"/>
          <w:color w:val="auto"/>
          <w:spacing w:val="-16"/>
          <w:kern w:val="21"/>
          <w:szCs w:val="21"/>
          <w:lang w:val="en-US"/>
        </w:rPr>
        <w:instrText xml:space="preserve"> = 5 \* GB3 \* MERGEFORMAT </w:instrText>
      </w:r>
      <w:r>
        <w:rPr>
          <w:rFonts w:ascii="Times New Roman"/>
          <w:snapToGrid w:val="0"/>
          <w:color w:val="auto"/>
          <w:spacing w:val="-16"/>
          <w:kern w:val="21"/>
          <w:szCs w:val="21"/>
        </w:rPr>
        <w:fldChar w:fldCharType="separate"/>
      </w:r>
      <w:r>
        <w:rPr>
          <w:rFonts w:ascii="Times New Roman"/>
          <w:color w:val="auto"/>
          <w:szCs w:val="21"/>
          <w:lang w:val="en-US"/>
        </w:rPr>
        <w:t>⑤</w:t>
      </w:r>
      <w:r>
        <w:rPr>
          <w:rFonts w:ascii="Times New Roman"/>
          <w:snapToGrid w:val="0"/>
          <w:color w:val="auto"/>
          <w:spacing w:val="-16"/>
          <w:kern w:val="21"/>
          <w:szCs w:val="21"/>
        </w:rPr>
        <w:fldChar w:fldCharType="end"/>
      </w:r>
      <w:r>
        <w:rPr>
          <w:rFonts w:ascii="Times New Roman"/>
          <w:snapToGrid w:val="0"/>
          <w:color w:val="auto"/>
          <w:spacing w:val="-16"/>
          <w:kern w:val="21"/>
          <w:szCs w:val="21"/>
          <w:lang w:val="en-US"/>
        </w:rPr>
        <w:t>；</w:t>
      </w:r>
      <w:r>
        <w:rPr>
          <w:rFonts w:ascii="Times New Roman"/>
          <w:snapToGrid w:val="0"/>
          <w:color w:val="auto"/>
          <w:spacing w:val="-6"/>
          <w:kern w:val="21"/>
          <w:szCs w:val="21"/>
        </w:rPr>
        <w:fldChar w:fldCharType="begin"/>
      </w:r>
      <w:r>
        <w:rPr>
          <w:rFonts w:ascii="Times New Roman"/>
          <w:snapToGrid w:val="0"/>
          <w:color w:val="auto"/>
          <w:spacing w:val="-6"/>
          <w:kern w:val="21"/>
          <w:szCs w:val="21"/>
          <w:lang w:val="en-US"/>
        </w:rPr>
        <w:instrText xml:space="preserve"> = 7 \* GB3 \* MERGEFORMAT </w:instrText>
      </w:r>
      <w:r>
        <w:rPr>
          <w:rFonts w:ascii="Times New Roman"/>
          <w:snapToGrid w:val="0"/>
          <w:color w:val="auto"/>
          <w:spacing w:val="-6"/>
          <w:kern w:val="21"/>
          <w:szCs w:val="21"/>
        </w:rPr>
        <w:fldChar w:fldCharType="separate"/>
      </w:r>
      <w:r>
        <w:rPr>
          <w:rFonts w:ascii="Times New Roman"/>
          <w:color w:val="auto"/>
          <w:szCs w:val="21"/>
          <w:lang w:val="en-US"/>
        </w:rPr>
        <w:t>⑦</w:t>
      </w:r>
      <w:r>
        <w:rPr>
          <w:rFonts w:ascii="Times New Roman"/>
          <w:snapToGrid w:val="0"/>
          <w:color w:val="auto"/>
          <w:spacing w:val="-6"/>
          <w:kern w:val="21"/>
          <w:szCs w:val="21"/>
        </w:rPr>
        <w:fldChar w:fldCharType="end"/>
      </w:r>
      <w:r>
        <w:rPr>
          <w:rFonts w:ascii="Times New Roman"/>
          <w:snapToGrid w:val="0"/>
          <w:color w:val="auto"/>
          <w:spacing w:val="-6"/>
          <w:kern w:val="21"/>
          <w:szCs w:val="21"/>
          <w:lang w:val="en-US"/>
        </w:rPr>
        <w:t>=</w:t>
      </w:r>
      <w:r>
        <w:rPr>
          <w:rFonts w:ascii="Times New Roman"/>
          <w:snapToGrid w:val="0"/>
          <w:color w:val="auto"/>
          <w:spacing w:val="-16"/>
          <w:kern w:val="21"/>
          <w:szCs w:val="21"/>
        </w:rPr>
        <w:fldChar w:fldCharType="begin"/>
      </w:r>
      <w:r>
        <w:rPr>
          <w:rFonts w:ascii="Times New Roman"/>
          <w:snapToGrid w:val="0"/>
          <w:color w:val="auto"/>
          <w:spacing w:val="-16"/>
          <w:kern w:val="21"/>
          <w:szCs w:val="21"/>
          <w:lang w:val="en-US"/>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lang w:val="en-US"/>
        </w:rPr>
        <w:t>⑥</w:t>
      </w:r>
      <w:r>
        <w:rPr>
          <w:rFonts w:ascii="Times New Roman"/>
          <w:snapToGrid w:val="0"/>
          <w:color w:val="auto"/>
          <w:spacing w:val="-16"/>
          <w:kern w:val="21"/>
          <w:szCs w:val="21"/>
        </w:rPr>
        <w:fldChar w:fldCharType="end"/>
      </w:r>
      <w:r>
        <w:rPr>
          <w:rFonts w:ascii="Times New Roman"/>
          <w:snapToGrid w:val="0"/>
          <w:color w:val="auto"/>
          <w:spacing w:val="-16"/>
          <w:kern w:val="21"/>
          <w:szCs w:val="21"/>
          <w:lang w:val="en-US"/>
        </w:rPr>
        <w:t>-</w:t>
      </w:r>
      <w:r>
        <w:rPr>
          <w:rFonts w:ascii="Times New Roman"/>
          <w:snapToGrid w:val="0"/>
          <w:color w:val="auto"/>
          <w:spacing w:val="-6"/>
          <w:kern w:val="21"/>
          <w:szCs w:val="21"/>
        </w:rPr>
        <w:fldChar w:fldCharType="begin"/>
      </w:r>
      <w:r>
        <w:rPr>
          <w:rFonts w:ascii="Times New Roman"/>
          <w:snapToGrid w:val="0"/>
          <w:color w:val="auto"/>
          <w:spacing w:val="-6"/>
          <w:kern w:val="21"/>
          <w:szCs w:val="21"/>
          <w:lang w:val="en-US"/>
        </w:rPr>
        <w:instrText xml:space="preserve"> = 1 \* GB3 \* MERGEFORMAT </w:instrText>
      </w:r>
      <w:r>
        <w:rPr>
          <w:rFonts w:ascii="Times New Roman"/>
          <w:snapToGrid w:val="0"/>
          <w:color w:val="auto"/>
          <w:spacing w:val="-6"/>
          <w:kern w:val="21"/>
          <w:szCs w:val="21"/>
        </w:rPr>
        <w:fldChar w:fldCharType="separate"/>
      </w:r>
      <w:r>
        <w:rPr>
          <w:rFonts w:ascii="Times New Roman"/>
          <w:color w:val="auto"/>
          <w:szCs w:val="21"/>
          <w:lang w:val="en-US"/>
        </w:rPr>
        <w:t>①</w:t>
      </w:r>
      <w:r>
        <w:rPr>
          <w:rFonts w:ascii="Times New Roman"/>
          <w:snapToGrid w:val="0"/>
          <w:color w:val="auto"/>
          <w:spacing w:val="-6"/>
          <w:kern w:val="21"/>
          <w:szCs w:val="21"/>
        </w:rPr>
        <w:fldChar w:fldCharType="end"/>
      </w:r>
    </w:p>
    <w:sectPr>
      <w:footerReference r:id="rId8"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Arial Black">
    <w:panose1 w:val="020B0A04020102020204"/>
    <w:charset w:val="00"/>
    <w:family w:val="swiss"/>
    <w:pitch w:val="default"/>
    <w:sig w:usb0="A00002AF" w:usb1="400078FB" w:usb2="00000000" w:usb3="00000000" w:csb0="6000009F" w:csb1="DFD70000"/>
  </w:font>
  <w:font w:name="幼圆">
    <w:altName w:val="宋体"/>
    <w:panose1 w:val="02010509060101010101"/>
    <w:charset w:val="86"/>
    <w:family w:val="modern"/>
    <w:pitch w:val="default"/>
    <w:sig w:usb0="00000000" w:usb1="00000000" w:usb2="00000000" w:usb3="00000000" w:csb0="00040000" w:csb1="00000000"/>
  </w:font>
  <w:font w:name="ˎ̥">
    <w:altName w:val="微软雅黑"/>
    <w:panose1 w:val="00000000000000000000"/>
    <w:charset w:val="00"/>
    <w:family w:val="roman"/>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Bookman Old Style">
    <w:altName w:val="Segoe Print"/>
    <w:panose1 w:val="02050604050505020204"/>
    <w:charset w:val="00"/>
    <w:family w:val="roman"/>
    <w:pitch w:val="default"/>
    <w:sig w:usb0="00000000" w:usb1="00000000" w:usb2="00000000" w:usb3="00000000" w:csb0="2000009F" w:csb1="DFD70000"/>
  </w:font>
  <w:font w:name="华文楷体">
    <w:altName w:val="宋体"/>
    <w:panose1 w:val="02010600040101010101"/>
    <w:charset w:val="86"/>
    <w:family w:val="auto"/>
    <w:pitch w:val="default"/>
    <w:sig w:usb0="00000000" w:usb1="00000000" w:usb2="00000000" w:usb3="00000000" w:csb0="0004009F" w:csb1="DFD70000"/>
  </w:font>
  <w:font w:name="Arial Narrow">
    <w:altName w:val="Arial"/>
    <w:panose1 w:val="020B0606020202030204"/>
    <w:charset w:val="00"/>
    <w:family w:val="swiss"/>
    <w:pitch w:val="default"/>
    <w:sig w:usb0="00000000"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MS Shell Dlg">
    <w:altName w:val="Microsoft Sans Serif"/>
    <w:panose1 w:val="020B0604020202020204"/>
    <w:charset w:val="00"/>
    <w:family w:val="swiss"/>
    <w:pitch w:val="default"/>
    <w:sig w:usb0="00000000" w:usb1="00000000" w:usb2="00000029" w:usb3="00000000" w:csb0="000101FF" w:csb1="00000000"/>
  </w:font>
  <w:font w:name="Microsoft Sans Serif">
    <w:panose1 w:val="020B0604020202020204"/>
    <w:charset w:val="00"/>
    <w:family w:val="auto"/>
    <w:pitch w:val="default"/>
    <w:sig w:usb0="E5002EFF" w:usb1="C000605B" w:usb2="00000029" w:usb3="00000000" w:csb0="200101FF" w:csb1="20280000"/>
  </w:font>
  <w:font w:name="PMingLiU">
    <w:altName w:val="PMingLiU-ExtB"/>
    <w:panose1 w:val="02020500000000000000"/>
    <w:charset w:val="88"/>
    <w:family w:val="roman"/>
    <w:pitch w:val="default"/>
    <w:sig w:usb0="00000000" w:usb1="00000000" w:usb2="00000016" w:usb3="00000000" w:csb0="00100001" w:csb1="00000000"/>
  </w:font>
  <w:font w:name="仿宋体">
    <w:altName w:val="宋体"/>
    <w:panose1 w:val="00000000000000000000"/>
    <w:charset w:val="86"/>
    <w:family w:val="roman"/>
    <w:pitch w:val="default"/>
    <w:sig w:usb0="00000000" w:usb1="00000000" w:usb2="00000010" w:usb3="00000000" w:csb0="00040000" w:csb1="00000000"/>
  </w:font>
  <w:font w:name="汉鼎简书宋">
    <w:altName w:val="宋体"/>
    <w:panose1 w:val="00000000000000000000"/>
    <w:charset w:val="86"/>
    <w:family w:val="modern"/>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Times New Roman;Symbol;Arial;婼">
    <w:altName w:val="黑体"/>
    <w:panose1 w:val="00000000000000000000"/>
    <w:charset w:val="86"/>
    <w:family w:val="auto"/>
    <w:pitch w:val="default"/>
    <w:sig w:usb0="00000000" w:usb1="00000000" w:usb2="00000010" w:usb3="00000000" w:csb0="00040000" w:csb1="00000000"/>
  </w:font>
  <w:font w:name="文鼎CS中宋">
    <w:altName w:val="宋体"/>
    <w:panose1 w:val="00000000000000000000"/>
    <w:charset w:val="86"/>
    <w:family w:val="auto"/>
    <w:pitch w:val="default"/>
    <w:sig w:usb0="00000000" w:usb1="00000000" w:usb2="00000010" w:usb3="00000000" w:csb0="00040000" w:csb1="00000000"/>
  </w:font>
  <w:font w:name="文鼎大标宋简">
    <w:altName w:val="宋体"/>
    <w:panose1 w:val="00000000000000000000"/>
    <w:charset w:val="86"/>
    <w:family w:val="moder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Times New Roman”“">
    <w:altName w:val="宋体"/>
    <w:panose1 w:val="00000000000000000000"/>
    <w:charset w:val="86"/>
    <w:family w:val="roman"/>
    <w:pitch w:val="default"/>
    <w:sig w:usb0="00000000" w:usb1="00000000" w:usb2="00000010" w:usb3="00000000" w:csb0="00040000" w:csb1="00000000"/>
  </w:font>
  <w:font w:name="Courier">
    <w:altName w:val="Courier New"/>
    <w:panose1 w:val="02070409020205020404"/>
    <w:charset w:val="00"/>
    <w:family w:val="modern"/>
    <w:pitch w:val="default"/>
    <w:sig w:usb0="00000000" w:usb1="00000000" w:usb2="00000000" w:usb3="00000000" w:csb0="00000001" w:csb1="00000000"/>
  </w:font>
  <w:font w:name="Alaska">
    <w:altName w:val="Lucida Sans Unicode"/>
    <w:panose1 w:val="00000000000000000000"/>
    <w:charset w:val="00"/>
    <w:family w:val="swiss"/>
    <w:pitch w:val="default"/>
    <w:sig w:usb0="00000000" w:usb1="00000000" w:usb2="00000000" w:usb3="00000000" w:csb0="00000017" w:csb1="00000000"/>
  </w:font>
  <w:font w:name="Lucida Sans Unicode">
    <w:panose1 w:val="020B0602030504020204"/>
    <w:charset w:val="00"/>
    <w:family w:val="auto"/>
    <w:pitch w:val="default"/>
    <w:sig w:usb0="80001AFF" w:usb1="0000396B" w:usb2="00000000" w:usb3="00000000" w:csb0="200000BF" w:csb1="D7F70000"/>
  </w:font>
  <w:font w:name="Li Super">
    <w:altName w:val="黑体"/>
    <w:panose1 w:val="00000000000000000000"/>
    <w:charset w:val="86"/>
    <w:family w:val="auto"/>
    <w:pitch w:val="default"/>
    <w:sig w:usb0="00000000" w:usb1="00000000" w:usb2="00000010" w:usb3="00000000" w:csb0="00040000" w:csb1="00000000"/>
  </w:font>
  <w:font w:name="華康中楷體">
    <w:altName w:val="Microsoft JhengHei"/>
    <w:panose1 w:val="00000000000000000000"/>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方正仿宋_GBK">
    <w:panose1 w:val="02000000000000000000"/>
    <w:charset w:val="86"/>
    <w:family w:val="script"/>
    <w:pitch w:val="default"/>
    <w:sig w:usb0="A00002BF" w:usb1="38CF7CFA" w:usb2="00082016" w:usb3="00000000" w:csb0="00040001" w:csb1="00000000"/>
  </w:font>
  <w:font w:name="Century">
    <w:altName w:val="Times New Roman"/>
    <w:panose1 w:val="02040604050505020304"/>
    <w:charset w:val="00"/>
    <w:family w:val="roman"/>
    <w:pitch w:val="default"/>
    <w:sig w:usb0="00000000" w:usb1="00000000" w:usb2="00000000" w:usb3="00000000" w:csb0="2000009F" w:csb1="DFD70000"/>
  </w:font>
  <w:font w:name="隶书">
    <w:altName w:val="微软雅黑"/>
    <w:panose1 w:val="02010509060101010101"/>
    <w:charset w:val="86"/>
    <w:family w:val="modern"/>
    <w:pitch w:val="default"/>
    <w:sig w:usb0="00000000" w:usb1="00000000" w:usb2="00000000" w:usb3="00000000" w:csb0="00040000" w:csb1="00000000"/>
  </w:font>
  <w:font w:name="Garamond">
    <w:altName w:val="PMingLiU-ExtB"/>
    <w:panose1 w:val="02020404030301010803"/>
    <w:charset w:val="00"/>
    <w:family w:val="roman"/>
    <w:pitch w:val="default"/>
    <w:sig w:usb0="00000000" w:usb1="00000000" w:usb2="00000000" w:usb3="00000000" w:csb0="0000009F" w:csb1="DFD70000"/>
  </w:font>
  <w:font w:name="华文细黑">
    <w:altName w:val="微软雅黑"/>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auto"/>
    <w:pitch w:val="default"/>
    <w:sig w:usb0="00000000" w:usb1="00000000" w:usb2="00000000" w:usb3="00000000" w:csb0="00000000" w:csb1="00000000"/>
  </w:font>
  <w:font w:name="Segoe UI Symbol">
    <w:panose1 w:val="020B0502040204020203"/>
    <w:charset w:val="00"/>
    <w:family w:val="swiss"/>
    <w:pitch w:val="default"/>
    <w:sig w:usb0="800001E3" w:usb1="1200FFEF" w:usb2="00040000" w:usb3="04000000" w:csb0="00000001" w:csb1="4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auto"/>
    <w:pitch w:val="default"/>
    <w:sig w:usb0="E0002EFF" w:usb1="C000785B" w:usb2="00000009" w:usb3="00000000" w:csb0="400001FF" w:csb1="FFFF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0941A">
    <w:pPr>
      <w:pStyle w:val="5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B4F1D">
    <w:pPr>
      <w:pStyle w:val="55"/>
      <w:framePr w:wrap="around" w:vAnchor="text" w:hAnchor="margin" w:xAlign="center" w:y="1"/>
      <w:rPr>
        <w:rStyle w:val="92"/>
      </w:rPr>
    </w:pPr>
    <w:r>
      <w:fldChar w:fldCharType="begin"/>
    </w:r>
    <w:r>
      <w:rPr>
        <w:rStyle w:val="92"/>
      </w:rPr>
      <w:instrText xml:space="preserve">PAGE  </w:instrText>
    </w:r>
    <w:r>
      <w:fldChar w:fldCharType="separate"/>
    </w:r>
    <w:r>
      <w:rPr>
        <w:rStyle w:val="92"/>
      </w:rPr>
      <w:t>2</w:t>
    </w:r>
    <w:r>
      <w:fldChar w:fldCharType="end"/>
    </w:r>
  </w:p>
  <w:p w14:paraId="4E4ED5B9">
    <w:pPr>
      <w:pStyle w:val="55"/>
      <w:ind w:right="360"/>
      <w:jc w:val="center"/>
    </w:pPr>
    <w:r>
      <w:rPr>
        <w:sz w:val="20"/>
      </w:rPr>
      <w:t>-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7924A">
    <w:pPr>
      <w:pStyle w:val="55"/>
      <w:jc w:val="center"/>
    </w:pPr>
    <w:r>
      <w:rPr>
        <w:lang w:val="en-US"/>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CD3F1D">
                          <w:pPr>
                            <w:pStyle w:val="5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3ECD3F1D">
                    <w:pPr>
                      <w:pStyle w:val="55"/>
                    </w:pPr>
                    <w:r>
                      <w:fldChar w:fldCharType="begin"/>
                    </w:r>
                    <w:r>
                      <w:instrText xml:space="preserve"> PAGE  \* MERGEFORMAT </w:instrText>
                    </w:r>
                    <w:r>
                      <w:fldChar w:fldCharType="separate"/>
                    </w:r>
                    <w:r>
                      <w:t>1</w:t>
                    </w:r>
                    <w:r>
                      <w:fldChar w:fldCharType="end"/>
                    </w:r>
                  </w:p>
                </w:txbxContent>
              </v:textbox>
            </v:shape>
          </w:pict>
        </mc:Fallback>
      </mc:AlternateContent>
    </w:r>
  </w:p>
  <w:p w14:paraId="6F84F36E">
    <w:pPr>
      <w:pStyle w:val="55"/>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3FEAB">
    <w:pPr>
      <w:pStyle w:val="55"/>
      <w:jc w:val="center"/>
    </w:pPr>
    <w:r>
      <w:rPr>
        <w:lang w:val="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D8133C">
                          <w:pPr>
                            <w:pStyle w:val="55"/>
                            <w:jc w:val="center"/>
                          </w:pPr>
                          <w:r>
                            <w:fldChar w:fldCharType="begin"/>
                          </w:r>
                          <w:r>
                            <w:instrText xml:space="preserve">PAGE   \* MERGEFORMAT</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8D8133C">
                    <w:pPr>
                      <w:pStyle w:val="55"/>
                      <w:jc w:val="center"/>
                    </w:pPr>
                    <w:r>
                      <w:fldChar w:fldCharType="begin"/>
                    </w:r>
                    <w:r>
                      <w:instrText xml:space="preserve">PAGE   \* MERGEFORMAT</w:instrText>
                    </w:r>
                    <w:r>
                      <w:fldChar w:fldCharType="separate"/>
                    </w:r>
                    <w:r>
                      <w:t>2</w:t>
                    </w:r>
                    <w:r>
                      <w:fldChar w:fldCharType="end"/>
                    </w:r>
                  </w:p>
                </w:txbxContent>
              </v:textbox>
            </v:shape>
          </w:pict>
        </mc:Fallback>
      </mc:AlternateContent>
    </w:r>
  </w:p>
  <w:p w14:paraId="13C85FA1">
    <w:pPr>
      <w:pStyle w:val="55"/>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211FD">
    <w:pPr>
      <w:pStyle w:val="55"/>
      <w:ind w:firstLine="360"/>
      <w:jc w:val="center"/>
    </w:pPr>
    <w:r>
      <w:rPr>
        <w:lang w:val="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7A9F10">
                          <w:pPr>
                            <w:pStyle w:val="55"/>
                            <w:jc w:val="center"/>
                          </w:pPr>
                          <w:r>
                            <w:fldChar w:fldCharType="begin"/>
                          </w:r>
                          <w:r>
                            <w:instrText xml:space="preserve">PAGE   \* MERGEFORMAT</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47A9F10">
                    <w:pPr>
                      <w:pStyle w:val="55"/>
                      <w:jc w:val="center"/>
                    </w:pPr>
                    <w:r>
                      <w:fldChar w:fldCharType="begin"/>
                    </w:r>
                    <w:r>
                      <w:instrText xml:space="preserve">PAGE   \* MERGEFORMAT</w:instrText>
                    </w:r>
                    <w:r>
                      <w:fldChar w:fldCharType="separate"/>
                    </w:r>
                    <w:r>
                      <w:t>90</w:t>
                    </w:r>
                    <w:r>
                      <w:fldChar w:fldCharType="end"/>
                    </w:r>
                  </w:p>
                </w:txbxContent>
              </v:textbox>
            </v:shape>
          </w:pict>
        </mc:Fallback>
      </mc:AlternateContent>
    </w:r>
  </w:p>
  <w:p w14:paraId="00623C99">
    <w:pPr>
      <w:pStyle w:val="55"/>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DF52F">
    <w:pPr>
      <w:pStyle w:val="5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315DFB"/>
    <w:multiLevelType w:val="singleLevel"/>
    <w:tmpl w:val="DB315DFB"/>
    <w:lvl w:ilvl="0" w:tentative="0">
      <w:start w:val="2"/>
      <w:numFmt w:val="decimal"/>
      <w:suff w:val="nothing"/>
      <w:lvlText w:val="（%1）"/>
      <w:lvlJc w:val="left"/>
    </w:lvl>
  </w:abstractNum>
  <w:abstractNum w:abstractNumId="1">
    <w:nsid w:val="FFFFFF89"/>
    <w:multiLevelType w:val="singleLevel"/>
    <w:tmpl w:val="FFFFFF89"/>
    <w:lvl w:ilvl="0" w:tentative="0">
      <w:start w:val="1"/>
      <w:numFmt w:val="bullet"/>
      <w:pStyle w:val="24"/>
      <w:lvlText w:val=""/>
      <w:lvlJc w:val="left"/>
      <w:pPr>
        <w:tabs>
          <w:tab w:val="left" w:pos="360"/>
        </w:tabs>
        <w:ind w:left="360" w:hanging="360"/>
      </w:pPr>
      <w:rPr>
        <w:rFonts w:hint="default" w:ascii="Wingdings" w:hAnsi="Wingdings"/>
      </w:rPr>
    </w:lvl>
  </w:abstractNum>
  <w:abstractNum w:abstractNumId="2">
    <w:nsid w:val="310EA377"/>
    <w:multiLevelType w:val="multilevel"/>
    <w:tmpl w:val="310EA377"/>
    <w:lvl w:ilvl="0" w:tentative="0">
      <w:start w:val="1"/>
      <w:numFmt w:val="decimalEnclosedCircle"/>
      <w:lvlText w:val="%1"/>
      <w:lvlJc w:val="left"/>
      <w:pPr>
        <w:ind w:left="840" w:hanging="36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5BDC372F"/>
    <w:multiLevelType w:val="singleLevel"/>
    <w:tmpl w:val="5BDC372F"/>
    <w:lvl w:ilvl="0" w:tentative="0">
      <w:start w:val="1"/>
      <w:numFmt w:val="upperLetter"/>
      <w:lvlText w:val="%1."/>
      <w:lvlJc w:val="left"/>
      <w:pPr>
        <w:tabs>
          <w:tab w:val="left" w:pos="312"/>
        </w:tabs>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attachedTemplate r:id="rId1"/>
  <w:documentProtection w:edit="trackedChanges" w:enforcement="0"/>
  <w:defaultTabStop w:val="5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AyZDRkZWZkZThlMmNlZjMzNGRmODI3MmNiZjIyOTgifQ=="/>
  </w:docVars>
  <w:rsids>
    <w:rsidRoot w:val="003A632F"/>
    <w:rsid w:val="000051BF"/>
    <w:rsid w:val="00005D89"/>
    <w:rsid w:val="000064FD"/>
    <w:rsid w:val="000078A3"/>
    <w:rsid w:val="00012F6D"/>
    <w:rsid w:val="00014B77"/>
    <w:rsid w:val="000220C4"/>
    <w:rsid w:val="0002324B"/>
    <w:rsid w:val="00027E39"/>
    <w:rsid w:val="00034201"/>
    <w:rsid w:val="0004090B"/>
    <w:rsid w:val="00041E41"/>
    <w:rsid w:val="0005274F"/>
    <w:rsid w:val="000640A0"/>
    <w:rsid w:val="00066A12"/>
    <w:rsid w:val="00090627"/>
    <w:rsid w:val="00092436"/>
    <w:rsid w:val="0009397B"/>
    <w:rsid w:val="000A4D02"/>
    <w:rsid w:val="000A7594"/>
    <w:rsid w:val="000B1434"/>
    <w:rsid w:val="000B23B5"/>
    <w:rsid w:val="000B3A94"/>
    <w:rsid w:val="000D00DA"/>
    <w:rsid w:val="000D2E83"/>
    <w:rsid w:val="000D2FE2"/>
    <w:rsid w:val="000D7014"/>
    <w:rsid w:val="000D7F6A"/>
    <w:rsid w:val="000E409E"/>
    <w:rsid w:val="000E6458"/>
    <w:rsid w:val="000E7260"/>
    <w:rsid w:val="000F2F57"/>
    <w:rsid w:val="001012BD"/>
    <w:rsid w:val="00101F51"/>
    <w:rsid w:val="0010257E"/>
    <w:rsid w:val="0010436A"/>
    <w:rsid w:val="001064A2"/>
    <w:rsid w:val="001066FB"/>
    <w:rsid w:val="001070C1"/>
    <w:rsid w:val="00107705"/>
    <w:rsid w:val="00112A4A"/>
    <w:rsid w:val="0011395B"/>
    <w:rsid w:val="00116A72"/>
    <w:rsid w:val="001200E4"/>
    <w:rsid w:val="00123630"/>
    <w:rsid w:val="0012678F"/>
    <w:rsid w:val="00126811"/>
    <w:rsid w:val="0014070A"/>
    <w:rsid w:val="00140B10"/>
    <w:rsid w:val="0014319F"/>
    <w:rsid w:val="001476F7"/>
    <w:rsid w:val="0015287B"/>
    <w:rsid w:val="00154C32"/>
    <w:rsid w:val="0015512F"/>
    <w:rsid w:val="001644CB"/>
    <w:rsid w:val="00166A34"/>
    <w:rsid w:val="00170395"/>
    <w:rsid w:val="001747D9"/>
    <w:rsid w:val="00174F94"/>
    <w:rsid w:val="0017696F"/>
    <w:rsid w:val="00181065"/>
    <w:rsid w:val="00184309"/>
    <w:rsid w:val="00184A93"/>
    <w:rsid w:val="0018740A"/>
    <w:rsid w:val="001931E6"/>
    <w:rsid w:val="00195193"/>
    <w:rsid w:val="00195FEC"/>
    <w:rsid w:val="001A08D4"/>
    <w:rsid w:val="001B090D"/>
    <w:rsid w:val="001B2E42"/>
    <w:rsid w:val="001B49D1"/>
    <w:rsid w:val="001B59CD"/>
    <w:rsid w:val="001B70EF"/>
    <w:rsid w:val="001D04A2"/>
    <w:rsid w:val="001D19E2"/>
    <w:rsid w:val="001D40AE"/>
    <w:rsid w:val="001D64B2"/>
    <w:rsid w:val="001E23F4"/>
    <w:rsid w:val="001E3627"/>
    <w:rsid w:val="001E5388"/>
    <w:rsid w:val="001F12CC"/>
    <w:rsid w:val="001F1C1A"/>
    <w:rsid w:val="001F30C0"/>
    <w:rsid w:val="001F3907"/>
    <w:rsid w:val="00210DEE"/>
    <w:rsid w:val="00211057"/>
    <w:rsid w:val="00211226"/>
    <w:rsid w:val="00214FF4"/>
    <w:rsid w:val="00215CDA"/>
    <w:rsid w:val="00217CF8"/>
    <w:rsid w:val="002272E7"/>
    <w:rsid w:val="002300E9"/>
    <w:rsid w:val="00231873"/>
    <w:rsid w:val="0024219E"/>
    <w:rsid w:val="00244738"/>
    <w:rsid w:val="00245380"/>
    <w:rsid w:val="0025079C"/>
    <w:rsid w:val="00260269"/>
    <w:rsid w:val="00264CCB"/>
    <w:rsid w:val="0027016C"/>
    <w:rsid w:val="00276D2D"/>
    <w:rsid w:val="00277CCC"/>
    <w:rsid w:val="00280FD3"/>
    <w:rsid w:val="00281182"/>
    <w:rsid w:val="002866F1"/>
    <w:rsid w:val="00294D4E"/>
    <w:rsid w:val="00295201"/>
    <w:rsid w:val="00297140"/>
    <w:rsid w:val="002A1359"/>
    <w:rsid w:val="002A7594"/>
    <w:rsid w:val="002A7EA8"/>
    <w:rsid w:val="002B4399"/>
    <w:rsid w:val="002C403A"/>
    <w:rsid w:val="002C6A3D"/>
    <w:rsid w:val="002D0675"/>
    <w:rsid w:val="002D070F"/>
    <w:rsid w:val="002D0DA3"/>
    <w:rsid w:val="002E37A5"/>
    <w:rsid w:val="002E7EE0"/>
    <w:rsid w:val="003036F0"/>
    <w:rsid w:val="003102D1"/>
    <w:rsid w:val="00311DD5"/>
    <w:rsid w:val="00313FAD"/>
    <w:rsid w:val="00317347"/>
    <w:rsid w:val="003250E4"/>
    <w:rsid w:val="00333B16"/>
    <w:rsid w:val="00336D28"/>
    <w:rsid w:val="00341754"/>
    <w:rsid w:val="00341F7F"/>
    <w:rsid w:val="003432E0"/>
    <w:rsid w:val="00343A0C"/>
    <w:rsid w:val="0034656F"/>
    <w:rsid w:val="003578B5"/>
    <w:rsid w:val="00361B17"/>
    <w:rsid w:val="00363486"/>
    <w:rsid w:val="00377DC0"/>
    <w:rsid w:val="00381E1A"/>
    <w:rsid w:val="00392209"/>
    <w:rsid w:val="003943B4"/>
    <w:rsid w:val="00395328"/>
    <w:rsid w:val="003A0A6C"/>
    <w:rsid w:val="003A1CFC"/>
    <w:rsid w:val="003A4063"/>
    <w:rsid w:val="003A5E64"/>
    <w:rsid w:val="003A632F"/>
    <w:rsid w:val="003A6E59"/>
    <w:rsid w:val="003A73A9"/>
    <w:rsid w:val="003B1900"/>
    <w:rsid w:val="003B23BA"/>
    <w:rsid w:val="003B5AA8"/>
    <w:rsid w:val="003C2020"/>
    <w:rsid w:val="003E5871"/>
    <w:rsid w:val="003E6C89"/>
    <w:rsid w:val="003F4B32"/>
    <w:rsid w:val="003F62A9"/>
    <w:rsid w:val="00403B34"/>
    <w:rsid w:val="00404D5F"/>
    <w:rsid w:val="00405B8D"/>
    <w:rsid w:val="00410D19"/>
    <w:rsid w:val="00411977"/>
    <w:rsid w:val="00413304"/>
    <w:rsid w:val="004223E6"/>
    <w:rsid w:val="004225E3"/>
    <w:rsid w:val="00427D34"/>
    <w:rsid w:val="00437728"/>
    <w:rsid w:val="00443A31"/>
    <w:rsid w:val="004515BB"/>
    <w:rsid w:val="00452060"/>
    <w:rsid w:val="00455CCB"/>
    <w:rsid w:val="0045706D"/>
    <w:rsid w:val="00461EEE"/>
    <w:rsid w:val="00467FEB"/>
    <w:rsid w:val="0047190E"/>
    <w:rsid w:val="004764D5"/>
    <w:rsid w:val="00476684"/>
    <w:rsid w:val="004869AD"/>
    <w:rsid w:val="00487473"/>
    <w:rsid w:val="004A16F8"/>
    <w:rsid w:val="004A38D3"/>
    <w:rsid w:val="004A45D5"/>
    <w:rsid w:val="004A6BD1"/>
    <w:rsid w:val="004B2044"/>
    <w:rsid w:val="004B3CB8"/>
    <w:rsid w:val="004B4367"/>
    <w:rsid w:val="004C175B"/>
    <w:rsid w:val="004C1A5D"/>
    <w:rsid w:val="004C57A0"/>
    <w:rsid w:val="004D2A54"/>
    <w:rsid w:val="004D3D4F"/>
    <w:rsid w:val="004D5FB7"/>
    <w:rsid w:val="004E09B1"/>
    <w:rsid w:val="004E3F6E"/>
    <w:rsid w:val="004E4571"/>
    <w:rsid w:val="00506F4B"/>
    <w:rsid w:val="00510086"/>
    <w:rsid w:val="00511D92"/>
    <w:rsid w:val="00513EE4"/>
    <w:rsid w:val="00521D53"/>
    <w:rsid w:val="00522679"/>
    <w:rsid w:val="00525296"/>
    <w:rsid w:val="00526D20"/>
    <w:rsid w:val="00530F1D"/>
    <w:rsid w:val="0053110D"/>
    <w:rsid w:val="005330C8"/>
    <w:rsid w:val="00535E09"/>
    <w:rsid w:val="00535EB6"/>
    <w:rsid w:val="00542606"/>
    <w:rsid w:val="00544013"/>
    <w:rsid w:val="00544247"/>
    <w:rsid w:val="00552CB4"/>
    <w:rsid w:val="005565AD"/>
    <w:rsid w:val="00557321"/>
    <w:rsid w:val="00562C8C"/>
    <w:rsid w:val="00564090"/>
    <w:rsid w:val="00564D13"/>
    <w:rsid w:val="00587A99"/>
    <w:rsid w:val="00591F43"/>
    <w:rsid w:val="005A3B94"/>
    <w:rsid w:val="005A77B1"/>
    <w:rsid w:val="005B70DC"/>
    <w:rsid w:val="005C7965"/>
    <w:rsid w:val="005D6826"/>
    <w:rsid w:val="005D6BF4"/>
    <w:rsid w:val="005D73B7"/>
    <w:rsid w:val="005E0DDF"/>
    <w:rsid w:val="005F624D"/>
    <w:rsid w:val="005F79C2"/>
    <w:rsid w:val="00600465"/>
    <w:rsid w:val="00601471"/>
    <w:rsid w:val="00611913"/>
    <w:rsid w:val="00611F84"/>
    <w:rsid w:val="006146C2"/>
    <w:rsid w:val="00615275"/>
    <w:rsid w:val="00620A29"/>
    <w:rsid w:val="0062565F"/>
    <w:rsid w:val="00632007"/>
    <w:rsid w:val="00632F28"/>
    <w:rsid w:val="006342DD"/>
    <w:rsid w:val="006347CA"/>
    <w:rsid w:val="0064033D"/>
    <w:rsid w:val="006446A4"/>
    <w:rsid w:val="0064696A"/>
    <w:rsid w:val="006504B3"/>
    <w:rsid w:val="006505C9"/>
    <w:rsid w:val="00651ECB"/>
    <w:rsid w:val="00656002"/>
    <w:rsid w:val="00656906"/>
    <w:rsid w:val="00661387"/>
    <w:rsid w:val="00661DD2"/>
    <w:rsid w:val="00664789"/>
    <w:rsid w:val="00665D94"/>
    <w:rsid w:val="00667A70"/>
    <w:rsid w:val="00674817"/>
    <w:rsid w:val="00681962"/>
    <w:rsid w:val="00682ECB"/>
    <w:rsid w:val="00683154"/>
    <w:rsid w:val="00687AAB"/>
    <w:rsid w:val="006975F8"/>
    <w:rsid w:val="006977B3"/>
    <w:rsid w:val="006A5429"/>
    <w:rsid w:val="006A6619"/>
    <w:rsid w:val="006C33F4"/>
    <w:rsid w:val="006D0831"/>
    <w:rsid w:val="006D74A4"/>
    <w:rsid w:val="006E4410"/>
    <w:rsid w:val="006E5477"/>
    <w:rsid w:val="006E64EA"/>
    <w:rsid w:val="006F02B9"/>
    <w:rsid w:val="006F31CA"/>
    <w:rsid w:val="006F6CD4"/>
    <w:rsid w:val="00705F51"/>
    <w:rsid w:val="00706AE2"/>
    <w:rsid w:val="0072485F"/>
    <w:rsid w:val="0072703F"/>
    <w:rsid w:val="007310A4"/>
    <w:rsid w:val="00731A85"/>
    <w:rsid w:val="00733564"/>
    <w:rsid w:val="007339CD"/>
    <w:rsid w:val="007405AC"/>
    <w:rsid w:val="007443DC"/>
    <w:rsid w:val="00750FDF"/>
    <w:rsid w:val="00757A13"/>
    <w:rsid w:val="00760E87"/>
    <w:rsid w:val="007643D8"/>
    <w:rsid w:val="00767D73"/>
    <w:rsid w:val="00780EFE"/>
    <w:rsid w:val="00781180"/>
    <w:rsid w:val="007864BE"/>
    <w:rsid w:val="0078709A"/>
    <w:rsid w:val="0079231B"/>
    <w:rsid w:val="007A29EB"/>
    <w:rsid w:val="007B10CA"/>
    <w:rsid w:val="007B38CE"/>
    <w:rsid w:val="007B67F5"/>
    <w:rsid w:val="007C034F"/>
    <w:rsid w:val="007D73BC"/>
    <w:rsid w:val="007D7C0F"/>
    <w:rsid w:val="007E0A9B"/>
    <w:rsid w:val="007E3FFF"/>
    <w:rsid w:val="00803C8D"/>
    <w:rsid w:val="00805095"/>
    <w:rsid w:val="00806C4F"/>
    <w:rsid w:val="00807A51"/>
    <w:rsid w:val="008117A5"/>
    <w:rsid w:val="00812CA3"/>
    <w:rsid w:val="00816F9D"/>
    <w:rsid w:val="00817198"/>
    <w:rsid w:val="00817349"/>
    <w:rsid w:val="00820B93"/>
    <w:rsid w:val="0082313A"/>
    <w:rsid w:val="0082759C"/>
    <w:rsid w:val="00832469"/>
    <w:rsid w:val="00832568"/>
    <w:rsid w:val="00837AF3"/>
    <w:rsid w:val="00843F6C"/>
    <w:rsid w:val="00857B52"/>
    <w:rsid w:val="00860A69"/>
    <w:rsid w:val="00861038"/>
    <w:rsid w:val="00866A4B"/>
    <w:rsid w:val="00866A52"/>
    <w:rsid w:val="00870EAB"/>
    <w:rsid w:val="0087140D"/>
    <w:rsid w:val="00873F56"/>
    <w:rsid w:val="0088227B"/>
    <w:rsid w:val="00891C51"/>
    <w:rsid w:val="008924AC"/>
    <w:rsid w:val="00893EAE"/>
    <w:rsid w:val="00895B34"/>
    <w:rsid w:val="008A3659"/>
    <w:rsid w:val="008A5373"/>
    <w:rsid w:val="008B216C"/>
    <w:rsid w:val="008B5E47"/>
    <w:rsid w:val="008B74CA"/>
    <w:rsid w:val="008C0CD5"/>
    <w:rsid w:val="008C2661"/>
    <w:rsid w:val="008C70F9"/>
    <w:rsid w:val="008D4595"/>
    <w:rsid w:val="008E1C49"/>
    <w:rsid w:val="008E4730"/>
    <w:rsid w:val="008E6245"/>
    <w:rsid w:val="008F43AB"/>
    <w:rsid w:val="009015D3"/>
    <w:rsid w:val="0090171E"/>
    <w:rsid w:val="00902F1E"/>
    <w:rsid w:val="00916863"/>
    <w:rsid w:val="00920256"/>
    <w:rsid w:val="009325DB"/>
    <w:rsid w:val="009341DB"/>
    <w:rsid w:val="0095585C"/>
    <w:rsid w:val="0096212F"/>
    <w:rsid w:val="00965376"/>
    <w:rsid w:val="009806EF"/>
    <w:rsid w:val="00983B1B"/>
    <w:rsid w:val="00986266"/>
    <w:rsid w:val="009871B3"/>
    <w:rsid w:val="00987CC9"/>
    <w:rsid w:val="00992C78"/>
    <w:rsid w:val="00993743"/>
    <w:rsid w:val="0099563D"/>
    <w:rsid w:val="009963EA"/>
    <w:rsid w:val="00997A1C"/>
    <w:rsid w:val="00997C35"/>
    <w:rsid w:val="009A4D92"/>
    <w:rsid w:val="009A75ED"/>
    <w:rsid w:val="009B042F"/>
    <w:rsid w:val="009B1447"/>
    <w:rsid w:val="009B23C8"/>
    <w:rsid w:val="009B6940"/>
    <w:rsid w:val="009B78BC"/>
    <w:rsid w:val="009C2181"/>
    <w:rsid w:val="009C21B8"/>
    <w:rsid w:val="009D68F3"/>
    <w:rsid w:val="009E4543"/>
    <w:rsid w:val="009F139C"/>
    <w:rsid w:val="009F1AC4"/>
    <w:rsid w:val="009F2A84"/>
    <w:rsid w:val="009F7461"/>
    <w:rsid w:val="00A0093D"/>
    <w:rsid w:val="00A00D02"/>
    <w:rsid w:val="00A12D4C"/>
    <w:rsid w:val="00A150DF"/>
    <w:rsid w:val="00A20A12"/>
    <w:rsid w:val="00A244E3"/>
    <w:rsid w:val="00A338C7"/>
    <w:rsid w:val="00A36FA5"/>
    <w:rsid w:val="00A37BF6"/>
    <w:rsid w:val="00A475C0"/>
    <w:rsid w:val="00A479CA"/>
    <w:rsid w:val="00A515A8"/>
    <w:rsid w:val="00A51C43"/>
    <w:rsid w:val="00A57772"/>
    <w:rsid w:val="00A57ACA"/>
    <w:rsid w:val="00A64780"/>
    <w:rsid w:val="00A65674"/>
    <w:rsid w:val="00A66A09"/>
    <w:rsid w:val="00A71371"/>
    <w:rsid w:val="00A714FB"/>
    <w:rsid w:val="00A716C8"/>
    <w:rsid w:val="00A7422B"/>
    <w:rsid w:val="00A74BFC"/>
    <w:rsid w:val="00A75CD1"/>
    <w:rsid w:val="00A81EB1"/>
    <w:rsid w:val="00A8298B"/>
    <w:rsid w:val="00A82B84"/>
    <w:rsid w:val="00A970BF"/>
    <w:rsid w:val="00AA0BDB"/>
    <w:rsid w:val="00AA3FC5"/>
    <w:rsid w:val="00AB264F"/>
    <w:rsid w:val="00AB35AB"/>
    <w:rsid w:val="00AC6D3C"/>
    <w:rsid w:val="00AC7B35"/>
    <w:rsid w:val="00AD051E"/>
    <w:rsid w:val="00AD3C8A"/>
    <w:rsid w:val="00AD4B52"/>
    <w:rsid w:val="00AD7B21"/>
    <w:rsid w:val="00AE0D6D"/>
    <w:rsid w:val="00AE11EB"/>
    <w:rsid w:val="00AE2C3E"/>
    <w:rsid w:val="00AE6768"/>
    <w:rsid w:val="00AF2603"/>
    <w:rsid w:val="00AF3235"/>
    <w:rsid w:val="00AF3778"/>
    <w:rsid w:val="00AF45EE"/>
    <w:rsid w:val="00B01245"/>
    <w:rsid w:val="00B02F7B"/>
    <w:rsid w:val="00B0627D"/>
    <w:rsid w:val="00B06BA5"/>
    <w:rsid w:val="00B10BF8"/>
    <w:rsid w:val="00B20929"/>
    <w:rsid w:val="00B23EA8"/>
    <w:rsid w:val="00B247BE"/>
    <w:rsid w:val="00B27DA8"/>
    <w:rsid w:val="00B367F2"/>
    <w:rsid w:val="00B40131"/>
    <w:rsid w:val="00B40642"/>
    <w:rsid w:val="00B4080B"/>
    <w:rsid w:val="00B441D9"/>
    <w:rsid w:val="00B52CEE"/>
    <w:rsid w:val="00B57465"/>
    <w:rsid w:val="00B63A6D"/>
    <w:rsid w:val="00B65990"/>
    <w:rsid w:val="00B7237E"/>
    <w:rsid w:val="00B7518E"/>
    <w:rsid w:val="00B75379"/>
    <w:rsid w:val="00B823E9"/>
    <w:rsid w:val="00B94AD6"/>
    <w:rsid w:val="00B96B07"/>
    <w:rsid w:val="00B97D6C"/>
    <w:rsid w:val="00BA2559"/>
    <w:rsid w:val="00BA5AE4"/>
    <w:rsid w:val="00BB1404"/>
    <w:rsid w:val="00BB33A9"/>
    <w:rsid w:val="00BB3406"/>
    <w:rsid w:val="00BB4CCC"/>
    <w:rsid w:val="00BC53FD"/>
    <w:rsid w:val="00BC5492"/>
    <w:rsid w:val="00BC67D5"/>
    <w:rsid w:val="00BE2052"/>
    <w:rsid w:val="00BE2C93"/>
    <w:rsid w:val="00BE2EAB"/>
    <w:rsid w:val="00BE6DCD"/>
    <w:rsid w:val="00BF6773"/>
    <w:rsid w:val="00BF76DA"/>
    <w:rsid w:val="00BF7A84"/>
    <w:rsid w:val="00C04CF6"/>
    <w:rsid w:val="00C05617"/>
    <w:rsid w:val="00C1117A"/>
    <w:rsid w:val="00C11524"/>
    <w:rsid w:val="00C13215"/>
    <w:rsid w:val="00C142B7"/>
    <w:rsid w:val="00C14AF3"/>
    <w:rsid w:val="00C1599F"/>
    <w:rsid w:val="00C16319"/>
    <w:rsid w:val="00C20215"/>
    <w:rsid w:val="00C20B80"/>
    <w:rsid w:val="00C24873"/>
    <w:rsid w:val="00C2635A"/>
    <w:rsid w:val="00C349D6"/>
    <w:rsid w:val="00C36594"/>
    <w:rsid w:val="00C375B7"/>
    <w:rsid w:val="00C376D2"/>
    <w:rsid w:val="00C5271F"/>
    <w:rsid w:val="00C55F55"/>
    <w:rsid w:val="00C6431D"/>
    <w:rsid w:val="00C65415"/>
    <w:rsid w:val="00C749B4"/>
    <w:rsid w:val="00C81602"/>
    <w:rsid w:val="00C81F54"/>
    <w:rsid w:val="00C94663"/>
    <w:rsid w:val="00CA0194"/>
    <w:rsid w:val="00CA2047"/>
    <w:rsid w:val="00CA685E"/>
    <w:rsid w:val="00CB117F"/>
    <w:rsid w:val="00CB3DAF"/>
    <w:rsid w:val="00CC00D8"/>
    <w:rsid w:val="00CC41F7"/>
    <w:rsid w:val="00CC4F4C"/>
    <w:rsid w:val="00CC54E7"/>
    <w:rsid w:val="00CC58A6"/>
    <w:rsid w:val="00CC6E69"/>
    <w:rsid w:val="00CD2825"/>
    <w:rsid w:val="00CD340F"/>
    <w:rsid w:val="00CE0765"/>
    <w:rsid w:val="00CE27A8"/>
    <w:rsid w:val="00CE3343"/>
    <w:rsid w:val="00CE3775"/>
    <w:rsid w:val="00CE6249"/>
    <w:rsid w:val="00D00FCC"/>
    <w:rsid w:val="00D06111"/>
    <w:rsid w:val="00D07A7E"/>
    <w:rsid w:val="00D30309"/>
    <w:rsid w:val="00D309AE"/>
    <w:rsid w:val="00D31C5C"/>
    <w:rsid w:val="00D37B1D"/>
    <w:rsid w:val="00D41242"/>
    <w:rsid w:val="00D46A16"/>
    <w:rsid w:val="00D504DF"/>
    <w:rsid w:val="00D53B5B"/>
    <w:rsid w:val="00D56628"/>
    <w:rsid w:val="00D61CE5"/>
    <w:rsid w:val="00D6273D"/>
    <w:rsid w:val="00D66A3C"/>
    <w:rsid w:val="00D710B8"/>
    <w:rsid w:val="00D753D8"/>
    <w:rsid w:val="00D76DAC"/>
    <w:rsid w:val="00D827D0"/>
    <w:rsid w:val="00D84779"/>
    <w:rsid w:val="00D95104"/>
    <w:rsid w:val="00DA276F"/>
    <w:rsid w:val="00DA3BAC"/>
    <w:rsid w:val="00DB0617"/>
    <w:rsid w:val="00DB1A5C"/>
    <w:rsid w:val="00DB22E8"/>
    <w:rsid w:val="00DB24B4"/>
    <w:rsid w:val="00DB320C"/>
    <w:rsid w:val="00DC0A29"/>
    <w:rsid w:val="00DC3AA9"/>
    <w:rsid w:val="00DC5B0B"/>
    <w:rsid w:val="00DD121A"/>
    <w:rsid w:val="00DD244F"/>
    <w:rsid w:val="00DD249D"/>
    <w:rsid w:val="00DD2F2E"/>
    <w:rsid w:val="00DD4D14"/>
    <w:rsid w:val="00DE161E"/>
    <w:rsid w:val="00DE3E24"/>
    <w:rsid w:val="00DF5170"/>
    <w:rsid w:val="00E02979"/>
    <w:rsid w:val="00E02E55"/>
    <w:rsid w:val="00E07778"/>
    <w:rsid w:val="00E07A93"/>
    <w:rsid w:val="00E11BDE"/>
    <w:rsid w:val="00E12E8E"/>
    <w:rsid w:val="00E164A0"/>
    <w:rsid w:val="00E229EF"/>
    <w:rsid w:val="00E238A6"/>
    <w:rsid w:val="00E25C6E"/>
    <w:rsid w:val="00E332CA"/>
    <w:rsid w:val="00E420A0"/>
    <w:rsid w:val="00E4461C"/>
    <w:rsid w:val="00E45321"/>
    <w:rsid w:val="00E50A8B"/>
    <w:rsid w:val="00E52B0E"/>
    <w:rsid w:val="00E55204"/>
    <w:rsid w:val="00E55DAC"/>
    <w:rsid w:val="00E60411"/>
    <w:rsid w:val="00E641F7"/>
    <w:rsid w:val="00E6584A"/>
    <w:rsid w:val="00E66DA3"/>
    <w:rsid w:val="00E7009A"/>
    <w:rsid w:val="00E74072"/>
    <w:rsid w:val="00E74684"/>
    <w:rsid w:val="00E74934"/>
    <w:rsid w:val="00E805BF"/>
    <w:rsid w:val="00E825B4"/>
    <w:rsid w:val="00E83C1A"/>
    <w:rsid w:val="00E841D4"/>
    <w:rsid w:val="00E85076"/>
    <w:rsid w:val="00E90771"/>
    <w:rsid w:val="00E9366E"/>
    <w:rsid w:val="00E95B0C"/>
    <w:rsid w:val="00E9618E"/>
    <w:rsid w:val="00E96389"/>
    <w:rsid w:val="00EA2E71"/>
    <w:rsid w:val="00EA5B09"/>
    <w:rsid w:val="00EB77C9"/>
    <w:rsid w:val="00EC0E2C"/>
    <w:rsid w:val="00EC1A62"/>
    <w:rsid w:val="00EC5277"/>
    <w:rsid w:val="00ED15F6"/>
    <w:rsid w:val="00ED1EA2"/>
    <w:rsid w:val="00EE08D9"/>
    <w:rsid w:val="00EE1289"/>
    <w:rsid w:val="00EE57F3"/>
    <w:rsid w:val="00EF69FB"/>
    <w:rsid w:val="00F017A5"/>
    <w:rsid w:val="00F0762E"/>
    <w:rsid w:val="00F078A1"/>
    <w:rsid w:val="00F13DE2"/>
    <w:rsid w:val="00F16458"/>
    <w:rsid w:val="00F20A41"/>
    <w:rsid w:val="00F2376F"/>
    <w:rsid w:val="00F30E31"/>
    <w:rsid w:val="00F315D4"/>
    <w:rsid w:val="00F35AFA"/>
    <w:rsid w:val="00F4051E"/>
    <w:rsid w:val="00F42D48"/>
    <w:rsid w:val="00F450DB"/>
    <w:rsid w:val="00F4538A"/>
    <w:rsid w:val="00F47DCD"/>
    <w:rsid w:val="00F53C0B"/>
    <w:rsid w:val="00F614DD"/>
    <w:rsid w:val="00F63571"/>
    <w:rsid w:val="00F64197"/>
    <w:rsid w:val="00F65BFB"/>
    <w:rsid w:val="00F872F2"/>
    <w:rsid w:val="00F87F74"/>
    <w:rsid w:val="00F90D44"/>
    <w:rsid w:val="00FA1641"/>
    <w:rsid w:val="00FA41B7"/>
    <w:rsid w:val="00FC735D"/>
    <w:rsid w:val="00FD5CA7"/>
    <w:rsid w:val="00FD7373"/>
    <w:rsid w:val="00FE2D2A"/>
    <w:rsid w:val="00FE4680"/>
    <w:rsid w:val="00FE5F58"/>
    <w:rsid w:val="00FE678F"/>
    <w:rsid w:val="00FF0DBE"/>
    <w:rsid w:val="00FF4EC0"/>
    <w:rsid w:val="00FF5A05"/>
    <w:rsid w:val="013314C6"/>
    <w:rsid w:val="015B4B19"/>
    <w:rsid w:val="01870D34"/>
    <w:rsid w:val="018F30E8"/>
    <w:rsid w:val="019B1886"/>
    <w:rsid w:val="019D46A7"/>
    <w:rsid w:val="01D202EA"/>
    <w:rsid w:val="01EE6D5F"/>
    <w:rsid w:val="02EC4644"/>
    <w:rsid w:val="02EC5E48"/>
    <w:rsid w:val="0303213B"/>
    <w:rsid w:val="03125A90"/>
    <w:rsid w:val="035706C4"/>
    <w:rsid w:val="03936C6A"/>
    <w:rsid w:val="03DC50F5"/>
    <w:rsid w:val="044F3FF1"/>
    <w:rsid w:val="04736E13"/>
    <w:rsid w:val="04AE7B23"/>
    <w:rsid w:val="04BE2152"/>
    <w:rsid w:val="04E128BD"/>
    <w:rsid w:val="054E2A1E"/>
    <w:rsid w:val="056A6B7B"/>
    <w:rsid w:val="065A27F5"/>
    <w:rsid w:val="07404F9F"/>
    <w:rsid w:val="076229F6"/>
    <w:rsid w:val="079C5BD9"/>
    <w:rsid w:val="07B31F34"/>
    <w:rsid w:val="083349E4"/>
    <w:rsid w:val="08420CAE"/>
    <w:rsid w:val="088A1282"/>
    <w:rsid w:val="08964ACC"/>
    <w:rsid w:val="09F66CF5"/>
    <w:rsid w:val="0A107B52"/>
    <w:rsid w:val="0A305499"/>
    <w:rsid w:val="0AC62079"/>
    <w:rsid w:val="0ADD081A"/>
    <w:rsid w:val="0B3648B8"/>
    <w:rsid w:val="0B471A36"/>
    <w:rsid w:val="0B5A028B"/>
    <w:rsid w:val="0C511C1C"/>
    <w:rsid w:val="0CE23EB3"/>
    <w:rsid w:val="0D4841F9"/>
    <w:rsid w:val="0D754A09"/>
    <w:rsid w:val="0D764CE0"/>
    <w:rsid w:val="0DB22432"/>
    <w:rsid w:val="0DBE38B4"/>
    <w:rsid w:val="0DED6FC6"/>
    <w:rsid w:val="0E100F06"/>
    <w:rsid w:val="0E6C7021"/>
    <w:rsid w:val="0ED76ADA"/>
    <w:rsid w:val="0EED3B7D"/>
    <w:rsid w:val="0F846DD9"/>
    <w:rsid w:val="101A606C"/>
    <w:rsid w:val="101B3D5D"/>
    <w:rsid w:val="10995022"/>
    <w:rsid w:val="10BA47CA"/>
    <w:rsid w:val="11F44175"/>
    <w:rsid w:val="12781514"/>
    <w:rsid w:val="12A64154"/>
    <w:rsid w:val="12AB66DA"/>
    <w:rsid w:val="12EE1FFF"/>
    <w:rsid w:val="12F33274"/>
    <w:rsid w:val="137332EF"/>
    <w:rsid w:val="13985790"/>
    <w:rsid w:val="14171240"/>
    <w:rsid w:val="149E1155"/>
    <w:rsid w:val="14A25F16"/>
    <w:rsid w:val="14DF1632"/>
    <w:rsid w:val="14EE505C"/>
    <w:rsid w:val="150361EF"/>
    <w:rsid w:val="15AD5FCD"/>
    <w:rsid w:val="160B0931"/>
    <w:rsid w:val="16363140"/>
    <w:rsid w:val="168F5376"/>
    <w:rsid w:val="16953304"/>
    <w:rsid w:val="16C041F4"/>
    <w:rsid w:val="16C80E0B"/>
    <w:rsid w:val="16DE4297"/>
    <w:rsid w:val="17154BF2"/>
    <w:rsid w:val="178B55E4"/>
    <w:rsid w:val="17B2550F"/>
    <w:rsid w:val="17CA481C"/>
    <w:rsid w:val="187C4E94"/>
    <w:rsid w:val="18C33745"/>
    <w:rsid w:val="18D605F2"/>
    <w:rsid w:val="194F6D87"/>
    <w:rsid w:val="198C340B"/>
    <w:rsid w:val="19C07C84"/>
    <w:rsid w:val="19D13C3F"/>
    <w:rsid w:val="1A052079"/>
    <w:rsid w:val="1A1F42D3"/>
    <w:rsid w:val="1A59015B"/>
    <w:rsid w:val="1ADC0AEE"/>
    <w:rsid w:val="1B4D2E95"/>
    <w:rsid w:val="1B5E7755"/>
    <w:rsid w:val="1BD825C9"/>
    <w:rsid w:val="1BFF4E57"/>
    <w:rsid w:val="1CCE4466"/>
    <w:rsid w:val="1CEE7C4D"/>
    <w:rsid w:val="1D305D3E"/>
    <w:rsid w:val="1D5C1A72"/>
    <w:rsid w:val="1DA149A3"/>
    <w:rsid w:val="1DBB2B5A"/>
    <w:rsid w:val="1E037064"/>
    <w:rsid w:val="1E6E0233"/>
    <w:rsid w:val="1E7948A6"/>
    <w:rsid w:val="1EBC2D52"/>
    <w:rsid w:val="1F184536"/>
    <w:rsid w:val="1F552C1D"/>
    <w:rsid w:val="1F572E39"/>
    <w:rsid w:val="1F590526"/>
    <w:rsid w:val="1F942A5B"/>
    <w:rsid w:val="1F965CF6"/>
    <w:rsid w:val="1FCA770D"/>
    <w:rsid w:val="1FDF1FEB"/>
    <w:rsid w:val="1FEA7809"/>
    <w:rsid w:val="20257BEE"/>
    <w:rsid w:val="209B533C"/>
    <w:rsid w:val="21A25EC1"/>
    <w:rsid w:val="21B61CC7"/>
    <w:rsid w:val="21FE134A"/>
    <w:rsid w:val="225A6039"/>
    <w:rsid w:val="227E248B"/>
    <w:rsid w:val="228C2DF9"/>
    <w:rsid w:val="22BD638F"/>
    <w:rsid w:val="230B40AD"/>
    <w:rsid w:val="23474F72"/>
    <w:rsid w:val="235356C5"/>
    <w:rsid w:val="23660FB8"/>
    <w:rsid w:val="2371019C"/>
    <w:rsid w:val="24400D0B"/>
    <w:rsid w:val="24DB0A4E"/>
    <w:rsid w:val="24FA548F"/>
    <w:rsid w:val="251E1659"/>
    <w:rsid w:val="253357AE"/>
    <w:rsid w:val="25515564"/>
    <w:rsid w:val="25824EDF"/>
    <w:rsid w:val="258516CC"/>
    <w:rsid w:val="25C74149"/>
    <w:rsid w:val="25D845A8"/>
    <w:rsid w:val="26362CA2"/>
    <w:rsid w:val="267F5DF9"/>
    <w:rsid w:val="2685203A"/>
    <w:rsid w:val="26924756"/>
    <w:rsid w:val="26B74411"/>
    <w:rsid w:val="26BC430C"/>
    <w:rsid w:val="26C456CC"/>
    <w:rsid w:val="270F5CA8"/>
    <w:rsid w:val="2720313E"/>
    <w:rsid w:val="274B4DC0"/>
    <w:rsid w:val="27EE1E60"/>
    <w:rsid w:val="281943E6"/>
    <w:rsid w:val="28305FD5"/>
    <w:rsid w:val="28460A77"/>
    <w:rsid w:val="285443B9"/>
    <w:rsid w:val="286345FC"/>
    <w:rsid w:val="287039F2"/>
    <w:rsid w:val="28E41C7F"/>
    <w:rsid w:val="28F8755B"/>
    <w:rsid w:val="291160AF"/>
    <w:rsid w:val="291D3978"/>
    <w:rsid w:val="294134AB"/>
    <w:rsid w:val="29526384"/>
    <w:rsid w:val="297E0FC2"/>
    <w:rsid w:val="299A3381"/>
    <w:rsid w:val="2A4931EC"/>
    <w:rsid w:val="2A895741"/>
    <w:rsid w:val="2A8D6472"/>
    <w:rsid w:val="2AD74E2E"/>
    <w:rsid w:val="2B4E27CF"/>
    <w:rsid w:val="2B6E5792"/>
    <w:rsid w:val="2B820DDC"/>
    <w:rsid w:val="2B8A1FFC"/>
    <w:rsid w:val="2BA271EA"/>
    <w:rsid w:val="2C334CD2"/>
    <w:rsid w:val="2C564223"/>
    <w:rsid w:val="2CB03499"/>
    <w:rsid w:val="2D0C6013"/>
    <w:rsid w:val="2D754CB5"/>
    <w:rsid w:val="2DB53ED8"/>
    <w:rsid w:val="2E312239"/>
    <w:rsid w:val="2E590937"/>
    <w:rsid w:val="2E701821"/>
    <w:rsid w:val="2E99663B"/>
    <w:rsid w:val="2EBA002B"/>
    <w:rsid w:val="2EDD169E"/>
    <w:rsid w:val="2F155F25"/>
    <w:rsid w:val="2F68699C"/>
    <w:rsid w:val="2F6C599E"/>
    <w:rsid w:val="30BD43C6"/>
    <w:rsid w:val="3153274D"/>
    <w:rsid w:val="31CA56EC"/>
    <w:rsid w:val="32A8218B"/>
    <w:rsid w:val="333A3AE0"/>
    <w:rsid w:val="336851BD"/>
    <w:rsid w:val="33C64D45"/>
    <w:rsid w:val="33E23814"/>
    <w:rsid w:val="345C682C"/>
    <w:rsid w:val="347831DE"/>
    <w:rsid w:val="34AA5361"/>
    <w:rsid w:val="34C27E68"/>
    <w:rsid w:val="35584DBD"/>
    <w:rsid w:val="357C4F6A"/>
    <w:rsid w:val="35CE3A94"/>
    <w:rsid w:val="35E47923"/>
    <w:rsid w:val="36135E17"/>
    <w:rsid w:val="362D609A"/>
    <w:rsid w:val="36337303"/>
    <w:rsid w:val="36566479"/>
    <w:rsid w:val="36860BB7"/>
    <w:rsid w:val="36B50719"/>
    <w:rsid w:val="36E90EBF"/>
    <w:rsid w:val="36FA437E"/>
    <w:rsid w:val="3754580C"/>
    <w:rsid w:val="377262B3"/>
    <w:rsid w:val="379325B5"/>
    <w:rsid w:val="37AE5D19"/>
    <w:rsid w:val="37E172EC"/>
    <w:rsid w:val="37E61BBD"/>
    <w:rsid w:val="38065519"/>
    <w:rsid w:val="383815A0"/>
    <w:rsid w:val="38B85741"/>
    <w:rsid w:val="39107EB4"/>
    <w:rsid w:val="39A46876"/>
    <w:rsid w:val="39BA00F7"/>
    <w:rsid w:val="39F610BD"/>
    <w:rsid w:val="3A585C3A"/>
    <w:rsid w:val="3A995C5C"/>
    <w:rsid w:val="3BD41697"/>
    <w:rsid w:val="3BE074DD"/>
    <w:rsid w:val="3BFB67EA"/>
    <w:rsid w:val="3C016A7D"/>
    <w:rsid w:val="3C31057F"/>
    <w:rsid w:val="3C4F52DC"/>
    <w:rsid w:val="3C7C3A87"/>
    <w:rsid w:val="3C89436D"/>
    <w:rsid w:val="3CF33D49"/>
    <w:rsid w:val="3D051832"/>
    <w:rsid w:val="3E7165AB"/>
    <w:rsid w:val="3EAB2402"/>
    <w:rsid w:val="3EFD2AF1"/>
    <w:rsid w:val="3F42402C"/>
    <w:rsid w:val="3F961F5F"/>
    <w:rsid w:val="400C6ED0"/>
    <w:rsid w:val="40B7508E"/>
    <w:rsid w:val="40CF687B"/>
    <w:rsid w:val="411202E0"/>
    <w:rsid w:val="412A5860"/>
    <w:rsid w:val="419B0324"/>
    <w:rsid w:val="422E137F"/>
    <w:rsid w:val="423D6ED2"/>
    <w:rsid w:val="4283791D"/>
    <w:rsid w:val="42935686"/>
    <w:rsid w:val="42950873"/>
    <w:rsid w:val="42A56F6B"/>
    <w:rsid w:val="42FA5DD9"/>
    <w:rsid w:val="434B5F61"/>
    <w:rsid w:val="43CF10C5"/>
    <w:rsid w:val="440B4E92"/>
    <w:rsid w:val="441A2ABD"/>
    <w:rsid w:val="44730955"/>
    <w:rsid w:val="44D036C6"/>
    <w:rsid w:val="45117203"/>
    <w:rsid w:val="45253776"/>
    <w:rsid w:val="45AA74EB"/>
    <w:rsid w:val="45C06792"/>
    <w:rsid w:val="45C51F02"/>
    <w:rsid w:val="45E73DE0"/>
    <w:rsid w:val="45E76415"/>
    <w:rsid w:val="45FD6D74"/>
    <w:rsid w:val="46395D4A"/>
    <w:rsid w:val="4657593E"/>
    <w:rsid w:val="46AF4A95"/>
    <w:rsid w:val="46B335F8"/>
    <w:rsid w:val="47CD175F"/>
    <w:rsid w:val="48272AF9"/>
    <w:rsid w:val="482B265C"/>
    <w:rsid w:val="48CE2882"/>
    <w:rsid w:val="48DC39C1"/>
    <w:rsid w:val="48DC7D87"/>
    <w:rsid w:val="493A4473"/>
    <w:rsid w:val="493D2CD7"/>
    <w:rsid w:val="49495157"/>
    <w:rsid w:val="497A30FC"/>
    <w:rsid w:val="4994321B"/>
    <w:rsid w:val="499E77F8"/>
    <w:rsid w:val="49CE7A65"/>
    <w:rsid w:val="4A125A77"/>
    <w:rsid w:val="4A31355F"/>
    <w:rsid w:val="4AC6570D"/>
    <w:rsid w:val="4AD36F68"/>
    <w:rsid w:val="4ADB5E1D"/>
    <w:rsid w:val="4AE41175"/>
    <w:rsid w:val="4AEE68B1"/>
    <w:rsid w:val="4AF64A04"/>
    <w:rsid w:val="4B2E41F1"/>
    <w:rsid w:val="4B3D6505"/>
    <w:rsid w:val="4B8D4E2F"/>
    <w:rsid w:val="4BF02F1E"/>
    <w:rsid w:val="4BF347A3"/>
    <w:rsid w:val="4C8A18A8"/>
    <w:rsid w:val="4CA7245A"/>
    <w:rsid w:val="4CE0771A"/>
    <w:rsid w:val="4CFC5D7C"/>
    <w:rsid w:val="4D7C5695"/>
    <w:rsid w:val="4D9E1AAF"/>
    <w:rsid w:val="4DB0194C"/>
    <w:rsid w:val="4DE67126"/>
    <w:rsid w:val="4DF0398D"/>
    <w:rsid w:val="4E180567"/>
    <w:rsid w:val="4E31050D"/>
    <w:rsid w:val="4E5F5808"/>
    <w:rsid w:val="4E7E020D"/>
    <w:rsid w:val="4EB26E94"/>
    <w:rsid w:val="4F477F24"/>
    <w:rsid w:val="4F4C553B"/>
    <w:rsid w:val="4F5A7C58"/>
    <w:rsid w:val="4F626473"/>
    <w:rsid w:val="4F865A23"/>
    <w:rsid w:val="4F936CC6"/>
    <w:rsid w:val="4FBB27E9"/>
    <w:rsid w:val="4FFA0AF3"/>
    <w:rsid w:val="500F1931"/>
    <w:rsid w:val="50C35CEC"/>
    <w:rsid w:val="50DA306E"/>
    <w:rsid w:val="50FF6516"/>
    <w:rsid w:val="51560718"/>
    <w:rsid w:val="51C66549"/>
    <w:rsid w:val="5206597C"/>
    <w:rsid w:val="52366371"/>
    <w:rsid w:val="5248248E"/>
    <w:rsid w:val="52942BC0"/>
    <w:rsid w:val="52A37C23"/>
    <w:rsid w:val="52B85A26"/>
    <w:rsid w:val="536913AD"/>
    <w:rsid w:val="53827269"/>
    <w:rsid w:val="5402266C"/>
    <w:rsid w:val="54200610"/>
    <w:rsid w:val="54246771"/>
    <w:rsid w:val="54A92AE8"/>
    <w:rsid w:val="54BB1AE5"/>
    <w:rsid w:val="54C33BA9"/>
    <w:rsid w:val="54F917B0"/>
    <w:rsid w:val="55CA1C06"/>
    <w:rsid w:val="55EF19B5"/>
    <w:rsid w:val="55FA7A9F"/>
    <w:rsid w:val="562C3266"/>
    <w:rsid w:val="565E4F71"/>
    <w:rsid w:val="56767B9D"/>
    <w:rsid w:val="567C04B4"/>
    <w:rsid w:val="56E66275"/>
    <w:rsid w:val="57256C8B"/>
    <w:rsid w:val="574B52CA"/>
    <w:rsid w:val="57503686"/>
    <w:rsid w:val="575C3EC8"/>
    <w:rsid w:val="578E77AD"/>
    <w:rsid w:val="582A3F3F"/>
    <w:rsid w:val="583D3C73"/>
    <w:rsid w:val="58405B96"/>
    <w:rsid w:val="584C035A"/>
    <w:rsid w:val="58685CA8"/>
    <w:rsid w:val="5886386C"/>
    <w:rsid w:val="58E65A10"/>
    <w:rsid w:val="59DC60F4"/>
    <w:rsid w:val="5A3413D6"/>
    <w:rsid w:val="5A722C42"/>
    <w:rsid w:val="5A9A71CD"/>
    <w:rsid w:val="5B214990"/>
    <w:rsid w:val="5B5B54F1"/>
    <w:rsid w:val="5C1679CD"/>
    <w:rsid w:val="5C451348"/>
    <w:rsid w:val="5C615B60"/>
    <w:rsid w:val="5CFD7E74"/>
    <w:rsid w:val="5D2A2AE1"/>
    <w:rsid w:val="5D720862"/>
    <w:rsid w:val="5D9B7CF5"/>
    <w:rsid w:val="5DC170F4"/>
    <w:rsid w:val="5DD4195B"/>
    <w:rsid w:val="5DD5494D"/>
    <w:rsid w:val="5DD9443E"/>
    <w:rsid w:val="5DFE6FEF"/>
    <w:rsid w:val="5E6665CE"/>
    <w:rsid w:val="5E812C04"/>
    <w:rsid w:val="5F2636B2"/>
    <w:rsid w:val="5F561063"/>
    <w:rsid w:val="5F690FDE"/>
    <w:rsid w:val="5F7B6AA4"/>
    <w:rsid w:val="600E6C14"/>
    <w:rsid w:val="602C2F4B"/>
    <w:rsid w:val="604C38E0"/>
    <w:rsid w:val="608A33B4"/>
    <w:rsid w:val="60A52CFD"/>
    <w:rsid w:val="60C70183"/>
    <w:rsid w:val="60D35979"/>
    <w:rsid w:val="60D94B25"/>
    <w:rsid w:val="60E82FD8"/>
    <w:rsid w:val="61822E4B"/>
    <w:rsid w:val="618D584D"/>
    <w:rsid w:val="61B0429A"/>
    <w:rsid w:val="61E54841"/>
    <w:rsid w:val="627A4978"/>
    <w:rsid w:val="62C50945"/>
    <w:rsid w:val="62D1432C"/>
    <w:rsid w:val="631657EC"/>
    <w:rsid w:val="635672F8"/>
    <w:rsid w:val="63B07EEF"/>
    <w:rsid w:val="63B616FE"/>
    <w:rsid w:val="63D77671"/>
    <w:rsid w:val="642E6B65"/>
    <w:rsid w:val="653B6D24"/>
    <w:rsid w:val="65490192"/>
    <w:rsid w:val="65C5024C"/>
    <w:rsid w:val="662D32F5"/>
    <w:rsid w:val="666B40A1"/>
    <w:rsid w:val="6672542F"/>
    <w:rsid w:val="6696437F"/>
    <w:rsid w:val="671F22FE"/>
    <w:rsid w:val="676870F4"/>
    <w:rsid w:val="67803B7C"/>
    <w:rsid w:val="67AD361C"/>
    <w:rsid w:val="683A4821"/>
    <w:rsid w:val="6881425F"/>
    <w:rsid w:val="69431F39"/>
    <w:rsid w:val="695157D0"/>
    <w:rsid w:val="69C7070D"/>
    <w:rsid w:val="6A3A7777"/>
    <w:rsid w:val="6A413080"/>
    <w:rsid w:val="6A5557B6"/>
    <w:rsid w:val="6ACC6AC2"/>
    <w:rsid w:val="6AFD5B23"/>
    <w:rsid w:val="6B3441BE"/>
    <w:rsid w:val="6B4E5DB9"/>
    <w:rsid w:val="6B511329"/>
    <w:rsid w:val="6BED0ADA"/>
    <w:rsid w:val="6C0E0851"/>
    <w:rsid w:val="6C437A1F"/>
    <w:rsid w:val="6C5E0930"/>
    <w:rsid w:val="6C6422F6"/>
    <w:rsid w:val="6CB82C29"/>
    <w:rsid w:val="6D2C297C"/>
    <w:rsid w:val="6D735232"/>
    <w:rsid w:val="6DA657A5"/>
    <w:rsid w:val="6DCE67A0"/>
    <w:rsid w:val="6DD24A05"/>
    <w:rsid w:val="6E781A51"/>
    <w:rsid w:val="6EA12D56"/>
    <w:rsid w:val="6EF104A7"/>
    <w:rsid w:val="6F086931"/>
    <w:rsid w:val="6F675D4D"/>
    <w:rsid w:val="6F7D7571"/>
    <w:rsid w:val="6FB14864"/>
    <w:rsid w:val="6FD607DD"/>
    <w:rsid w:val="6FF41C28"/>
    <w:rsid w:val="702A0B29"/>
    <w:rsid w:val="703853CE"/>
    <w:rsid w:val="70860EDC"/>
    <w:rsid w:val="70CC1B4F"/>
    <w:rsid w:val="70E21403"/>
    <w:rsid w:val="71176A9D"/>
    <w:rsid w:val="7122253F"/>
    <w:rsid w:val="712B5503"/>
    <w:rsid w:val="71997D14"/>
    <w:rsid w:val="71A16BC9"/>
    <w:rsid w:val="71B44B4E"/>
    <w:rsid w:val="72037883"/>
    <w:rsid w:val="72260CD9"/>
    <w:rsid w:val="725A5174"/>
    <w:rsid w:val="733C6AA5"/>
    <w:rsid w:val="73424ED1"/>
    <w:rsid w:val="73C531B1"/>
    <w:rsid w:val="73D239B1"/>
    <w:rsid w:val="742D51FC"/>
    <w:rsid w:val="744D3038"/>
    <w:rsid w:val="746F3BA4"/>
    <w:rsid w:val="74CF012E"/>
    <w:rsid w:val="74FD05BA"/>
    <w:rsid w:val="75546B59"/>
    <w:rsid w:val="75AF5302"/>
    <w:rsid w:val="75D532E5"/>
    <w:rsid w:val="761A6372"/>
    <w:rsid w:val="766C3C49"/>
    <w:rsid w:val="766D260A"/>
    <w:rsid w:val="76766876"/>
    <w:rsid w:val="76863B23"/>
    <w:rsid w:val="77050FD8"/>
    <w:rsid w:val="772B2540"/>
    <w:rsid w:val="775E4439"/>
    <w:rsid w:val="77B425C1"/>
    <w:rsid w:val="77BA458F"/>
    <w:rsid w:val="7805196E"/>
    <w:rsid w:val="780A74DD"/>
    <w:rsid w:val="78164E03"/>
    <w:rsid w:val="78380DF5"/>
    <w:rsid w:val="78662D29"/>
    <w:rsid w:val="786C0489"/>
    <w:rsid w:val="789D458E"/>
    <w:rsid w:val="789F751B"/>
    <w:rsid w:val="797846B3"/>
    <w:rsid w:val="797A3DF4"/>
    <w:rsid w:val="797B7075"/>
    <w:rsid w:val="7993773F"/>
    <w:rsid w:val="7ACD2063"/>
    <w:rsid w:val="7AF47F74"/>
    <w:rsid w:val="7AF603DD"/>
    <w:rsid w:val="7AF72273"/>
    <w:rsid w:val="7B306975"/>
    <w:rsid w:val="7B42766E"/>
    <w:rsid w:val="7C0A1B55"/>
    <w:rsid w:val="7C105077"/>
    <w:rsid w:val="7C1E7720"/>
    <w:rsid w:val="7C5472C4"/>
    <w:rsid w:val="7C9F702B"/>
    <w:rsid w:val="7CE72CF4"/>
    <w:rsid w:val="7D432C69"/>
    <w:rsid w:val="7D592A4D"/>
    <w:rsid w:val="7D8641EE"/>
    <w:rsid w:val="7D9B3066"/>
    <w:rsid w:val="7DA8079E"/>
    <w:rsid w:val="7DAB0869"/>
    <w:rsid w:val="7DEB1119"/>
    <w:rsid w:val="7E260875"/>
    <w:rsid w:val="7E35608C"/>
    <w:rsid w:val="7E64422F"/>
    <w:rsid w:val="7E6E1FAF"/>
    <w:rsid w:val="7EDA0885"/>
    <w:rsid w:val="7F3B4953"/>
    <w:rsid w:val="7FA87048"/>
    <w:rsid w:val="7FB637C2"/>
    <w:rsid w:val="7FE03859"/>
    <w:rsid w:val="7FF16F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9" w:semiHidden="0" w:name="heading 3" w:locked="1"/>
    <w:lsdException w:qFormat="1" w:unhideWhenUsed="0" w:uiPriority="0"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qFormat="1" w:uiPriority="0" w:semiHidden="0" w:name="index 1" w:locked="1"/>
    <w:lsdException w:qFormat="1" w:unhideWhenUsed="0" w:uiPriority="0" w:semiHidden="0" w:name="index 2" w:locked="1"/>
    <w:lsdException w:qFormat="1" w:unhideWhenUsed="0" w:uiPriority="0" w:semiHidden="0" w:name="index 3" w:locked="1"/>
    <w:lsdException w:qFormat="1" w:unhideWhenUsed="0" w:uiPriority="0" w:semiHidden="0" w:name="index 4" w:locked="1"/>
    <w:lsdException w:qFormat="1" w:unhideWhenUsed="0" w:uiPriority="0" w:semiHidden="0" w:name="index 5" w:locked="1"/>
    <w:lsdException w:qFormat="1" w:unhideWhenUsed="0" w:uiPriority="0" w:semiHidden="0" w:name="index 6" w:locked="1"/>
    <w:lsdException w:qFormat="1" w:unhideWhenUsed="0" w:uiPriority="0" w:semiHidden="0" w:name="index 7" w:locked="1"/>
    <w:lsdException w:qFormat="1" w:unhideWhenUsed="0" w:uiPriority="0" w:semiHidden="0" w:name="index 8" w:locked="1"/>
    <w:lsdException w:qFormat="1" w:unhideWhenUsed="0" w:uiPriority="0" w:semiHidden="0" w:name="index 9" w:locked="1"/>
    <w:lsdException w:qFormat="1" w:unhideWhenUsed="0" w:uiPriority="39" w:semiHidden="0" w:name="toc 1" w:locked="1"/>
    <w:lsdException w:qFormat="1" w:uiPriority="39" w:semiHidden="0" w:name="toc 2" w:locked="1"/>
    <w:lsdException w:qFormat="1" w:uiPriority="39" w:semiHidden="0" w:name="toc 3" w:locked="1"/>
    <w:lsdException w:qFormat="1" w:uiPriority="39" w:semiHidden="0" w:name="toc 4" w:locked="1"/>
    <w:lsdException w:qFormat="1" w:uiPriority="39" w:semiHidden="0" w:name="toc 5" w:locked="1"/>
    <w:lsdException w:qFormat="1" w:uiPriority="39" w:semiHidden="0" w:name="toc 6" w:locked="1"/>
    <w:lsdException w:qFormat="1" w:uiPriority="39" w:semiHidden="0" w:name="toc 7" w:locked="1"/>
    <w:lsdException w:qFormat="1" w:uiPriority="39" w:semiHidden="0" w:name="toc 8" w:locked="1"/>
    <w:lsdException w:qFormat="1" w:unhideWhenUsed="0" w:uiPriority="39" w:semiHidden="0" w:name="toc 9" w:locked="1"/>
    <w:lsdException w:qFormat="1" w:unhideWhenUsed="0" w:uiPriority="99" w:semiHidden="0" w:name="Normal Indent" w:locked="1"/>
    <w:lsdException w:qFormat="1"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nhideWhenUsed="0" w:uiPriority="0" w:semiHidden="0" w:name="caption" w:locked="1"/>
    <w:lsdException w:qFormat="1" w:unhideWhenUsed="0" w:uiPriority="0" w:semiHidden="0" w:name="table of figures" w:locked="1"/>
    <w:lsdException w:qFormat="1" w:unhideWhenUsed="0" w:uiPriority="0" w:semiHidden="0" w:name="envelope address" w:locked="1"/>
    <w:lsdException w:qFormat="1" w:unhideWhenUsed="0" w:uiPriority="0" w:semiHidden="0" w:name="envelope return" w:locked="1"/>
    <w:lsdException w:qFormat="1" w:uiPriority="0" w:semiHidden="0" w:name="footnote reference" w:locked="1"/>
    <w:lsdException w:qFormat="1" w:unhideWhenUsed="0" w:uiPriority="0" w:semiHidden="0" w:name="annotation reference"/>
    <w:lsdException w:qFormat="1" w:unhideWhenUsed="0" w:uiPriority="0" w:semiHidden="0" w:name="line number" w:locked="1"/>
    <w:lsdException w:qFormat="1" w:unhideWhenUsed="0" w:uiPriority="0" w:semiHidden="0" w:name="page number" w:locked="1"/>
    <w:lsdException w:uiPriority="0" w:name="endnote reference" w:locked="1"/>
    <w:lsdException w:qFormat="1" w:unhideWhenUsed="0" w:uiPriority="0" w:semiHidden="0" w:name="endnote text" w:locked="1"/>
    <w:lsdException w:qFormat="1" w:unhideWhenUsed="0" w:uiPriority="0" w:semiHidden="0" w:name="table of authorities" w:locked="1"/>
    <w:lsdException w:qFormat="1" w:unhideWhenUsed="0" w:uiPriority="0" w:semiHidden="0" w:name="macro" w:locked="1"/>
    <w:lsdException w:qFormat="1" w:unhideWhenUsed="0" w:uiPriority="0" w:semiHidden="0" w:name="toa heading" w:locked="1"/>
    <w:lsdException w:qFormat="1" w:unhideWhenUsed="0" w:uiPriority="0" w:semiHidden="0" w:name="List" w:locked="1"/>
    <w:lsdException w:qFormat="1" w:uiPriority="0" w:semiHidden="0" w:name="List Bullet" w:locked="1"/>
    <w:lsdException w:qFormat="1" w:unhideWhenUsed="0" w:uiPriority="0" w:semiHidden="0" w:name="List Number" w:locked="1"/>
    <w:lsdException w:qFormat="1" w:unhideWhenUsed="0" w:uiPriority="0" w:semiHidden="0" w:name="List 2" w:locked="1"/>
    <w:lsdException w:qFormat="1" w:unhideWhenUsed="0" w:uiPriority="0" w:semiHidden="0" w:name="List 3" w:locked="1"/>
    <w:lsdException w:qFormat="1" w:unhideWhenUsed="0" w:uiPriority="0" w:semiHidden="0" w:name="List 4" w:locked="1"/>
    <w:lsdException w:qFormat="1" w:unhideWhenUsed="0" w:uiPriority="0" w:semiHidden="0" w:name="List 5" w:locked="1"/>
    <w:lsdException w:qFormat="1" w:unhideWhenUsed="0" w:uiPriority="0" w:semiHidden="0" w:name="List Bullet 2" w:locked="1"/>
    <w:lsdException w:qFormat="1" w:unhideWhenUsed="0" w:uiPriority="0" w:semiHidden="0" w:name="List Bullet 3" w:locked="1"/>
    <w:lsdException w:qFormat="1" w:unhideWhenUsed="0" w:uiPriority="0" w:semiHidden="0" w:name="List Bullet 4" w:locked="1"/>
    <w:lsdException w:qFormat="1" w:unhideWhenUsed="0" w:uiPriority="0" w:semiHidden="0" w:name="List Bullet 5" w:locked="1"/>
    <w:lsdException w:qFormat="1" w:unhideWhenUsed="0" w:uiPriority="0" w:semiHidden="0" w:name="List Number 2" w:locked="1"/>
    <w:lsdException w:qFormat="1" w:unhideWhenUsed="0" w:uiPriority="0" w:semiHidden="0" w:name="List Number 3" w:locked="1"/>
    <w:lsdException w:qFormat="1" w:unhideWhenUsed="0" w:uiPriority="0" w:semiHidden="0" w:name="List Number 4" w:locked="1"/>
    <w:lsdException w:qFormat="1" w:unhideWhenUsed="0" w:uiPriority="0" w:semiHidden="0" w:name="List Number 5" w:locked="1"/>
    <w:lsdException w:qFormat="1" w:unhideWhenUsed="0" w:uiPriority="0" w:semiHidden="0" w:name="Title" w:locked="1"/>
    <w:lsdException w:qFormat="1" w:unhideWhenUsed="0" w:uiPriority="0" w:semiHidden="0" w:name="Closing" w:locked="1"/>
    <w:lsdException w:qFormat="1" w:unhideWhenUsed="0" w:uiPriority="0" w:semiHidden="0" w:name="Signature" w:locked="1"/>
    <w:lsdException w:qFormat="1" w:uiPriority="1" w:name="Default Paragraph Font"/>
    <w:lsdException w:qFormat="1" w:unhideWhenUsed="0" w:uiPriority="0" w:semiHidden="0" w:name="Body Text"/>
    <w:lsdException w:qFormat="1" w:unhideWhenUsed="0" w:uiPriority="99" w:semiHidden="0" w:name="Body Text Indent"/>
    <w:lsdException w:qFormat="1" w:unhideWhenUsed="0" w:uiPriority="0" w:semiHidden="0" w:name="List Continue" w:locked="1"/>
    <w:lsdException w:qFormat="1" w:unhideWhenUsed="0" w:uiPriority="0" w:semiHidden="0" w:name="List Continue 2" w:locked="1"/>
    <w:lsdException w:qFormat="1" w:unhideWhenUsed="0" w:uiPriority="0" w:semiHidden="0" w:name="List Continue 3" w:locked="1"/>
    <w:lsdException w:qFormat="1" w:unhideWhenUsed="0" w:uiPriority="0" w:semiHidden="0" w:name="List Continue 4" w:locked="1"/>
    <w:lsdException w:qFormat="1" w:unhideWhenUsed="0" w:uiPriority="0" w:semiHidden="0" w:name="List Continue 5" w:locked="1"/>
    <w:lsdException w:qFormat="1"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iPriority="99" w:semiHidden="0" w:name="Hyperlink" w:locked="1"/>
    <w:lsdException w:qFormat="1" w:uiPriority="99" w:semiHidden="0" w:name="FollowedHyperlink" w:locked="1"/>
    <w:lsdException w:qFormat="1" w:unhideWhenUsed="0" w:uiPriority="22" w:semiHidden="0" w:name="Strong" w:locked="1"/>
    <w:lsdException w:qFormat="1" w:unhideWhenUsed="0" w:uiPriority="20" w:semiHidden="0" w:name="Emphasis" w:locked="1"/>
    <w:lsdException w:qFormat="1" w:unhideWhenUsed="0" w:uiPriority="99" w:semiHidden="0" w:name="Document Map" w:locked="1"/>
    <w:lsdException w:qFormat="1" w:unhideWhenUsed="0" w:uiPriority="0" w:semiHidden="0" w:name="Plain Text" w:locked="1"/>
    <w:lsdException w:qFormat="1" w:unhideWhenUsed="0" w:uiPriority="0" w:semiHidden="0" w:name="E-mail Signature" w:locked="1"/>
    <w:lsdException w:qFormat="1" w:unhideWhenUsed="0" w:uiPriority="99" w:semiHidden="0" w:name="Normal (Web)"/>
    <w:lsdException w:qFormat="1" w:unhideWhenUsed="0" w:uiPriority="0" w:semiHidden="0" w:name="HTML Acronym" w:locked="1"/>
    <w:lsdException w:qFormat="1"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qFormat="1" w:unhideWhenUsed="0" w:uiPriority="99" w:semiHidden="0" w:name="HTML Preformatted" w:locked="1"/>
    <w:lsdException w:qFormat="1" w:unhideWhenUsed="0" w:uiPriority="0" w:semiHidden="0" w:name="HTML Sample" w:locked="1"/>
    <w:lsdException w:qFormat="1" w:unhideWhenUsed="0" w:uiPriority="0" w:semiHidden="0" w:name="HTML Typewriter" w:locked="1"/>
    <w:lsdException w:qFormat="1" w:unhideWhenUsed="0" w:uiPriority="0" w:semiHidden="0" w:name="HTML Variable" w:locked="1"/>
    <w:lsdException w:qFormat="1" w:uiPriority="99" w:name="Normal Table"/>
    <w:lsdException w:qFormat="1" w:unhideWhenUsed="0" w:uiPriority="0" w:semiHidden="0" w:name="annotation subject"/>
    <w:lsdException w:qFormat="1" w:uiPriority="0" w:name="Table Simple 1" w:locked="1"/>
    <w:lsdException w:qFormat="1" w:uiPriority="0" w:name="Table Simple 2" w:locked="1"/>
    <w:lsdException w:qFormat="1" w:uiPriority="0" w:name="Table Simple 3" w:locked="1"/>
    <w:lsdException w:qFormat="1" w:uiPriority="0" w:name="Table Classic 1" w:locked="1"/>
    <w:lsdException w:qFormat="1" w:uiPriority="0" w:name="Table Classic 2" w:locked="1"/>
    <w:lsdException w:qFormat="1" w:uiPriority="0" w:name="Table Classic 3" w:locked="1"/>
    <w:lsdException w:qFormat="1" w:uiPriority="0" w:name="Table Classic 4" w:locked="1"/>
    <w:lsdException w:qFormat="1" w:uiPriority="0" w:name="Table Colorful 1" w:locked="1"/>
    <w:lsdException w:qFormat="1" w:uiPriority="0" w:name="Table Colorful 2" w:locked="1"/>
    <w:lsdException w:qFormat="1" w:uiPriority="0" w:name="Table Colorful 3" w:locked="1"/>
    <w:lsdException w:qFormat="1"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qFormat="1" w:uiPriority="0" w:name="Table List 1" w:locked="1"/>
    <w:lsdException w:qFormat="1" w:uiPriority="0" w:name="Table List 2" w:locked="1"/>
    <w:lsdException w:qFormat="1" w:uiPriority="0" w:name="Table List 3" w:locked="1"/>
    <w:lsdException w:qFormat="1" w:uiPriority="0" w:name="Table List 4" w:locked="1"/>
    <w:lsdException w:qFormat="1" w:uiPriority="0" w:name="Table List 5" w:locked="1"/>
    <w:lsdException w:qFormat="1" w:uiPriority="0" w:name="Table List 6" w:locked="1"/>
    <w:lsdException w:qFormat="1" w:uiPriority="0" w:name="Table List 7" w:locked="1"/>
    <w:lsdException w:qFormat="1" w:uiPriority="0" w:name="Table List 8" w:locked="1"/>
    <w:lsdException w:qFormat="1" w:uiPriority="0" w:name="Table 3D effects 1" w:locked="1"/>
    <w:lsdException w:qFormat="1" w:uiPriority="0" w:name="Table 3D effects 2" w:locked="1"/>
    <w:lsdException w:qFormat="1" w:uiPriority="0" w:name="Table 3D effects 3" w:locked="1"/>
    <w:lsdException w:qFormat="1" w:uiPriority="0" w:name="Table Contemporary" w:locked="1"/>
    <w:lsdException w:qFormat="1" w:uiPriority="0" w:name="Table Elegant" w:locked="1"/>
    <w:lsdException w:uiPriority="0" w:name="Table Professional" w:locked="1"/>
    <w:lsdException w:qFormat="1" w:uiPriority="0" w:name="Table Subtle 1" w:locked="1"/>
    <w:lsdException w:qFormat="1" w:uiPriority="0" w:name="Table Subtle 2" w:locked="1"/>
    <w:lsdException w:uiPriority="0" w:name="Table Web 1" w:locked="1"/>
    <w:lsdException w:uiPriority="0" w:name="Table Web 2" w:locked="1"/>
    <w:lsdException w:uiPriority="0" w:name="Table Web 3" w:locked="1"/>
    <w:lsdException w:qFormat="1" w:unhideWhenUsed="0" w:uiPriority="99" w:semiHidden="0" w:name="Balloon Text"/>
    <w:lsdException w:qFormat="1" w:unhideWhenUsed="0" w:uiPriority="0" w:semiHidden="0" w:name="Table Grid"/>
    <w:lsdException w:qFormat="1" w:uiPriority="0" w:name="Table Theme" w:locked="1"/>
    <w:lsdException w:qFormat="1" w:unhideWhenUsed="0" w:uiPriority="0"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11"/>
    <w:autoRedefine/>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lang w:val="zh-CN"/>
    </w:rPr>
  </w:style>
  <w:style w:type="paragraph" w:styleId="4">
    <w:name w:val="heading 2"/>
    <w:basedOn w:val="1"/>
    <w:next w:val="1"/>
    <w:link w:val="112"/>
    <w:autoRedefine/>
    <w:qFormat/>
    <w:locked/>
    <w:uiPriority w:val="0"/>
    <w:pPr>
      <w:keepNext/>
      <w:keepLines/>
      <w:spacing w:before="260" w:after="260" w:line="416" w:lineRule="auto"/>
      <w:outlineLvl w:val="1"/>
    </w:pPr>
    <w:rPr>
      <w:rFonts w:ascii="Cambria" w:hAnsi="Cambria"/>
      <w:b/>
      <w:bCs/>
      <w:kern w:val="0"/>
      <w:sz w:val="32"/>
      <w:szCs w:val="32"/>
      <w:lang w:val="zh-CN"/>
    </w:rPr>
  </w:style>
  <w:style w:type="paragraph" w:styleId="5">
    <w:name w:val="heading 3"/>
    <w:basedOn w:val="1"/>
    <w:next w:val="1"/>
    <w:link w:val="113"/>
    <w:autoRedefine/>
    <w:unhideWhenUsed/>
    <w:qFormat/>
    <w:locked/>
    <w:uiPriority w:val="9"/>
    <w:pPr>
      <w:keepNext/>
      <w:keepLines/>
      <w:spacing w:before="260" w:after="260" w:line="416" w:lineRule="auto"/>
      <w:outlineLvl w:val="2"/>
    </w:pPr>
    <w:rPr>
      <w:b/>
      <w:bCs/>
      <w:sz w:val="32"/>
      <w:szCs w:val="32"/>
      <w:lang w:val="zh-CN"/>
    </w:rPr>
  </w:style>
  <w:style w:type="paragraph" w:styleId="6">
    <w:name w:val="heading 4"/>
    <w:basedOn w:val="1"/>
    <w:next w:val="1"/>
    <w:link w:val="114"/>
    <w:autoRedefine/>
    <w:qFormat/>
    <w:locked/>
    <w:uiPriority w:val="0"/>
    <w:pPr>
      <w:keepNext/>
      <w:keepLines/>
      <w:spacing w:before="280" w:after="290" w:line="376" w:lineRule="auto"/>
      <w:ind w:left="864" w:hanging="144"/>
      <w:outlineLvl w:val="3"/>
    </w:pPr>
    <w:rPr>
      <w:rFonts w:ascii="Arial" w:hAnsi="Arial" w:eastAsia="黑体"/>
      <w:b/>
      <w:bCs/>
      <w:kern w:val="0"/>
      <w:sz w:val="28"/>
      <w:szCs w:val="28"/>
      <w:lang w:val="zh-CN"/>
    </w:rPr>
  </w:style>
  <w:style w:type="paragraph" w:styleId="7">
    <w:name w:val="heading 5"/>
    <w:basedOn w:val="1"/>
    <w:next w:val="1"/>
    <w:link w:val="115"/>
    <w:autoRedefine/>
    <w:qFormat/>
    <w:locked/>
    <w:uiPriority w:val="0"/>
    <w:pPr>
      <w:keepNext/>
      <w:keepLines/>
      <w:spacing w:before="280" w:after="290" w:line="372" w:lineRule="auto"/>
      <w:ind w:left="1008" w:hanging="432"/>
      <w:outlineLvl w:val="4"/>
    </w:pPr>
    <w:rPr>
      <w:b/>
      <w:kern w:val="0"/>
      <w:sz w:val="28"/>
      <w:szCs w:val="20"/>
      <w:lang w:val="zh-CN"/>
    </w:rPr>
  </w:style>
  <w:style w:type="paragraph" w:styleId="8">
    <w:name w:val="heading 6"/>
    <w:basedOn w:val="1"/>
    <w:next w:val="9"/>
    <w:link w:val="117"/>
    <w:autoRedefine/>
    <w:qFormat/>
    <w:locked/>
    <w:uiPriority w:val="0"/>
    <w:pPr>
      <w:tabs>
        <w:tab w:val="left" w:pos="592"/>
      </w:tabs>
      <w:spacing w:line="360" w:lineRule="auto"/>
      <w:ind w:left="1152" w:hanging="432"/>
      <w:outlineLvl w:val="5"/>
    </w:pPr>
    <w:rPr>
      <w:kern w:val="0"/>
      <w:sz w:val="28"/>
      <w:szCs w:val="20"/>
      <w:lang w:val="zh-CN"/>
    </w:rPr>
  </w:style>
  <w:style w:type="paragraph" w:styleId="10">
    <w:name w:val="heading 7"/>
    <w:basedOn w:val="1"/>
    <w:next w:val="1"/>
    <w:link w:val="118"/>
    <w:autoRedefine/>
    <w:qFormat/>
    <w:locked/>
    <w:uiPriority w:val="0"/>
    <w:pPr>
      <w:keepNext/>
      <w:keepLines/>
      <w:tabs>
        <w:tab w:val="left" w:pos="736"/>
      </w:tabs>
      <w:spacing w:before="240" w:after="64" w:line="317" w:lineRule="auto"/>
      <w:ind w:left="1296" w:hanging="288"/>
      <w:outlineLvl w:val="6"/>
    </w:pPr>
    <w:rPr>
      <w:b/>
      <w:kern w:val="0"/>
      <w:sz w:val="24"/>
      <w:szCs w:val="20"/>
      <w:lang w:val="zh-CN"/>
    </w:rPr>
  </w:style>
  <w:style w:type="paragraph" w:styleId="11">
    <w:name w:val="heading 8"/>
    <w:basedOn w:val="1"/>
    <w:next w:val="1"/>
    <w:link w:val="119"/>
    <w:autoRedefine/>
    <w:qFormat/>
    <w:locked/>
    <w:uiPriority w:val="0"/>
    <w:pPr>
      <w:keepNext/>
      <w:keepLines/>
      <w:tabs>
        <w:tab w:val="left" w:pos="880"/>
      </w:tabs>
      <w:spacing w:before="240" w:after="64" w:line="317" w:lineRule="auto"/>
      <w:ind w:left="1440" w:hanging="432"/>
      <w:outlineLvl w:val="7"/>
    </w:pPr>
    <w:rPr>
      <w:rFonts w:ascii="Arial" w:hAnsi="Arial" w:eastAsia="黑体"/>
      <w:kern w:val="0"/>
      <w:sz w:val="24"/>
      <w:szCs w:val="20"/>
      <w:lang w:val="zh-CN"/>
    </w:rPr>
  </w:style>
  <w:style w:type="paragraph" w:styleId="12">
    <w:name w:val="heading 9"/>
    <w:basedOn w:val="1"/>
    <w:next w:val="1"/>
    <w:link w:val="120"/>
    <w:autoRedefine/>
    <w:qFormat/>
    <w:locked/>
    <w:uiPriority w:val="0"/>
    <w:pPr>
      <w:keepNext/>
      <w:keepLines/>
      <w:tabs>
        <w:tab w:val="left" w:pos="1024"/>
      </w:tabs>
      <w:spacing w:before="240" w:after="64" w:line="317" w:lineRule="auto"/>
      <w:ind w:left="1584" w:hanging="144"/>
      <w:outlineLvl w:val="8"/>
    </w:pPr>
    <w:rPr>
      <w:rFonts w:ascii="Arial" w:hAnsi="Arial" w:eastAsia="黑体"/>
      <w:kern w:val="0"/>
      <w:sz w:val="20"/>
      <w:szCs w:val="20"/>
      <w:lang w:val="zh-CN"/>
    </w:rPr>
  </w:style>
  <w:style w:type="character" w:default="1" w:styleId="90">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155"/>
    <w:autoRedefine/>
    <w:qFormat/>
    <w:locked/>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pPr>
    <w:rPr>
      <w:rFonts w:ascii="Courier New" w:hAnsi="Courier New" w:eastAsia="宋体" w:cs="Times New Roman"/>
      <w:kern w:val="2"/>
      <w:sz w:val="24"/>
      <w:szCs w:val="24"/>
      <w:lang w:val="en-US" w:eastAsia="zh-CN" w:bidi="ar-SA"/>
    </w:rPr>
  </w:style>
  <w:style w:type="paragraph" w:styleId="9">
    <w:name w:val="Normal Indent"/>
    <w:basedOn w:val="1"/>
    <w:link w:val="116"/>
    <w:autoRedefine/>
    <w:qFormat/>
    <w:locked/>
    <w:uiPriority w:val="99"/>
    <w:pPr>
      <w:ind w:firstLine="420" w:firstLineChars="200"/>
    </w:pPr>
    <w:rPr>
      <w:lang w:val="zh-CN"/>
    </w:rPr>
  </w:style>
  <w:style w:type="paragraph" w:styleId="13">
    <w:name w:val="List 3"/>
    <w:basedOn w:val="1"/>
    <w:autoRedefine/>
    <w:qFormat/>
    <w:locked/>
    <w:uiPriority w:val="0"/>
    <w:pPr>
      <w:spacing w:before="60"/>
      <w:ind w:left="1260" w:hanging="420"/>
    </w:pPr>
    <w:rPr>
      <w:rFonts w:ascii="Arial" w:hAnsi="Arial" w:eastAsia="仿宋_GB2312"/>
      <w:kern w:val="0"/>
      <w:sz w:val="24"/>
      <w:szCs w:val="20"/>
    </w:rPr>
  </w:style>
  <w:style w:type="paragraph" w:styleId="14">
    <w:name w:val="toc 7"/>
    <w:basedOn w:val="1"/>
    <w:next w:val="1"/>
    <w:autoRedefine/>
    <w:unhideWhenUsed/>
    <w:qFormat/>
    <w:locked/>
    <w:uiPriority w:val="39"/>
    <w:pPr>
      <w:ind w:left="1260"/>
      <w:jc w:val="left"/>
    </w:pPr>
    <w:rPr>
      <w:rFonts w:cs="Calibri"/>
      <w:sz w:val="18"/>
      <w:szCs w:val="18"/>
    </w:rPr>
  </w:style>
  <w:style w:type="paragraph" w:styleId="15">
    <w:name w:val="List Number 2"/>
    <w:basedOn w:val="1"/>
    <w:autoRedefine/>
    <w:qFormat/>
    <w:locked/>
    <w:uiPriority w:val="0"/>
    <w:pPr>
      <w:tabs>
        <w:tab w:val="left" w:pos="780"/>
      </w:tabs>
      <w:spacing w:before="60"/>
      <w:ind w:left="780" w:hanging="360"/>
    </w:pPr>
    <w:rPr>
      <w:rFonts w:ascii="Arial" w:hAnsi="Arial" w:eastAsia="仿宋_GB2312"/>
      <w:kern w:val="0"/>
      <w:sz w:val="24"/>
      <w:szCs w:val="20"/>
    </w:rPr>
  </w:style>
  <w:style w:type="paragraph" w:styleId="16">
    <w:name w:val="table of authorities"/>
    <w:basedOn w:val="1"/>
    <w:next w:val="1"/>
    <w:autoRedefine/>
    <w:qFormat/>
    <w:locked/>
    <w:uiPriority w:val="0"/>
    <w:pPr>
      <w:adjustRightInd w:val="0"/>
      <w:snapToGrid w:val="0"/>
      <w:spacing w:line="300" w:lineRule="auto"/>
      <w:ind w:left="420" w:leftChars="200"/>
    </w:pPr>
    <w:rPr>
      <w:rFonts w:ascii="仿宋_GB2312" w:eastAsia="仿宋_GB2312"/>
      <w:sz w:val="28"/>
    </w:rPr>
  </w:style>
  <w:style w:type="paragraph" w:styleId="17">
    <w:name w:val="Note Heading"/>
    <w:basedOn w:val="1"/>
    <w:next w:val="1"/>
    <w:link w:val="156"/>
    <w:autoRedefine/>
    <w:qFormat/>
    <w:locked/>
    <w:uiPriority w:val="0"/>
    <w:pPr>
      <w:jc w:val="center"/>
    </w:pPr>
    <w:rPr>
      <w:rFonts w:ascii="新宋体" w:hAnsi="新宋体"/>
      <w:kern w:val="0"/>
      <w:sz w:val="20"/>
      <w:szCs w:val="20"/>
      <w:lang w:val="zh-CN"/>
    </w:rPr>
  </w:style>
  <w:style w:type="paragraph" w:styleId="18">
    <w:name w:val="List Bullet 4"/>
    <w:basedOn w:val="1"/>
    <w:autoRedefine/>
    <w:qFormat/>
    <w:locked/>
    <w:uiPriority w:val="0"/>
    <w:pPr>
      <w:tabs>
        <w:tab w:val="left" w:pos="1620"/>
      </w:tabs>
      <w:spacing w:before="60"/>
      <w:ind w:left="1620" w:leftChars="600" w:hanging="360" w:hangingChars="200"/>
    </w:pPr>
    <w:rPr>
      <w:rFonts w:ascii="Arial" w:hAnsi="Arial" w:eastAsia="仿宋_GB2312"/>
      <w:kern w:val="0"/>
      <w:sz w:val="24"/>
      <w:szCs w:val="20"/>
    </w:rPr>
  </w:style>
  <w:style w:type="paragraph" w:styleId="19">
    <w:name w:val="index 8"/>
    <w:basedOn w:val="1"/>
    <w:next w:val="1"/>
    <w:autoRedefine/>
    <w:qFormat/>
    <w:locked/>
    <w:uiPriority w:val="0"/>
    <w:pPr>
      <w:adjustRightInd w:val="0"/>
      <w:snapToGrid w:val="0"/>
      <w:spacing w:line="300" w:lineRule="auto"/>
      <w:ind w:left="1400" w:leftChars="1400"/>
    </w:pPr>
    <w:rPr>
      <w:rFonts w:ascii="仿宋_GB2312" w:eastAsia="仿宋_GB2312"/>
      <w:sz w:val="28"/>
    </w:rPr>
  </w:style>
  <w:style w:type="paragraph" w:styleId="20">
    <w:name w:val="E-mail Signature"/>
    <w:basedOn w:val="1"/>
    <w:link w:val="157"/>
    <w:autoRedefine/>
    <w:qFormat/>
    <w:locked/>
    <w:uiPriority w:val="0"/>
    <w:pPr>
      <w:spacing w:before="60"/>
      <w:ind w:firstLine="482"/>
    </w:pPr>
    <w:rPr>
      <w:rFonts w:ascii="Arial" w:hAnsi="Arial" w:eastAsia="仿宋_GB2312"/>
      <w:kern w:val="0"/>
      <w:sz w:val="24"/>
      <w:szCs w:val="20"/>
      <w:lang w:val="zh-CN"/>
    </w:rPr>
  </w:style>
  <w:style w:type="paragraph" w:styleId="21">
    <w:name w:val="List Number"/>
    <w:basedOn w:val="1"/>
    <w:autoRedefine/>
    <w:qFormat/>
    <w:locked/>
    <w:uiPriority w:val="0"/>
    <w:pPr>
      <w:tabs>
        <w:tab w:val="left" w:pos="360"/>
      </w:tabs>
      <w:ind w:left="360" w:hanging="360"/>
    </w:pPr>
    <w:rPr>
      <w:rFonts w:ascii="楷体_GB2312" w:eastAsia="楷体_GB2312"/>
      <w:sz w:val="28"/>
      <w:szCs w:val="20"/>
    </w:rPr>
  </w:style>
  <w:style w:type="paragraph" w:styleId="22">
    <w:name w:val="caption"/>
    <w:basedOn w:val="1"/>
    <w:next w:val="1"/>
    <w:link w:val="158"/>
    <w:autoRedefine/>
    <w:qFormat/>
    <w:locked/>
    <w:uiPriority w:val="0"/>
    <w:pPr>
      <w:widowControl/>
      <w:spacing w:after="124" w:line="264" w:lineRule="auto"/>
      <w:ind w:left="5" w:right="142" w:hanging="5"/>
      <w:jc w:val="left"/>
    </w:pPr>
    <w:rPr>
      <w:rFonts w:ascii="Cambria" w:hAnsi="Cambria" w:eastAsia="黑体"/>
      <w:color w:val="000000"/>
      <w:kern w:val="0"/>
      <w:sz w:val="20"/>
      <w:szCs w:val="20"/>
      <w:lang w:val="zh-CN"/>
    </w:rPr>
  </w:style>
  <w:style w:type="paragraph" w:styleId="23">
    <w:name w:val="index 5"/>
    <w:basedOn w:val="1"/>
    <w:next w:val="1"/>
    <w:autoRedefine/>
    <w:qFormat/>
    <w:locked/>
    <w:uiPriority w:val="0"/>
    <w:pPr>
      <w:adjustRightInd w:val="0"/>
      <w:snapToGrid w:val="0"/>
      <w:spacing w:line="300" w:lineRule="auto"/>
      <w:ind w:left="800" w:leftChars="800"/>
    </w:pPr>
    <w:rPr>
      <w:rFonts w:ascii="仿宋_GB2312" w:eastAsia="仿宋_GB2312"/>
      <w:sz w:val="28"/>
    </w:rPr>
  </w:style>
  <w:style w:type="paragraph" w:styleId="24">
    <w:name w:val="List Bullet"/>
    <w:basedOn w:val="1"/>
    <w:autoRedefine/>
    <w:unhideWhenUsed/>
    <w:qFormat/>
    <w:locked/>
    <w:uiPriority w:val="0"/>
    <w:pPr>
      <w:widowControl/>
      <w:numPr>
        <w:ilvl w:val="0"/>
        <w:numId w:val="1"/>
      </w:numPr>
      <w:spacing w:line="240" w:lineRule="exact"/>
      <w:contextualSpacing/>
      <w:jc w:val="left"/>
    </w:pPr>
    <w:rPr>
      <w:kern w:val="0"/>
      <w:sz w:val="20"/>
      <w:szCs w:val="20"/>
    </w:rPr>
  </w:style>
  <w:style w:type="paragraph" w:styleId="25">
    <w:name w:val="envelope address"/>
    <w:basedOn w:val="1"/>
    <w:autoRedefine/>
    <w:qFormat/>
    <w:locked/>
    <w:uiPriority w:val="0"/>
    <w:pPr>
      <w:framePr w:w="7920" w:h="1980" w:hRule="exact" w:hSpace="180" w:wrap="around" w:vAnchor="margin" w:hAnchor="page" w:xAlign="center" w:yAlign="bottom"/>
      <w:snapToGrid w:val="0"/>
      <w:spacing w:before="60"/>
      <w:ind w:left="2880" w:firstLine="482"/>
    </w:pPr>
    <w:rPr>
      <w:rFonts w:ascii="Arial" w:hAnsi="Arial" w:eastAsia="仿宋_GB2312" w:cs="Arial"/>
      <w:kern w:val="0"/>
      <w:sz w:val="24"/>
      <w:szCs w:val="20"/>
    </w:rPr>
  </w:style>
  <w:style w:type="paragraph" w:styleId="26">
    <w:name w:val="Document Map"/>
    <w:basedOn w:val="1"/>
    <w:link w:val="159"/>
    <w:autoRedefine/>
    <w:qFormat/>
    <w:locked/>
    <w:uiPriority w:val="99"/>
    <w:pPr>
      <w:shd w:val="clear" w:color="auto" w:fill="000080"/>
    </w:pPr>
    <w:rPr>
      <w:rFonts w:ascii="宋体"/>
      <w:kern w:val="0"/>
      <w:sz w:val="18"/>
      <w:szCs w:val="18"/>
      <w:lang w:val="zh-CN"/>
    </w:rPr>
  </w:style>
  <w:style w:type="paragraph" w:styleId="27">
    <w:name w:val="toa heading"/>
    <w:basedOn w:val="1"/>
    <w:next w:val="1"/>
    <w:autoRedefine/>
    <w:qFormat/>
    <w:locked/>
    <w:uiPriority w:val="0"/>
    <w:pPr>
      <w:adjustRightInd w:val="0"/>
      <w:snapToGrid w:val="0"/>
      <w:spacing w:before="120" w:line="300" w:lineRule="auto"/>
    </w:pPr>
    <w:rPr>
      <w:rFonts w:ascii="Arial" w:hAnsi="Arial" w:cs="Arial"/>
      <w:sz w:val="24"/>
    </w:rPr>
  </w:style>
  <w:style w:type="paragraph" w:styleId="28">
    <w:name w:val="annotation text"/>
    <w:basedOn w:val="1"/>
    <w:link w:val="121"/>
    <w:autoRedefine/>
    <w:qFormat/>
    <w:uiPriority w:val="0"/>
    <w:pPr>
      <w:jc w:val="left"/>
    </w:pPr>
    <w:rPr>
      <w:kern w:val="0"/>
      <w:sz w:val="24"/>
      <w:szCs w:val="20"/>
      <w:lang w:val="zh-CN"/>
    </w:rPr>
  </w:style>
  <w:style w:type="paragraph" w:styleId="29">
    <w:name w:val="index 6"/>
    <w:basedOn w:val="1"/>
    <w:next w:val="1"/>
    <w:autoRedefine/>
    <w:qFormat/>
    <w:locked/>
    <w:uiPriority w:val="0"/>
    <w:pPr>
      <w:adjustRightInd w:val="0"/>
      <w:snapToGrid w:val="0"/>
      <w:spacing w:line="300" w:lineRule="auto"/>
      <w:ind w:left="1000" w:leftChars="1000"/>
    </w:pPr>
    <w:rPr>
      <w:rFonts w:ascii="仿宋_GB2312" w:eastAsia="仿宋_GB2312"/>
      <w:sz w:val="28"/>
    </w:rPr>
  </w:style>
  <w:style w:type="paragraph" w:styleId="30">
    <w:name w:val="Salutation"/>
    <w:basedOn w:val="1"/>
    <w:next w:val="1"/>
    <w:link w:val="160"/>
    <w:autoRedefine/>
    <w:qFormat/>
    <w:locked/>
    <w:uiPriority w:val="0"/>
    <w:pPr>
      <w:spacing w:before="60"/>
      <w:ind w:firstLine="482"/>
    </w:pPr>
    <w:rPr>
      <w:rFonts w:ascii="Arial" w:hAnsi="Arial" w:eastAsia="仿宋_GB2312"/>
      <w:kern w:val="0"/>
      <w:sz w:val="24"/>
      <w:szCs w:val="20"/>
      <w:lang w:val="zh-CN"/>
    </w:rPr>
  </w:style>
  <w:style w:type="paragraph" w:styleId="31">
    <w:name w:val="Body Text 3"/>
    <w:basedOn w:val="1"/>
    <w:link w:val="161"/>
    <w:autoRedefine/>
    <w:qFormat/>
    <w:locked/>
    <w:uiPriority w:val="0"/>
    <w:pPr>
      <w:jc w:val="center"/>
    </w:pPr>
    <w:rPr>
      <w:rFonts w:ascii="宋体"/>
      <w:caps/>
      <w:kern w:val="0"/>
      <w:sz w:val="20"/>
      <w:lang w:val="zh-CN"/>
    </w:rPr>
  </w:style>
  <w:style w:type="paragraph" w:styleId="32">
    <w:name w:val="Closing"/>
    <w:basedOn w:val="1"/>
    <w:link w:val="162"/>
    <w:autoRedefine/>
    <w:qFormat/>
    <w:locked/>
    <w:uiPriority w:val="0"/>
    <w:pPr>
      <w:spacing w:before="60"/>
      <w:ind w:left="4320" w:firstLine="482"/>
    </w:pPr>
    <w:rPr>
      <w:rFonts w:ascii="Arial" w:hAnsi="Arial" w:eastAsia="仿宋_GB2312"/>
      <w:kern w:val="0"/>
      <w:sz w:val="24"/>
      <w:szCs w:val="20"/>
      <w:lang w:val="zh-CN"/>
    </w:rPr>
  </w:style>
  <w:style w:type="paragraph" w:styleId="33">
    <w:name w:val="List Bullet 3"/>
    <w:basedOn w:val="1"/>
    <w:autoRedefine/>
    <w:qFormat/>
    <w:locked/>
    <w:uiPriority w:val="0"/>
    <w:pPr>
      <w:tabs>
        <w:tab w:val="left" w:pos="1200"/>
      </w:tabs>
      <w:spacing w:before="60"/>
      <w:ind w:left="1200" w:hanging="360"/>
    </w:pPr>
    <w:rPr>
      <w:rFonts w:ascii="Arial" w:hAnsi="Arial" w:eastAsia="仿宋_GB2312"/>
      <w:kern w:val="0"/>
      <w:sz w:val="24"/>
      <w:szCs w:val="20"/>
    </w:rPr>
  </w:style>
  <w:style w:type="paragraph" w:styleId="34">
    <w:name w:val="Body Text"/>
    <w:basedOn w:val="1"/>
    <w:link w:val="122"/>
    <w:autoRedefine/>
    <w:qFormat/>
    <w:uiPriority w:val="0"/>
    <w:pPr>
      <w:widowControl/>
      <w:snapToGrid w:val="0"/>
      <w:spacing w:before="60" w:after="160" w:line="259" w:lineRule="auto"/>
      <w:ind w:right="113"/>
    </w:pPr>
    <w:rPr>
      <w:kern w:val="0"/>
      <w:sz w:val="18"/>
      <w:szCs w:val="20"/>
      <w:lang w:val="zh-CN"/>
    </w:rPr>
  </w:style>
  <w:style w:type="paragraph" w:styleId="35">
    <w:name w:val="Body Text Indent"/>
    <w:basedOn w:val="1"/>
    <w:link w:val="123"/>
    <w:autoRedefine/>
    <w:qFormat/>
    <w:uiPriority w:val="99"/>
    <w:pPr>
      <w:spacing w:after="120"/>
      <w:ind w:left="420" w:leftChars="200"/>
    </w:pPr>
    <w:rPr>
      <w:kern w:val="0"/>
      <w:sz w:val="24"/>
      <w:szCs w:val="20"/>
      <w:lang w:val="zh-CN"/>
    </w:rPr>
  </w:style>
  <w:style w:type="paragraph" w:styleId="36">
    <w:name w:val="List Number 3"/>
    <w:basedOn w:val="1"/>
    <w:autoRedefine/>
    <w:qFormat/>
    <w:locked/>
    <w:uiPriority w:val="0"/>
    <w:pPr>
      <w:tabs>
        <w:tab w:val="left" w:pos="1200"/>
      </w:tabs>
      <w:spacing w:before="60"/>
      <w:ind w:left="1200" w:hanging="360"/>
    </w:pPr>
    <w:rPr>
      <w:rFonts w:ascii="Arial" w:hAnsi="Arial" w:eastAsia="仿宋_GB2312"/>
      <w:kern w:val="0"/>
      <w:sz w:val="24"/>
      <w:szCs w:val="20"/>
    </w:rPr>
  </w:style>
  <w:style w:type="paragraph" w:styleId="37">
    <w:name w:val="List 2"/>
    <w:basedOn w:val="1"/>
    <w:autoRedefine/>
    <w:qFormat/>
    <w:locked/>
    <w:uiPriority w:val="0"/>
    <w:pPr>
      <w:ind w:left="100" w:leftChars="200" w:hanging="200" w:hangingChars="200"/>
    </w:pPr>
    <w:rPr>
      <w:szCs w:val="20"/>
    </w:rPr>
  </w:style>
  <w:style w:type="paragraph" w:styleId="38">
    <w:name w:val="List Continue"/>
    <w:basedOn w:val="1"/>
    <w:autoRedefine/>
    <w:qFormat/>
    <w:locked/>
    <w:uiPriority w:val="0"/>
    <w:pPr>
      <w:spacing w:before="60" w:after="120"/>
      <w:ind w:left="420" w:firstLine="482"/>
    </w:pPr>
    <w:rPr>
      <w:rFonts w:ascii="Arial" w:hAnsi="Arial" w:eastAsia="仿宋_GB2312"/>
      <w:kern w:val="0"/>
      <w:sz w:val="24"/>
      <w:szCs w:val="20"/>
    </w:rPr>
  </w:style>
  <w:style w:type="paragraph" w:styleId="39">
    <w:name w:val="Block Text"/>
    <w:basedOn w:val="1"/>
    <w:autoRedefine/>
    <w:qFormat/>
    <w:locked/>
    <w:uiPriority w:val="0"/>
    <w:pPr>
      <w:ind w:left="-109" w:leftChars="-52" w:right="-46" w:rightChars="-46" w:firstLine="1"/>
      <w:jc w:val="center"/>
    </w:pPr>
    <w:rPr>
      <w:rFonts w:ascii="楷体_GB2312" w:hAnsi="宋体" w:eastAsia="楷体_GB2312"/>
      <w:szCs w:val="20"/>
    </w:rPr>
  </w:style>
  <w:style w:type="paragraph" w:styleId="40">
    <w:name w:val="List Bullet 2"/>
    <w:basedOn w:val="1"/>
    <w:autoRedefine/>
    <w:qFormat/>
    <w:locked/>
    <w:uiPriority w:val="0"/>
    <w:pPr>
      <w:tabs>
        <w:tab w:val="left" w:pos="780"/>
      </w:tabs>
      <w:spacing w:before="60"/>
      <w:ind w:left="780" w:leftChars="200" w:hanging="360" w:hangingChars="200"/>
    </w:pPr>
    <w:rPr>
      <w:rFonts w:ascii="Arial" w:hAnsi="Arial" w:eastAsia="仿宋_GB2312"/>
      <w:kern w:val="0"/>
      <w:sz w:val="24"/>
      <w:szCs w:val="20"/>
    </w:rPr>
  </w:style>
  <w:style w:type="paragraph" w:styleId="41">
    <w:name w:val="HTML Address"/>
    <w:basedOn w:val="1"/>
    <w:link w:val="163"/>
    <w:autoRedefine/>
    <w:qFormat/>
    <w:locked/>
    <w:uiPriority w:val="0"/>
    <w:pPr>
      <w:spacing w:before="60"/>
      <w:ind w:firstLine="482"/>
    </w:pPr>
    <w:rPr>
      <w:rFonts w:ascii="Arial" w:hAnsi="Arial" w:eastAsia="仿宋_GB2312"/>
      <w:i/>
      <w:iCs/>
      <w:kern w:val="0"/>
      <w:sz w:val="24"/>
      <w:szCs w:val="20"/>
      <w:lang w:val="zh-CN"/>
    </w:rPr>
  </w:style>
  <w:style w:type="paragraph" w:styleId="42">
    <w:name w:val="index 4"/>
    <w:basedOn w:val="1"/>
    <w:next w:val="1"/>
    <w:autoRedefine/>
    <w:qFormat/>
    <w:locked/>
    <w:uiPriority w:val="0"/>
    <w:pPr>
      <w:adjustRightInd w:val="0"/>
      <w:snapToGrid w:val="0"/>
      <w:spacing w:line="300" w:lineRule="auto"/>
      <w:ind w:left="600" w:leftChars="600"/>
    </w:pPr>
    <w:rPr>
      <w:rFonts w:ascii="仿宋_GB2312" w:eastAsia="仿宋_GB2312"/>
      <w:sz w:val="28"/>
    </w:rPr>
  </w:style>
  <w:style w:type="paragraph" w:styleId="43">
    <w:name w:val="toc 5"/>
    <w:basedOn w:val="1"/>
    <w:next w:val="1"/>
    <w:autoRedefine/>
    <w:unhideWhenUsed/>
    <w:qFormat/>
    <w:locked/>
    <w:uiPriority w:val="39"/>
    <w:pPr>
      <w:ind w:left="840"/>
      <w:jc w:val="left"/>
    </w:pPr>
    <w:rPr>
      <w:rFonts w:cs="Calibri"/>
      <w:sz w:val="18"/>
      <w:szCs w:val="18"/>
    </w:rPr>
  </w:style>
  <w:style w:type="paragraph" w:styleId="44">
    <w:name w:val="toc 3"/>
    <w:basedOn w:val="1"/>
    <w:next w:val="1"/>
    <w:autoRedefine/>
    <w:unhideWhenUsed/>
    <w:qFormat/>
    <w:locked/>
    <w:uiPriority w:val="39"/>
    <w:pPr>
      <w:ind w:left="420"/>
      <w:jc w:val="left"/>
    </w:pPr>
    <w:rPr>
      <w:rFonts w:cs="Calibri"/>
      <w:i/>
      <w:iCs/>
      <w:sz w:val="20"/>
      <w:szCs w:val="20"/>
    </w:rPr>
  </w:style>
  <w:style w:type="paragraph" w:styleId="45">
    <w:name w:val="Plain Text"/>
    <w:basedOn w:val="1"/>
    <w:link w:val="164"/>
    <w:autoRedefine/>
    <w:qFormat/>
    <w:locked/>
    <w:uiPriority w:val="0"/>
    <w:rPr>
      <w:rFonts w:ascii="宋体" w:hAnsi="Courier New"/>
      <w:kern w:val="0"/>
      <w:sz w:val="20"/>
      <w:szCs w:val="21"/>
      <w:lang w:val="zh-CN"/>
    </w:rPr>
  </w:style>
  <w:style w:type="paragraph" w:styleId="46">
    <w:name w:val="List Bullet 5"/>
    <w:basedOn w:val="1"/>
    <w:autoRedefine/>
    <w:qFormat/>
    <w:locked/>
    <w:uiPriority w:val="0"/>
    <w:pPr>
      <w:tabs>
        <w:tab w:val="left" w:pos="2040"/>
      </w:tabs>
      <w:spacing w:before="60"/>
      <w:ind w:left="2040" w:hanging="360"/>
    </w:pPr>
    <w:rPr>
      <w:rFonts w:ascii="Arial" w:hAnsi="Arial" w:eastAsia="仿宋_GB2312"/>
      <w:kern w:val="0"/>
      <w:sz w:val="24"/>
      <w:szCs w:val="20"/>
    </w:rPr>
  </w:style>
  <w:style w:type="paragraph" w:styleId="47">
    <w:name w:val="List Number 4"/>
    <w:basedOn w:val="1"/>
    <w:autoRedefine/>
    <w:qFormat/>
    <w:locked/>
    <w:uiPriority w:val="0"/>
    <w:pPr>
      <w:tabs>
        <w:tab w:val="left" w:pos="1620"/>
      </w:tabs>
      <w:spacing w:before="60"/>
      <w:ind w:left="1620" w:hanging="360"/>
    </w:pPr>
    <w:rPr>
      <w:rFonts w:ascii="Arial" w:hAnsi="Arial" w:eastAsia="仿宋_GB2312"/>
      <w:kern w:val="0"/>
      <w:sz w:val="24"/>
      <w:szCs w:val="20"/>
    </w:rPr>
  </w:style>
  <w:style w:type="paragraph" w:styleId="48">
    <w:name w:val="toc 8"/>
    <w:basedOn w:val="1"/>
    <w:next w:val="1"/>
    <w:autoRedefine/>
    <w:unhideWhenUsed/>
    <w:qFormat/>
    <w:locked/>
    <w:uiPriority w:val="39"/>
    <w:pPr>
      <w:ind w:left="1470"/>
      <w:jc w:val="left"/>
    </w:pPr>
    <w:rPr>
      <w:rFonts w:cs="Calibri"/>
      <w:sz w:val="18"/>
      <w:szCs w:val="18"/>
    </w:rPr>
  </w:style>
  <w:style w:type="paragraph" w:styleId="49">
    <w:name w:val="index 3"/>
    <w:basedOn w:val="1"/>
    <w:next w:val="1"/>
    <w:autoRedefine/>
    <w:qFormat/>
    <w:locked/>
    <w:uiPriority w:val="0"/>
    <w:pPr>
      <w:adjustRightInd w:val="0"/>
      <w:snapToGrid w:val="0"/>
      <w:spacing w:line="300" w:lineRule="auto"/>
      <w:ind w:left="400" w:leftChars="400"/>
    </w:pPr>
    <w:rPr>
      <w:rFonts w:ascii="仿宋_GB2312" w:eastAsia="仿宋_GB2312"/>
      <w:sz w:val="28"/>
    </w:rPr>
  </w:style>
  <w:style w:type="paragraph" w:styleId="50">
    <w:name w:val="Date"/>
    <w:basedOn w:val="1"/>
    <w:next w:val="1"/>
    <w:link w:val="124"/>
    <w:autoRedefine/>
    <w:qFormat/>
    <w:uiPriority w:val="0"/>
    <w:pPr>
      <w:ind w:left="100" w:leftChars="2500"/>
    </w:pPr>
    <w:rPr>
      <w:kern w:val="0"/>
      <w:sz w:val="24"/>
      <w:szCs w:val="20"/>
      <w:lang w:val="zh-CN"/>
    </w:rPr>
  </w:style>
  <w:style w:type="paragraph" w:styleId="51">
    <w:name w:val="Body Text Indent 2"/>
    <w:basedOn w:val="1"/>
    <w:link w:val="125"/>
    <w:autoRedefine/>
    <w:qFormat/>
    <w:locked/>
    <w:uiPriority w:val="0"/>
    <w:pPr>
      <w:spacing w:after="120" w:line="480" w:lineRule="auto"/>
      <w:ind w:left="420" w:leftChars="200"/>
    </w:pPr>
    <w:rPr>
      <w:lang w:val="zh-CN"/>
    </w:rPr>
  </w:style>
  <w:style w:type="paragraph" w:styleId="52">
    <w:name w:val="endnote text"/>
    <w:basedOn w:val="1"/>
    <w:link w:val="165"/>
    <w:autoRedefine/>
    <w:qFormat/>
    <w:locked/>
    <w:uiPriority w:val="0"/>
    <w:pPr>
      <w:adjustRightInd w:val="0"/>
      <w:snapToGrid w:val="0"/>
      <w:spacing w:line="300" w:lineRule="auto"/>
      <w:jc w:val="left"/>
    </w:pPr>
    <w:rPr>
      <w:rFonts w:ascii="仿宋_GB2312" w:eastAsia="仿宋_GB2312"/>
      <w:kern w:val="0"/>
      <w:sz w:val="28"/>
      <w:lang w:val="zh-CN"/>
    </w:rPr>
  </w:style>
  <w:style w:type="paragraph" w:styleId="53">
    <w:name w:val="List Continue 5"/>
    <w:basedOn w:val="1"/>
    <w:autoRedefine/>
    <w:qFormat/>
    <w:locked/>
    <w:uiPriority w:val="0"/>
    <w:pPr>
      <w:adjustRightInd w:val="0"/>
      <w:snapToGrid w:val="0"/>
      <w:spacing w:after="120" w:line="300" w:lineRule="auto"/>
      <w:ind w:left="2100" w:leftChars="1000"/>
    </w:pPr>
    <w:rPr>
      <w:rFonts w:ascii="仿宋_GB2312" w:eastAsia="仿宋_GB2312"/>
      <w:sz w:val="28"/>
      <w:szCs w:val="20"/>
    </w:rPr>
  </w:style>
  <w:style w:type="paragraph" w:styleId="54">
    <w:name w:val="Balloon Text"/>
    <w:basedOn w:val="1"/>
    <w:link w:val="126"/>
    <w:autoRedefine/>
    <w:qFormat/>
    <w:uiPriority w:val="99"/>
    <w:rPr>
      <w:kern w:val="0"/>
      <w:sz w:val="18"/>
      <w:szCs w:val="20"/>
      <w:lang w:val="zh-CN"/>
    </w:rPr>
  </w:style>
  <w:style w:type="paragraph" w:styleId="55">
    <w:name w:val="footer"/>
    <w:basedOn w:val="1"/>
    <w:next w:val="1"/>
    <w:link w:val="110"/>
    <w:autoRedefine/>
    <w:qFormat/>
    <w:uiPriority w:val="99"/>
    <w:pPr>
      <w:tabs>
        <w:tab w:val="center" w:pos="4153"/>
        <w:tab w:val="right" w:pos="8306"/>
      </w:tabs>
      <w:snapToGrid w:val="0"/>
      <w:jc w:val="left"/>
    </w:pPr>
    <w:rPr>
      <w:kern w:val="0"/>
      <w:sz w:val="18"/>
      <w:szCs w:val="20"/>
      <w:lang w:val="zh-CN"/>
    </w:rPr>
  </w:style>
  <w:style w:type="paragraph" w:styleId="56">
    <w:name w:val="envelope return"/>
    <w:basedOn w:val="1"/>
    <w:autoRedefine/>
    <w:qFormat/>
    <w:locked/>
    <w:uiPriority w:val="0"/>
    <w:pPr>
      <w:snapToGrid w:val="0"/>
      <w:spacing w:before="60"/>
      <w:ind w:firstLine="482"/>
    </w:pPr>
    <w:rPr>
      <w:rFonts w:ascii="Arial" w:hAnsi="Arial" w:eastAsia="仿宋_GB2312" w:cs="Arial"/>
      <w:kern w:val="0"/>
      <w:sz w:val="24"/>
      <w:szCs w:val="20"/>
    </w:rPr>
  </w:style>
  <w:style w:type="paragraph" w:styleId="57">
    <w:name w:val="header"/>
    <w:basedOn w:val="1"/>
    <w:link w:val="127"/>
    <w:autoRedefine/>
    <w:qFormat/>
    <w:uiPriority w:val="0"/>
    <w:pPr>
      <w:pBdr>
        <w:bottom w:val="single" w:color="auto" w:sz="6" w:space="1"/>
      </w:pBdr>
      <w:tabs>
        <w:tab w:val="center" w:pos="4153"/>
        <w:tab w:val="right" w:pos="8306"/>
      </w:tabs>
      <w:snapToGrid w:val="0"/>
      <w:jc w:val="center"/>
    </w:pPr>
    <w:rPr>
      <w:kern w:val="0"/>
      <w:sz w:val="18"/>
      <w:szCs w:val="20"/>
      <w:lang w:val="zh-CN"/>
    </w:rPr>
  </w:style>
  <w:style w:type="paragraph" w:styleId="58">
    <w:name w:val="Signature"/>
    <w:basedOn w:val="1"/>
    <w:link w:val="166"/>
    <w:autoRedefine/>
    <w:qFormat/>
    <w:locked/>
    <w:uiPriority w:val="0"/>
    <w:pPr>
      <w:spacing w:before="60"/>
      <w:ind w:left="4320" w:firstLine="482"/>
    </w:pPr>
    <w:rPr>
      <w:rFonts w:ascii="Arial" w:hAnsi="Arial" w:eastAsia="仿宋_GB2312"/>
      <w:kern w:val="0"/>
      <w:sz w:val="24"/>
      <w:szCs w:val="20"/>
      <w:lang w:val="zh-CN"/>
    </w:rPr>
  </w:style>
  <w:style w:type="paragraph" w:styleId="59">
    <w:name w:val="toc 1"/>
    <w:basedOn w:val="1"/>
    <w:next w:val="1"/>
    <w:link w:val="167"/>
    <w:autoRedefine/>
    <w:qFormat/>
    <w:locked/>
    <w:uiPriority w:val="39"/>
    <w:pPr>
      <w:spacing w:before="120" w:after="120"/>
      <w:jc w:val="left"/>
    </w:pPr>
    <w:rPr>
      <w:rFonts w:ascii="Calibri" w:hAnsi="Calibri"/>
      <w:b/>
      <w:bCs/>
      <w:caps/>
      <w:kern w:val="0"/>
      <w:sz w:val="20"/>
      <w:szCs w:val="20"/>
      <w:lang w:val="zh-CN"/>
    </w:rPr>
  </w:style>
  <w:style w:type="paragraph" w:styleId="60">
    <w:name w:val="List Continue 4"/>
    <w:basedOn w:val="1"/>
    <w:autoRedefine/>
    <w:qFormat/>
    <w:locked/>
    <w:uiPriority w:val="0"/>
    <w:pPr>
      <w:spacing w:before="60" w:after="120"/>
      <w:ind w:left="1680" w:firstLine="482"/>
    </w:pPr>
    <w:rPr>
      <w:rFonts w:ascii="Arial" w:hAnsi="Arial" w:eastAsia="仿宋_GB2312"/>
      <w:kern w:val="0"/>
      <w:sz w:val="24"/>
      <w:szCs w:val="20"/>
    </w:rPr>
  </w:style>
  <w:style w:type="paragraph" w:styleId="61">
    <w:name w:val="toc 4"/>
    <w:basedOn w:val="1"/>
    <w:next w:val="1"/>
    <w:autoRedefine/>
    <w:unhideWhenUsed/>
    <w:qFormat/>
    <w:locked/>
    <w:uiPriority w:val="39"/>
    <w:pPr>
      <w:ind w:left="630"/>
      <w:jc w:val="left"/>
    </w:pPr>
    <w:rPr>
      <w:rFonts w:cs="Calibri"/>
      <w:sz w:val="18"/>
      <w:szCs w:val="18"/>
    </w:rPr>
  </w:style>
  <w:style w:type="paragraph" w:styleId="62">
    <w:name w:val="index heading"/>
    <w:basedOn w:val="1"/>
    <w:next w:val="63"/>
    <w:autoRedefine/>
    <w:qFormat/>
    <w:locked/>
    <w:uiPriority w:val="0"/>
    <w:pPr>
      <w:spacing w:line="500" w:lineRule="atLeast"/>
    </w:pPr>
    <w:rPr>
      <w:rFonts w:hint="eastAsia" w:ascii="仿宋_GB2312" w:eastAsia="仿宋_GB2312"/>
      <w:sz w:val="28"/>
      <w:szCs w:val="20"/>
    </w:rPr>
  </w:style>
  <w:style w:type="paragraph" w:styleId="63">
    <w:name w:val="index 1"/>
    <w:basedOn w:val="1"/>
    <w:next w:val="1"/>
    <w:autoRedefine/>
    <w:unhideWhenUsed/>
    <w:qFormat/>
    <w:locked/>
    <w:uiPriority w:val="0"/>
  </w:style>
  <w:style w:type="paragraph" w:styleId="64">
    <w:name w:val="Subtitle"/>
    <w:basedOn w:val="1"/>
    <w:link w:val="168"/>
    <w:autoRedefine/>
    <w:qFormat/>
    <w:locked/>
    <w:uiPriority w:val="0"/>
    <w:pPr>
      <w:spacing w:before="240" w:after="60" w:line="312" w:lineRule="auto"/>
      <w:ind w:firstLine="482"/>
      <w:jc w:val="center"/>
      <w:outlineLvl w:val="1"/>
    </w:pPr>
    <w:rPr>
      <w:rFonts w:ascii="Arial" w:hAnsi="Arial" w:eastAsia="仿宋_GB2312"/>
      <w:b/>
      <w:bCs/>
      <w:kern w:val="28"/>
      <w:sz w:val="32"/>
      <w:szCs w:val="32"/>
      <w:lang w:val="zh-CN"/>
    </w:rPr>
  </w:style>
  <w:style w:type="paragraph" w:styleId="65">
    <w:name w:val="List Number 5"/>
    <w:basedOn w:val="1"/>
    <w:autoRedefine/>
    <w:qFormat/>
    <w:locked/>
    <w:uiPriority w:val="0"/>
    <w:pPr>
      <w:tabs>
        <w:tab w:val="left" w:pos="420"/>
      </w:tabs>
      <w:spacing w:before="60"/>
      <w:ind w:left="420" w:hanging="420"/>
    </w:pPr>
    <w:rPr>
      <w:rFonts w:ascii="Arial" w:hAnsi="Arial" w:eastAsia="仿宋_GB2312"/>
      <w:kern w:val="0"/>
      <w:sz w:val="24"/>
      <w:szCs w:val="20"/>
    </w:rPr>
  </w:style>
  <w:style w:type="paragraph" w:styleId="66">
    <w:name w:val="List"/>
    <w:basedOn w:val="1"/>
    <w:autoRedefine/>
    <w:qFormat/>
    <w:locked/>
    <w:uiPriority w:val="0"/>
    <w:pPr>
      <w:spacing w:line="300" w:lineRule="exact"/>
      <w:ind w:left="403" w:right="-132" w:rightChars="-63" w:hanging="403"/>
      <w:jc w:val="center"/>
    </w:pPr>
    <w:rPr>
      <w:rFonts w:ascii="仿宋_GB2312" w:eastAsia="仿宋_GB2312"/>
      <w:szCs w:val="21"/>
    </w:rPr>
  </w:style>
  <w:style w:type="paragraph" w:styleId="67">
    <w:name w:val="footnote text"/>
    <w:basedOn w:val="1"/>
    <w:link w:val="169"/>
    <w:autoRedefine/>
    <w:qFormat/>
    <w:locked/>
    <w:uiPriority w:val="0"/>
    <w:pPr>
      <w:snapToGrid w:val="0"/>
      <w:spacing w:before="60"/>
      <w:ind w:firstLine="482"/>
      <w:jc w:val="left"/>
    </w:pPr>
    <w:rPr>
      <w:rFonts w:ascii="Arial" w:hAnsi="Arial" w:eastAsia="仿宋_GB2312"/>
      <w:kern w:val="0"/>
      <w:sz w:val="18"/>
      <w:szCs w:val="18"/>
      <w:lang w:val="zh-CN"/>
    </w:rPr>
  </w:style>
  <w:style w:type="paragraph" w:styleId="68">
    <w:name w:val="toc 6"/>
    <w:basedOn w:val="1"/>
    <w:next w:val="1"/>
    <w:autoRedefine/>
    <w:unhideWhenUsed/>
    <w:qFormat/>
    <w:locked/>
    <w:uiPriority w:val="39"/>
    <w:pPr>
      <w:ind w:left="1050"/>
      <w:jc w:val="left"/>
    </w:pPr>
    <w:rPr>
      <w:rFonts w:cs="Calibri"/>
      <w:sz w:val="18"/>
      <w:szCs w:val="18"/>
    </w:rPr>
  </w:style>
  <w:style w:type="paragraph" w:styleId="69">
    <w:name w:val="List 5"/>
    <w:basedOn w:val="1"/>
    <w:autoRedefine/>
    <w:qFormat/>
    <w:locked/>
    <w:uiPriority w:val="0"/>
    <w:pPr>
      <w:spacing w:before="60"/>
      <w:ind w:left="2100" w:hanging="420"/>
    </w:pPr>
    <w:rPr>
      <w:rFonts w:ascii="Arial" w:hAnsi="Arial" w:eastAsia="仿宋_GB2312"/>
      <w:kern w:val="0"/>
      <w:sz w:val="24"/>
      <w:szCs w:val="20"/>
    </w:rPr>
  </w:style>
  <w:style w:type="paragraph" w:styleId="70">
    <w:name w:val="Body Text Indent 3"/>
    <w:basedOn w:val="1"/>
    <w:link w:val="128"/>
    <w:autoRedefine/>
    <w:qFormat/>
    <w:locked/>
    <w:uiPriority w:val="0"/>
    <w:pPr>
      <w:spacing w:after="120"/>
      <w:ind w:left="420" w:leftChars="200"/>
    </w:pPr>
    <w:rPr>
      <w:sz w:val="16"/>
      <w:szCs w:val="16"/>
      <w:lang w:val="zh-CN"/>
    </w:rPr>
  </w:style>
  <w:style w:type="paragraph" w:styleId="71">
    <w:name w:val="index 7"/>
    <w:basedOn w:val="1"/>
    <w:next w:val="1"/>
    <w:autoRedefine/>
    <w:qFormat/>
    <w:locked/>
    <w:uiPriority w:val="0"/>
    <w:pPr>
      <w:adjustRightInd w:val="0"/>
      <w:snapToGrid w:val="0"/>
      <w:spacing w:line="300" w:lineRule="auto"/>
      <w:ind w:left="1200" w:leftChars="1200"/>
    </w:pPr>
    <w:rPr>
      <w:rFonts w:ascii="仿宋_GB2312" w:eastAsia="仿宋_GB2312"/>
      <w:sz w:val="28"/>
    </w:rPr>
  </w:style>
  <w:style w:type="paragraph" w:styleId="72">
    <w:name w:val="index 9"/>
    <w:basedOn w:val="1"/>
    <w:next w:val="1"/>
    <w:autoRedefine/>
    <w:qFormat/>
    <w:locked/>
    <w:uiPriority w:val="0"/>
    <w:pPr>
      <w:adjustRightInd w:val="0"/>
      <w:snapToGrid w:val="0"/>
      <w:spacing w:line="300" w:lineRule="auto"/>
      <w:ind w:left="1600" w:leftChars="1600"/>
    </w:pPr>
    <w:rPr>
      <w:rFonts w:ascii="仿宋_GB2312" w:eastAsia="仿宋_GB2312"/>
      <w:sz w:val="28"/>
    </w:rPr>
  </w:style>
  <w:style w:type="paragraph" w:styleId="73">
    <w:name w:val="table of figures"/>
    <w:basedOn w:val="1"/>
    <w:next w:val="1"/>
    <w:autoRedefine/>
    <w:qFormat/>
    <w:locked/>
    <w:uiPriority w:val="0"/>
    <w:pPr>
      <w:spacing w:line="500" w:lineRule="exact"/>
      <w:jc w:val="center"/>
    </w:pPr>
    <w:rPr>
      <w:rFonts w:ascii="仿宋_GB2312" w:eastAsia="仿宋_GB2312"/>
      <w:sz w:val="28"/>
    </w:rPr>
  </w:style>
  <w:style w:type="paragraph" w:styleId="74">
    <w:name w:val="toc 2"/>
    <w:basedOn w:val="1"/>
    <w:next w:val="1"/>
    <w:autoRedefine/>
    <w:unhideWhenUsed/>
    <w:qFormat/>
    <w:locked/>
    <w:uiPriority w:val="39"/>
    <w:pPr>
      <w:ind w:left="210"/>
      <w:jc w:val="left"/>
    </w:pPr>
    <w:rPr>
      <w:rFonts w:cs="Calibri"/>
      <w:smallCaps/>
      <w:sz w:val="20"/>
      <w:szCs w:val="20"/>
    </w:rPr>
  </w:style>
  <w:style w:type="paragraph" w:styleId="75">
    <w:name w:val="toc 9"/>
    <w:next w:val="1"/>
    <w:autoRedefine/>
    <w:qFormat/>
    <w:locked/>
    <w:uiPriority w:val="39"/>
    <w:pPr>
      <w:wordWrap w:val="0"/>
      <w:ind w:left="2975"/>
      <w:jc w:val="both"/>
    </w:pPr>
    <w:rPr>
      <w:rFonts w:ascii="Times New Roman" w:hAnsi="Times New Roman" w:eastAsia="宋体" w:cs="Times New Roman"/>
      <w:sz w:val="21"/>
      <w:szCs w:val="22"/>
      <w:lang w:val="en-US" w:eastAsia="zh-CN" w:bidi="ar-SA"/>
    </w:rPr>
  </w:style>
  <w:style w:type="paragraph" w:styleId="76">
    <w:name w:val="Body Text 2"/>
    <w:basedOn w:val="1"/>
    <w:link w:val="170"/>
    <w:autoRedefine/>
    <w:qFormat/>
    <w:locked/>
    <w:uiPriority w:val="0"/>
    <w:rPr>
      <w:b/>
      <w:bCs/>
      <w:kern w:val="0"/>
      <w:sz w:val="28"/>
      <w:szCs w:val="20"/>
      <w:lang w:val="zh-CN"/>
    </w:rPr>
  </w:style>
  <w:style w:type="paragraph" w:styleId="77">
    <w:name w:val="List 4"/>
    <w:basedOn w:val="1"/>
    <w:autoRedefine/>
    <w:qFormat/>
    <w:locked/>
    <w:uiPriority w:val="0"/>
    <w:pPr>
      <w:spacing w:before="60"/>
      <w:ind w:left="1680" w:hanging="420"/>
    </w:pPr>
    <w:rPr>
      <w:rFonts w:ascii="Arial" w:hAnsi="Arial" w:eastAsia="仿宋_GB2312"/>
      <w:kern w:val="0"/>
      <w:sz w:val="24"/>
      <w:szCs w:val="20"/>
    </w:rPr>
  </w:style>
  <w:style w:type="paragraph" w:styleId="78">
    <w:name w:val="List Continue 2"/>
    <w:basedOn w:val="1"/>
    <w:autoRedefine/>
    <w:qFormat/>
    <w:locked/>
    <w:uiPriority w:val="0"/>
    <w:pPr>
      <w:spacing w:before="60" w:after="120"/>
      <w:ind w:left="840" w:firstLine="482"/>
    </w:pPr>
    <w:rPr>
      <w:rFonts w:ascii="Arial" w:hAnsi="Arial" w:eastAsia="仿宋_GB2312"/>
      <w:kern w:val="0"/>
      <w:sz w:val="24"/>
      <w:szCs w:val="20"/>
    </w:rPr>
  </w:style>
  <w:style w:type="paragraph" w:styleId="79">
    <w:name w:val="Message Header"/>
    <w:basedOn w:val="1"/>
    <w:link w:val="171"/>
    <w:autoRedefine/>
    <w:qFormat/>
    <w:locked/>
    <w:uiPriority w:val="0"/>
    <w:pPr>
      <w:pBdr>
        <w:top w:val="single" w:color="auto" w:sz="6" w:space="1"/>
        <w:left w:val="single" w:color="auto" w:sz="6" w:space="1"/>
        <w:bottom w:val="single" w:color="auto" w:sz="6" w:space="1"/>
        <w:right w:val="single" w:color="auto" w:sz="6" w:space="1"/>
      </w:pBdr>
      <w:shd w:val="pct20" w:color="auto" w:fill="auto"/>
      <w:spacing w:before="60"/>
      <w:ind w:left="1080" w:hanging="1080"/>
    </w:pPr>
    <w:rPr>
      <w:rFonts w:ascii="Arial" w:hAnsi="Arial" w:eastAsia="仿宋_GB2312"/>
      <w:kern w:val="0"/>
      <w:sz w:val="24"/>
      <w:szCs w:val="20"/>
      <w:lang w:val="zh-CN"/>
    </w:rPr>
  </w:style>
  <w:style w:type="paragraph" w:styleId="80">
    <w:name w:val="HTML Preformatted"/>
    <w:basedOn w:val="1"/>
    <w:link w:val="172"/>
    <w:autoRedefine/>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lang w:val="zh-CN"/>
    </w:rPr>
  </w:style>
  <w:style w:type="paragraph" w:styleId="81">
    <w:name w:val="Normal (Web)"/>
    <w:basedOn w:val="1"/>
    <w:link w:val="129"/>
    <w:autoRedefine/>
    <w:qFormat/>
    <w:uiPriority w:val="99"/>
    <w:pPr>
      <w:widowControl/>
      <w:spacing w:before="100" w:beforeAutospacing="1" w:after="100" w:afterAutospacing="1"/>
      <w:jc w:val="left"/>
    </w:pPr>
    <w:rPr>
      <w:rFonts w:ascii="宋体" w:hAnsi="宋体"/>
      <w:kern w:val="0"/>
      <w:sz w:val="24"/>
      <w:szCs w:val="20"/>
      <w:lang w:val="zh-CN"/>
    </w:rPr>
  </w:style>
  <w:style w:type="paragraph" w:styleId="82">
    <w:name w:val="List Continue 3"/>
    <w:basedOn w:val="1"/>
    <w:autoRedefine/>
    <w:qFormat/>
    <w:locked/>
    <w:uiPriority w:val="0"/>
    <w:pPr>
      <w:spacing w:before="60" w:after="120"/>
      <w:ind w:left="1260" w:firstLine="482"/>
    </w:pPr>
    <w:rPr>
      <w:rFonts w:ascii="Arial" w:hAnsi="Arial" w:eastAsia="仿宋_GB2312"/>
      <w:kern w:val="0"/>
      <w:sz w:val="24"/>
      <w:szCs w:val="20"/>
    </w:rPr>
  </w:style>
  <w:style w:type="paragraph" w:styleId="83">
    <w:name w:val="index 2"/>
    <w:basedOn w:val="1"/>
    <w:next w:val="1"/>
    <w:autoRedefine/>
    <w:qFormat/>
    <w:locked/>
    <w:uiPriority w:val="0"/>
    <w:pPr>
      <w:adjustRightInd w:val="0"/>
      <w:snapToGrid w:val="0"/>
      <w:spacing w:line="300" w:lineRule="auto"/>
      <w:ind w:left="200" w:leftChars="200"/>
    </w:pPr>
    <w:rPr>
      <w:rFonts w:ascii="仿宋_GB2312" w:eastAsia="仿宋_GB2312"/>
      <w:sz w:val="28"/>
    </w:rPr>
  </w:style>
  <w:style w:type="paragraph" w:styleId="84">
    <w:name w:val="Title"/>
    <w:basedOn w:val="1"/>
    <w:next w:val="1"/>
    <w:link w:val="173"/>
    <w:autoRedefine/>
    <w:qFormat/>
    <w:locked/>
    <w:uiPriority w:val="0"/>
    <w:pPr>
      <w:widowControl/>
      <w:spacing w:before="240" w:after="60" w:line="264" w:lineRule="auto"/>
      <w:ind w:left="5" w:right="142" w:hanging="5"/>
      <w:jc w:val="center"/>
      <w:outlineLvl w:val="0"/>
    </w:pPr>
    <w:rPr>
      <w:rFonts w:ascii="Cambria" w:hAnsi="Cambria"/>
      <w:b/>
      <w:bCs/>
      <w:color w:val="000000"/>
      <w:kern w:val="0"/>
      <w:sz w:val="32"/>
      <w:szCs w:val="32"/>
      <w:lang w:val="zh-CN"/>
    </w:rPr>
  </w:style>
  <w:style w:type="paragraph" w:styleId="85">
    <w:name w:val="annotation subject"/>
    <w:basedOn w:val="28"/>
    <w:next w:val="28"/>
    <w:link w:val="130"/>
    <w:autoRedefine/>
    <w:qFormat/>
    <w:uiPriority w:val="0"/>
    <w:rPr>
      <w:b/>
      <w:kern w:val="2"/>
    </w:rPr>
  </w:style>
  <w:style w:type="paragraph" w:styleId="86">
    <w:name w:val="Body Text First Indent"/>
    <w:basedOn w:val="34"/>
    <w:link w:val="174"/>
    <w:autoRedefine/>
    <w:qFormat/>
    <w:locked/>
    <w:uiPriority w:val="0"/>
    <w:pPr>
      <w:widowControl w:val="0"/>
      <w:snapToGrid/>
      <w:spacing w:before="0" w:after="120" w:line="240" w:lineRule="auto"/>
      <w:ind w:right="0" w:firstLine="420" w:firstLineChars="100"/>
    </w:pPr>
  </w:style>
  <w:style w:type="paragraph" w:styleId="87">
    <w:name w:val="Body Text First Indent 2"/>
    <w:basedOn w:val="35"/>
    <w:link w:val="175"/>
    <w:autoRedefine/>
    <w:qFormat/>
    <w:locked/>
    <w:uiPriority w:val="0"/>
    <w:pPr>
      <w:ind w:firstLine="420" w:firstLineChars="200"/>
    </w:pPr>
  </w:style>
  <w:style w:type="table" w:styleId="89">
    <w:name w:val="Table Grid"/>
    <w:basedOn w:val="8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1">
    <w:name w:val="Strong"/>
    <w:autoRedefine/>
    <w:qFormat/>
    <w:locked/>
    <w:uiPriority w:val="22"/>
    <w:rPr>
      <w:b/>
      <w:bCs/>
    </w:rPr>
  </w:style>
  <w:style w:type="character" w:styleId="92">
    <w:name w:val="page number"/>
    <w:basedOn w:val="90"/>
    <w:autoRedefine/>
    <w:qFormat/>
    <w:locked/>
    <w:uiPriority w:val="0"/>
  </w:style>
  <w:style w:type="character" w:styleId="93">
    <w:name w:val="FollowedHyperlink"/>
    <w:autoRedefine/>
    <w:unhideWhenUsed/>
    <w:qFormat/>
    <w:locked/>
    <w:uiPriority w:val="99"/>
    <w:rPr>
      <w:color w:val="800080"/>
      <w:u w:val="single"/>
    </w:rPr>
  </w:style>
  <w:style w:type="character" w:styleId="94">
    <w:name w:val="Emphasis"/>
    <w:autoRedefine/>
    <w:qFormat/>
    <w:locked/>
    <w:uiPriority w:val="20"/>
    <w:rPr>
      <w:color w:val="CC0033"/>
    </w:rPr>
  </w:style>
  <w:style w:type="character" w:styleId="95">
    <w:name w:val="line number"/>
    <w:autoRedefine/>
    <w:qFormat/>
    <w:locked/>
    <w:uiPriority w:val="0"/>
    <w:rPr>
      <w:rFonts w:ascii="宋体" w:hAnsi="宋体" w:eastAsia="宋体"/>
      <w:b/>
      <w:spacing w:val="10"/>
      <w:kern w:val="2"/>
      <w:sz w:val="18"/>
      <w:szCs w:val="18"/>
      <w:lang w:val="en-US" w:eastAsia="zh-CN" w:bidi="ar-SA"/>
    </w:rPr>
  </w:style>
  <w:style w:type="character" w:styleId="96">
    <w:name w:val="HTML Definition"/>
    <w:autoRedefine/>
    <w:qFormat/>
    <w:locked/>
    <w:uiPriority w:val="0"/>
    <w:rPr>
      <w:rFonts w:ascii="黑体" w:hAnsi="Arial" w:eastAsia="华文中宋" w:cs="宋体"/>
      <w:i/>
      <w:iCs/>
      <w:kern w:val="2"/>
      <w:sz w:val="44"/>
      <w:szCs w:val="44"/>
      <w:lang w:val="en-US" w:eastAsia="zh-CN" w:bidi="ar-SA"/>
    </w:rPr>
  </w:style>
  <w:style w:type="character" w:styleId="97">
    <w:name w:val="HTML Typewriter"/>
    <w:autoRedefine/>
    <w:qFormat/>
    <w:locked/>
    <w:uiPriority w:val="0"/>
    <w:rPr>
      <w:rFonts w:ascii="宋体" w:hAnsi="宋体" w:eastAsia="宋体" w:cs="宋体"/>
      <w:sz w:val="24"/>
      <w:szCs w:val="24"/>
    </w:rPr>
  </w:style>
  <w:style w:type="character" w:styleId="98">
    <w:name w:val="HTML Acronym"/>
    <w:autoRedefine/>
    <w:qFormat/>
    <w:locked/>
    <w:uiPriority w:val="0"/>
    <w:rPr>
      <w:rFonts w:ascii="宋体" w:hAnsi="宋体" w:eastAsia="宋体"/>
      <w:b/>
      <w:spacing w:val="10"/>
      <w:kern w:val="2"/>
      <w:sz w:val="18"/>
      <w:szCs w:val="18"/>
      <w:lang w:val="en-US" w:eastAsia="zh-CN" w:bidi="ar-SA"/>
    </w:rPr>
  </w:style>
  <w:style w:type="character" w:styleId="99">
    <w:name w:val="HTML Variable"/>
    <w:autoRedefine/>
    <w:qFormat/>
    <w:locked/>
    <w:uiPriority w:val="0"/>
    <w:rPr>
      <w:rFonts w:ascii="宋体" w:hAnsi="宋体" w:eastAsia="宋体"/>
      <w:b/>
      <w:i/>
      <w:iCs/>
      <w:spacing w:val="10"/>
      <w:kern w:val="2"/>
      <w:sz w:val="18"/>
      <w:szCs w:val="18"/>
      <w:lang w:val="en-US" w:eastAsia="zh-CN" w:bidi="ar-SA"/>
    </w:rPr>
  </w:style>
  <w:style w:type="character" w:styleId="100">
    <w:name w:val="Hyperlink"/>
    <w:autoRedefine/>
    <w:unhideWhenUsed/>
    <w:qFormat/>
    <w:locked/>
    <w:uiPriority w:val="99"/>
    <w:rPr>
      <w:color w:val="0563C1"/>
      <w:u w:val="single"/>
    </w:rPr>
  </w:style>
  <w:style w:type="character" w:styleId="101">
    <w:name w:val="HTML Code"/>
    <w:autoRedefine/>
    <w:qFormat/>
    <w:locked/>
    <w:uiPriority w:val="0"/>
    <w:rPr>
      <w:rFonts w:ascii="黑体" w:hAnsi="Courier New" w:eastAsia="黑体" w:cs="Courier New"/>
      <w:sz w:val="24"/>
      <w:szCs w:val="24"/>
    </w:rPr>
  </w:style>
  <w:style w:type="character" w:styleId="102">
    <w:name w:val="annotation reference"/>
    <w:autoRedefine/>
    <w:qFormat/>
    <w:uiPriority w:val="0"/>
    <w:rPr>
      <w:sz w:val="21"/>
    </w:rPr>
  </w:style>
  <w:style w:type="character" w:styleId="103">
    <w:name w:val="HTML Cite"/>
    <w:autoRedefine/>
    <w:qFormat/>
    <w:locked/>
    <w:uiPriority w:val="0"/>
    <w:rPr>
      <w:rFonts w:ascii="宋体" w:hAnsi="宋体" w:eastAsia="宋体"/>
      <w:b/>
      <w:i/>
      <w:iCs/>
      <w:spacing w:val="10"/>
      <w:kern w:val="2"/>
      <w:sz w:val="18"/>
      <w:szCs w:val="18"/>
      <w:lang w:val="en-US" w:eastAsia="zh-CN" w:bidi="ar-SA"/>
    </w:rPr>
  </w:style>
  <w:style w:type="character" w:styleId="104">
    <w:name w:val="footnote reference"/>
    <w:autoRedefine/>
    <w:unhideWhenUsed/>
    <w:qFormat/>
    <w:locked/>
    <w:uiPriority w:val="0"/>
    <w:rPr>
      <w:vertAlign w:val="superscript"/>
    </w:rPr>
  </w:style>
  <w:style w:type="character" w:styleId="105">
    <w:name w:val="HTML Keyboard"/>
    <w:autoRedefine/>
    <w:qFormat/>
    <w:locked/>
    <w:uiPriority w:val="0"/>
    <w:rPr>
      <w:rFonts w:ascii="Courier New" w:hAnsi="Courier New" w:cs="Courier New"/>
      <w:sz w:val="20"/>
      <w:szCs w:val="20"/>
    </w:rPr>
  </w:style>
  <w:style w:type="character" w:styleId="106">
    <w:name w:val="HTML Sample"/>
    <w:autoRedefine/>
    <w:qFormat/>
    <w:locked/>
    <w:uiPriority w:val="0"/>
    <w:rPr>
      <w:rFonts w:ascii="Courier New" w:hAnsi="Courier New" w:eastAsia="宋体" w:cs="Courier New"/>
      <w:b/>
      <w:spacing w:val="10"/>
      <w:kern w:val="2"/>
      <w:sz w:val="18"/>
      <w:szCs w:val="18"/>
      <w:lang w:val="en-US" w:eastAsia="zh-CN" w:bidi="ar-SA"/>
    </w:rPr>
  </w:style>
  <w:style w:type="paragraph" w:customStyle="1" w:styleId="107">
    <w:name w:val="Default"/>
    <w:basedOn w:val="108"/>
    <w:next w:val="1"/>
    <w:autoRedefine/>
    <w:qFormat/>
    <w:uiPriority w:val="0"/>
    <w:pPr>
      <w:autoSpaceDE w:val="0"/>
      <w:autoSpaceDN w:val="0"/>
      <w:adjustRightInd w:val="0"/>
      <w:spacing w:line="240" w:lineRule="exact"/>
    </w:pPr>
    <w:rPr>
      <w:rFonts w:hAnsi="宋体" w:cs="宋体"/>
      <w:color w:val="000000"/>
      <w:sz w:val="24"/>
    </w:rPr>
  </w:style>
  <w:style w:type="paragraph" w:customStyle="1" w:styleId="108">
    <w:name w:val="纯文本1"/>
    <w:basedOn w:val="1"/>
    <w:qFormat/>
    <w:uiPriority w:val="0"/>
    <w:rPr>
      <w:rFonts w:ascii="宋体" w:hAnsi="Courier New" w:cs="Courier New"/>
      <w:szCs w:val="21"/>
    </w:rPr>
  </w:style>
  <w:style w:type="paragraph" w:customStyle="1" w:styleId="109">
    <w:name w:val="UserStyle_0"/>
    <w:basedOn w:val="1"/>
    <w:qFormat/>
    <w:uiPriority w:val="0"/>
    <w:pPr>
      <w:snapToGrid w:val="0"/>
      <w:spacing w:line="480" w:lineRule="exact"/>
    </w:pPr>
    <w:rPr>
      <w:sz w:val="24"/>
      <w:szCs w:val="22"/>
    </w:rPr>
  </w:style>
  <w:style w:type="character" w:customStyle="1" w:styleId="110">
    <w:name w:val="页脚 Char5"/>
    <w:link w:val="55"/>
    <w:autoRedefine/>
    <w:qFormat/>
    <w:locked/>
    <w:uiPriority w:val="99"/>
    <w:rPr>
      <w:sz w:val="18"/>
    </w:rPr>
  </w:style>
  <w:style w:type="character" w:customStyle="1" w:styleId="111">
    <w:name w:val="标题 1 Char"/>
    <w:link w:val="3"/>
    <w:autoRedefine/>
    <w:qFormat/>
    <w:uiPriority w:val="0"/>
    <w:rPr>
      <w:rFonts w:eastAsia="黑体"/>
      <w:b/>
      <w:bCs/>
      <w:color w:val="000000"/>
      <w:kern w:val="44"/>
      <w:sz w:val="30"/>
      <w:szCs w:val="30"/>
    </w:rPr>
  </w:style>
  <w:style w:type="character" w:customStyle="1" w:styleId="112">
    <w:name w:val="标题 2 Char"/>
    <w:link w:val="4"/>
    <w:autoRedefine/>
    <w:qFormat/>
    <w:uiPriority w:val="0"/>
    <w:rPr>
      <w:rFonts w:ascii="Cambria" w:hAnsi="Cambria"/>
      <w:b/>
      <w:bCs/>
      <w:sz w:val="32"/>
      <w:szCs w:val="32"/>
    </w:rPr>
  </w:style>
  <w:style w:type="character" w:customStyle="1" w:styleId="113">
    <w:name w:val="标题 3 Char"/>
    <w:link w:val="5"/>
    <w:autoRedefine/>
    <w:qFormat/>
    <w:uiPriority w:val="9"/>
    <w:rPr>
      <w:b/>
      <w:bCs/>
      <w:kern w:val="2"/>
      <w:sz w:val="32"/>
      <w:szCs w:val="32"/>
    </w:rPr>
  </w:style>
  <w:style w:type="character" w:customStyle="1" w:styleId="114">
    <w:name w:val="标题 4 Char"/>
    <w:link w:val="6"/>
    <w:autoRedefine/>
    <w:qFormat/>
    <w:uiPriority w:val="0"/>
    <w:rPr>
      <w:rFonts w:ascii="Arial" w:hAnsi="Arial" w:eastAsia="黑体"/>
      <w:b/>
      <w:bCs/>
      <w:sz w:val="28"/>
      <w:szCs w:val="28"/>
    </w:rPr>
  </w:style>
  <w:style w:type="character" w:customStyle="1" w:styleId="115">
    <w:name w:val="标题 5 Char"/>
    <w:link w:val="7"/>
    <w:autoRedefine/>
    <w:qFormat/>
    <w:uiPriority w:val="0"/>
    <w:rPr>
      <w:b/>
      <w:sz w:val="28"/>
    </w:rPr>
  </w:style>
  <w:style w:type="character" w:customStyle="1" w:styleId="116">
    <w:name w:val="正文缩进 Char"/>
    <w:link w:val="9"/>
    <w:autoRedefine/>
    <w:qFormat/>
    <w:uiPriority w:val="99"/>
    <w:rPr>
      <w:kern w:val="2"/>
      <w:sz w:val="21"/>
      <w:szCs w:val="24"/>
    </w:rPr>
  </w:style>
  <w:style w:type="character" w:customStyle="1" w:styleId="117">
    <w:name w:val="标题 6 Char"/>
    <w:link w:val="8"/>
    <w:autoRedefine/>
    <w:qFormat/>
    <w:uiPriority w:val="0"/>
    <w:rPr>
      <w:sz w:val="28"/>
    </w:rPr>
  </w:style>
  <w:style w:type="character" w:customStyle="1" w:styleId="118">
    <w:name w:val="标题 7 Char"/>
    <w:link w:val="10"/>
    <w:autoRedefine/>
    <w:qFormat/>
    <w:uiPriority w:val="0"/>
    <w:rPr>
      <w:b/>
      <w:sz w:val="24"/>
    </w:rPr>
  </w:style>
  <w:style w:type="character" w:customStyle="1" w:styleId="119">
    <w:name w:val="标题 8 Char"/>
    <w:link w:val="11"/>
    <w:autoRedefine/>
    <w:qFormat/>
    <w:uiPriority w:val="0"/>
    <w:rPr>
      <w:rFonts w:ascii="Arial" w:hAnsi="Arial" w:eastAsia="黑体"/>
      <w:sz w:val="24"/>
    </w:rPr>
  </w:style>
  <w:style w:type="character" w:customStyle="1" w:styleId="120">
    <w:name w:val="标题 9 Char"/>
    <w:link w:val="12"/>
    <w:autoRedefine/>
    <w:qFormat/>
    <w:uiPriority w:val="0"/>
    <w:rPr>
      <w:rFonts w:ascii="Arial" w:hAnsi="Arial" w:eastAsia="黑体"/>
    </w:rPr>
  </w:style>
  <w:style w:type="character" w:customStyle="1" w:styleId="121">
    <w:name w:val="批注文字 Char"/>
    <w:link w:val="28"/>
    <w:autoRedefine/>
    <w:qFormat/>
    <w:locked/>
    <w:uiPriority w:val="0"/>
    <w:rPr>
      <w:rFonts w:ascii="Times New Roman" w:hAnsi="Times New Roman" w:eastAsia="宋体"/>
      <w:sz w:val="24"/>
    </w:rPr>
  </w:style>
  <w:style w:type="character" w:customStyle="1" w:styleId="122">
    <w:name w:val="正文文本 Char"/>
    <w:link w:val="34"/>
    <w:autoRedefine/>
    <w:qFormat/>
    <w:locked/>
    <w:uiPriority w:val="0"/>
    <w:rPr>
      <w:sz w:val="18"/>
    </w:rPr>
  </w:style>
  <w:style w:type="character" w:customStyle="1" w:styleId="123">
    <w:name w:val="正文文本缩进 Char"/>
    <w:link w:val="35"/>
    <w:autoRedefine/>
    <w:qFormat/>
    <w:locked/>
    <w:uiPriority w:val="99"/>
    <w:rPr>
      <w:rFonts w:ascii="Times New Roman" w:hAnsi="Times New Roman" w:eastAsia="宋体"/>
      <w:sz w:val="24"/>
    </w:rPr>
  </w:style>
  <w:style w:type="character" w:customStyle="1" w:styleId="124">
    <w:name w:val="日期 Char"/>
    <w:link w:val="50"/>
    <w:autoRedefine/>
    <w:qFormat/>
    <w:locked/>
    <w:uiPriority w:val="0"/>
    <w:rPr>
      <w:rFonts w:ascii="Times New Roman" w:hAnsi="Times New Roman" w:eastAsia="宋体"/>
      <w:sz w:val="24"/>
    </w:rPr>
  </w:style>
  <w:style w:type="character" w:customStyle="1" w:styleId="125">
    <w:name w:val="正文文本缩进 2 Char"/>
    <w:link w:val="51"/>
    <w:autoRedefine/>
    <w:qFormat/>
    <w:uiPriority w:val="0"/>
    <w:rPr>
      <w:kern w:val="2"/>
      <w:sz w:val="21"/>
      <w:szCs w:val="24"/>
    </w:rPr>
  </w:style>
  <w:style w:type="character" w:customStyle="1" w:styleId="126">
    <w:name w:val="批注框文本 Char"/>
    <w:link w:val="54"/>
    <w:autoRedefine/>
    <w:qFormat/>
    <w:locked/>
    <w:uiPriority w:val="99"/>
    <w:rPr>
      <w:rFonts w:ascii="Times New Roman" w:hAnsi="Times New Roman" w:eastAsia="宋体"/>
      <w:sz w:val="18"/>
    </w:rPr>
  </w:style>
  <w:style w:type="character" w:customStyle="1" w:styleId="127">
    <w:name w:val="页眉 Char"/>
    <w:link w:val="57"/>
    <w:autoRedefine/>
    <w:qFormat/>
    <w:locked/>
    <w:uiPriority w:val="0"/>
    <w:rPr>
      <w:sz w:val="18"/>
    </w:rPr>
  </w:style>
  <w:style w:type="character" w:customStyle="1" w:styleId="128">
    <w:name w:val="正文文本缩进 3 Char"/>
    <w:link w:val="70"/>
    <w:autoRedefine/>
    <w:qFormat/>
    <w:uiPriority w:val="0"/>
    <w:rPr>
      <w:kern w:val="2"/>
      <w:sz w:val="16"/>
      <w:szCs w:val="16"/>
    </w:rPr>
  </w:style>
  <w:style w:type="character" w:customStyle="1" w:styleId="129">
    <w:name w:val="普通(网站) Char"/>
    <w:link w:val="81"/>
    <w:autoRedefine/>
    <w:qFormat/>
    <w:locked/>
    <w:uiPriority w:val="99"/>
    <w:rPr>
      <w:rFonts w:ascii="宋体" w:hAnsi="宋体" w:eastAsia="宋体"/>
      <w:sz w:val="24"/>
    </w:rPr>
  </w:style>
  <w:style w:type="character" w:customStyle="1" w:styleId="130">
    <w:name w:val="批注主题 Char"/>
    <w:link w:val="85"/>
    <w:autoRedefine/>
    <w:qFormat/>
    <w:locked/>
    <w:uiPriority w:val="0"/>
    <w:rPr>
      <w:rFonts w:ascii="Times New Roman" w:hAnsi="Times New Roman" w:eastAsia="宋体"/>
      <w:b/>
      <w:kern w:val="2"/>
      <w:sz w:val="24"/>
    </w:rPr>
  </w:style>
  <w:style w:type="character" w:customStyle="1" w:styleId="131">
    <w:name w:val="页脚 字符"/>
    <w:basedOn w:val="90"/>
    <w:autoRedefine/>
    <w:qFormat/>
    <w:uiPriority w:val="99"/>
  </w:style>
  <w:style w:type="character" w:customStyle="1" w:styleId="132">
    <w:name w:val="正文文本 字符1"/>
    <w:autoRedefine/>
    <w:semiHidden/>
    <w:qFormat/>
    <w:uiPriority w:val="99"/>
    <w:rPr>
      <w:rFonts w:ascii="Times New Roman" w:hAnsi="Times New Roman" w:eastAsia="宋体"/>
      <w:sz w:val="24"/>
    </w:rPr>
  </w:style>
  <w:style w:type="character" w:customStyle="1" w:styleId="133">
    <w:name w:val="表格 Char"/>
    <w:link w:val="134"/>
    <w:autoRedefine/>
    <w:qFormat/>
    <w:locked/>
    <w:uiPriority w:val="99"/>
    <w:rPr>
      <w:rFonts w:ascii="宋体"/>
      <w:sz w:val="21"/>
    </w:rPr>
  </w:style>
  <w:style w:type="paragraph" w:customStyle="1" w:styleId="134">
    <w:name w:val="表格"/>
    <w:basedOn w:val="1"/>
    <w:next w:val="1"/>
    <w:link w:val="133"/>
    <w:autoRedefine/>
    <w:qFormat/>
    <w:uiPriority w:val="99"/>
    <w:pPr>
      <w:adjustRightInd w:val="0"/>
      <w:snapToGrid w:val="0"/>
      <w:spacing w:beforeLines="10" w:afterLines="10" w:line="259" w:lineRule="auto"/>
      <w:jc w:val="center"/>
    </w:pPr>
    <w:rPr>
      <w:rFonts w:ascii="宋体"/>
      <w:kern w:val="0"/>
      <w:szCs w:val="20"/>
      <w:lang w:val="zh-CN"/>
    </w:rPr>
  </w:style>
  <w:style w:type="character" w:customStyle="1" w:styleId="135">
    <w:name w:val="日期 字符"/>
    <w:autoRedefine/>
    <w:semiHidden/>
    <w:qFormat/>
    <w:uiPriority w:val="99"/>
    <w:rPr>
      <w:rFonts w:ascii="Times New Roman" w:hAnsi="Times New Roman" w:eastAsia="宋体"/>
      <w:sz w:val="24"/>
    </w:rPr>
  </w:style>
  <w:style w:type="character" w:customStyle="1" w:styleId="136">
    <w:name w:val="批注文字 字符1"/>
    <w:autoRedefine/>
    <w:semiHidden/>
    <w:qFormat/>
    <w:uiPriority w:val="99"/>
    <w:rPr>
      <w:rFonts w:ascii="Times New Roman" w:hAnsi="Times New Roman" w:eastAsia="宋体"/>
      <w:sz w:val="24"/>
    </w:rPr>
  </w:style>
  <w:style w:type="paragraph" w:customStyle="1" w:styleId="137">
    <w:name w:val="正文_10"/>
    <w:autoRedefine/>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138">
    <w:name w:val="普通(网站)2"/>
    <w:basedOn w:val="1"/>
    <w:autoRedefine/>
    <w:qFormat/>
    <w:uiPriority w:val="99"/>
    <w:pPr>
      <w:widowControl/>
      <w:spacing w:before="100" w:beforeAutospacing="1" w:after="100" w:afterAutospacing="1"/>
      <w:jc w:val="left"/>
    </w:pPr>
    <w:rPr>
      <w:rFonts w:ascii="宋体" w:hAnsi="宋体"/>
      <w:sz w:val="24"/>
      <w:szCs w:val="20"/>
    </w:rPr>
  </w:style>
  <w:style w:type="paragraph" w:customStyle="1" w:styleId="139">
    <w:name w:val="表格内文字"/>
    <w:basedOn w:val="1"/>
    <w:link w:val="140"/>
    <w:autoRedefine/>
    <w:qFormat/>
    <w:uiPriority w:val="0"/>
    <w:pPr>
      <w:kinsoku w:val="0"/>
      <w:wordWrap w:val="0"/>
      <w:overflowPunct w:val="0"/>
      <w:jc w:val="center"/>
    </w:pPr>
    <w:rPr>
      <w:rFonts w:ascii="Calibri" w:hAnsi="Calibri"/>
      <w:snapToGrid w:val="0"/>
      <w:kern w:val="0"/>
      <w:lang w:val="zh-CN"/>
    </w:rPr>
  </w:style>
  <w:style w:type="character" w:customStyle="1" w:styleId="140">
    <w:name w:val="表格内文字 Char"/>
    <w:link w:val="139"/>
    <w:autoRedefine/>
    <w:qFormat/>
    <w:uiPriority w:val="0"/>
    <w:rPr>
      <w:rFonts w:ascii="Calibri" w:hAnsi="Calibri" w:cs="宋体"/>
      <w:snapToGrid w:val="0"/>
      <w:sz w:val="21"/>
      <w:szCs w:val="24"/>
    </w:rPr>
  </w:style>
  <w:style w:type="paragraph" w:customStyle="1" w:styleId="141">
    <w:name w:val="标题 段落4级"/>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styleId="142">
    <w:name w:val="List Paragraph"/>
    <w:basedOn w:val="1"/>
    <w:autoRedefine/>
    <w:qFormat/>
    <w:uiPriority w:val="1"/>
    <w:pPr>
      <w:widowControl/>
      <w:ind w:firstLine="420" w:firstLineChars="200"/>
      <w:jc w:val="left"/>
    </w:pPr>
    <w:rPr>
      <w:rFonts w:ascii="宋体" w:hAnsi="宋体" w:cs="宋体"/>
      <w:kern w:val="0"/>
      <w:sz w:val="24"/>
    </w:rPr>
  </w:style>
  <w:style w:type="paragraph" w:customStyle="1" w:styleId="143">
    <w:name w:val="简单回函地址"/>
    <w:basedOn w:val="1"/>
    <w:autoRedefine/>
    <w:qFormat/>
    <w:uiPriority w:val="0"/>
    <w:pPr>
      <w:widowControl/>
      <w:jc w:val="left"/>
    </w:pPr>
    <w:rPr>
      <w:rFonts w:ascii="宋体" w:hAnsi="宋体" w:cs="宋体"/>
      <w:kern w:val="0"/>
      <w:sz w:val="24"/>
    </w:rPr>
  </w:style>
  <w:style w:type="paragraph" w:customStyle="1" w:styleId="144">
    <w:name w:val="Char Char Char Char Char Char Char"/>
    <w:basedOn w:val="1"/>
    <w:autoRedefine/>
    <w:qFormat/>
    <w:uiPriority w:val="0"/>
    <w:pPr>
      <w:widowControl/>
      <w:spacing w:after="160"/>
      <w:jc w:val="left"/>
    </w:pPr>
    <w:rPr>
      <w:rFonts w:ascii="宋体" w:hAnsi="宋体" w:cs="宋体"/>
    </w:rPr>
  </w:style>
  <w:style w:type="paragraph" w:customStyle="1" w:styleId="145">
    <w:name w:val="表格文字2"/>
    <w:basedOn w:val="1"/>
    <w:autoRedefine/>
    <w:qFormat/>
    <w:uiPriority w:val="0"/>
    <w:pPr>
      <w:tabs>
        <w:tab w:val="left" w:pos="560"/>
      </w:tabs>
      <w:overflowPunct w:val="0"/>
      <w:adjustRightInd w:val="0"/>
      <w:snapToGrid w:val="0"/>
      <w:spacing w:line="400" w:lineRule="exact"/>
      <w:jc w:val="center"/>
    </w:pPr>
    <w:rPr>
      <w:rFonts w:cs="宋体"/>
      <w:snapToGrid w:val="0"/>
      <w:color w:val="000000"/>
      <w:kern w:val="0"/>
      <w:szCs w:val="21"/>
    </w:rPr>
  </w:style>
  <w:style w:type="paragraph" w:customStyle="1" w:styleId="146">
    <w:name w:val="Table Paragraph"/>
    <w:basedOn w:val="1"/>
    <w:autoRedefine/>
    <w:qFormat/>
    <w:uiPriority w:val="1"/>
    <w:pPr>
      <w:autoSpaceDE w:val="0"/>
      <w:autoSpaceDN w:val="0"/>
      <w:jc w:val="left"/>
    </w:pPr>
    <w:rPr>
      <w:rFonts w:ascii="宋体" w:hAnsi="宋体" w:cs="宋体"/>
      <w:kern w:val="0"/>
      <w:sz w:val="22"/>
      <w:szCs w:val="22"/>
      <w:lang w:val="zh-CN" w:bidi="zh-CN"/>
    </w:rPr>
  </w:style>
  <w:style w:type="character" w:customStyle="1" w:styleId="147">
    <w:name w:val="表格文字 Char"/>
    <w:link w:val="148"/>
    <w:autoRedefine/>
    <w:qFormat/>
    <w:uiPriority w:val="0"/>
    <w:rPr>
      <w:rFonts w:ascii="仿宋_GB2312" w:hAnsi="Arial Black" w:eastAsia="仿宋_GB2312"/>
      <w:kern w:val="44"/>
      <w:sz w:val="24"/>
    </w:rPr>
  </w:style>
  <w:style w:type="paragraph" w:customStyle="1" w:styleId="148">
    <w:name w:val="表格文字"/>
    <w:basedOn w:val="1"/>
    <w:link w:val="147"/>
    <w:autoRedefine/>
    <w:qFormat/>
    <w:uiPriority w:val="0"/>
    <w:pPr>
      <w:widowControl/>
      <w:jc w:val="center"/>
    </w:pPr>
    <w:rPr>
      <w:rFonts w:ascii="仿宋_GB2312" w:hAnsi="Arial Black" w:eastAsia="仿宋_GB2312"/>
      <w:kern w:val="44"/>
      <w:sz w:val="24"/>
      <w:szCs w:val="20"/>
      <w:lang w:val="zh-CN"/>
    </w:rPr>
  </w:style>
  <w:style w:type="character" w:customStyle="1" w:styleId="149">
    <w:name w:val="font31"/>
    <w:autoRedefine/>
    <w:qFormat/>
    <w:uiPriority w:val="0"/>
    <w:rPr>
      <w:rFonts w:hint="default"/>
      <w:color w:val="000000"/>
      <w:sz w:val="22"/>
      <w:szCs w:val="22"/>
      <w:u w:val="none"/>
    </w:rPr>
  </w:style>
  <w:style w:type="paragraph" w:customStyle="1" w:styleId="150">
    <w:name w:val="正文6"/>
    <w:autoRedefine/>
    <w:qFormat/>
    <w:uiPriority w:val="39"/>
    <w:pPr>
      <w:jc w:val="both"/>
    </w:pPr>
    <w:rPr>
      <w:rFonts w:ascii="Times New Roman" w:hAnsi="Times New Roman" w:eastAsia="宋体" w:cs="Times New Roman"/>
      <w:kern w:val="2"/>
      <w:sz w:val="21"/>
      <w:szCs w:val="21"/>
      <w:lang w:val="en-US" w:eastAsia="zh-CN" w:bidi="ar-SA"/>
    </w:rPr>
  </w:style>
  <w:style w:type="character" w:customStyle="1" w:styleId="151">
    <w:name w:val="页脚 Char"/>
    <w:autoRedefine/>
    <w:qFormat/>
    <w:uiPriority w:val="0"/>
    <w:rPr>
      <w:kern w:val="2"/>
      <w:sz w:val="18"/>
      <w:szCs w:val="18"/>
    </w:rPr>
  </w:style>
  <w:style w:type="character" w:customStyle="1" w:styleId="152">
    <w:name w:val="markedcontent"/>
    <w:basedOn w:val="90"/>
    <w:autoRedefine/>
    <w:qFormat/>
    <w:uiPriority w:val="0"/>
  </w:style>
  <w:style w:type="paragraph" w:customStyle="1" w:styleId="153">
    <w:name w:val="paragraph"/>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54">
    <w:name w:val="修订1"/>
    <w:autoRedefine/>
    <w:hidden/>
    <w:qFormat/>
    <w:uiPriority w:val="99"/>
    <w:rPr>
      <w:rFonts w:ascii="Times New Roman" w:hAnsi="Times New Roman" w:eastAsia="宋体" w:cs="Times New Roman"/>
      <w:kern w:val="2"/>
      <w:sz w:val="21"/>
      <w:szCs w:val="24"/>
      <w:lang w:val="en-US" w:eastAsia="zh-CN" w:bidi="ar-SA"/>
    </w:rPr>
  </w:style>
  <w:style w:type="character" w:customStyle="1" w:styleId="155">
    <w:name w:val="宏文本 Char"/>
    <w:link w:val="2"/>
    <w:autoRedefine/>
    <w:qFormat/>
    <w:uiPriority w:val="0"/>
    <w:rPr>
      <w:rFonts w:ascii="Courier New" w:hAnsi="Courier New"/>
      <w:kern w:val="2"/>
      <w:sz w:val="24"/>
      <w:szCs w:val="24"/>
      <w:lang w:bidi="ar-SA"/>
    </w:rPr>
  </w:style>
  <w:style w:type="character" w:customStyle="1" w:styleId="156">
    <w:name w:val="注释标题 Char"/>
    <w:link w:val="17"/>
    <w:autoRedefine/>
    <w:qFormat/>
    <w:uiPriority w:val="0"/>
    <w:rPr>
      <w:rFonts w:ascii="新宋体" w:hAnsi="新宋体" w:cs="新宋体"/>
    </w:rPr>
  </w:style>
  <w:style w:type="character" w:customStyle="1" w:styleId="157">
    <w:name w:val="电子邮件签名 Char"/>
    <w:link w:val="20"/>
    <w:autoRedefine/>
    <w:qFormat/>
    <w:uiPriority w:val="0"/>
    <w:rPr>
      <w:rFonts w:ascii="Arial" w:hAnsi="Arial" w:eastAsia="仿宋_GB2312"/>
      <w:sz w:val="24"/>
    </w:rPr>
  </w:style>
  <w:style w:type="character" w:customStyle="1" w:styleId="158">
    <w:name w:val="题注 Char"/>
    <w:link w:val="22"/>
    <w:autoRedefine/>
    <w:qFormat/>
    <w:uiPriority w:val="0"/>
    <w:rPr>
      <w:rFonts w:ascii="Cambria" w:hAnsi="Cambria" w:eastAsia="黑体"/>
      <w:color w:val="000000"/>
    </w:rPr>
  </w:style>
  <w:style w:type="character" w:customStyle="1" w:styleId="159">
    <w:name w:val="文档结构图 Char"/>
    <w:link w:val="26"/>
    <w:autoRedefine/>
    <w:qFormat/>
    <w:uiPriority w:val="99"/>
    <w:rPr>
      <w:rFonts w:ascii="宋体"/>
      <w:sz w:val="18"/>
      <w:szCs w:val="18"/>
      <w:shd w:val="clear" w:color="auto" w:fill="000080"/>
    </w:rPr>
  </w:style>
  <w:style w:type="character" w:customStyle="1" w:styleId="160">
    <w:name w:val="称呼 Char"/>
    <w:link w:val="30"/>
    <w:autoRedefine/>
    <w:qFormat/>
    <w:uiPriority w:val="0"/>
    <w:rPr>
      <w:rFonts w:ascii="Arial" w:hAnsi="Arial" w:eastAsia="仿宋_GB2312"/>
      <w:sz w:val="24"/>
    </w:rPr>
  </w:style>
  <w:style w:type="character" w:customStyle="1" w:styleId="161">
    <w:name w:val="正文文本 3 Char"/>
    <w:link w:val="31"/>
    <w:autoRedefine/>
    <w:qFormat/>
    <w:uiPriority w:val="0"/>
    <w:rPr>
      <w:rFonts w:ascii="宋体"/>
      <w:caps/>
      <w:szCs w:val="24"/>
    </w:rPr>
  </w:style>
  <w:style w:type="character" w:customStyle="1" w:styleId="162">
    <w:name w:val="结束语 Char"/>
    <w:link w:val="32"/>
    <w:autoRedefine/>
    <w:qFormat/>
    <w:uiPriority w:val="0"/>
    <w:rPr>
      <w:rFonts w:ascii="Arial" w:hAnsi="Arial" w:eastAsia="仿宋_GB2312"/>
      <w:sz w:val="24"/>
    </w:rPr>
  </w:style>
  <w:style w:type="character" w:customStyle="1" w:styleId="163">
    <w:name w:val="HTML 地址 Char"/>
    <w:link w:val="41"/>
    <w:autoRedefine/>
    <w:qFormat/>
    <w:uiPriority w:val="0"/>
    <w:rPr>
      <w:rFonts w:ascii="Arial" w:hAnsi="Arial" w:eastAsia="仿宋_GB2312"/>
      <w:i/>
      <w:iCs/>
      <w:sz w:val="24"/>
    </w:rPr>
  </w:style>
  <w:style w:type="character" w:customStyle="1" w:styleId="164">
    <w:name w:val="纯文本 Char"/>
    <w:link w:val="45"/>
    <w:autoRedefine/>
    <w:qFormat/>
    <w:uiPriority w:val="0"/>
    <w:rPr>
      <w:rFonts w:ascii="宋体" w:hAnsi="Courier New" w:cs="Courier New"/>
      <w:szCs w:val="21"/>
    </w:rPr>
  </w:style>
  <w:style w:type="character" w:customStyle="1" w:styleId="165">
    <w:name w:val="尾注文本 Char"/>
    <w:link w:val="52"/>
    <w:autoRedefine/>
    <w:qFormat/>
    <w:uiPriority w:val="0"/>
    <w:rPr>
      <w:rFonts w:ascii="仿宋_GB2312" w:eastAsia="仿宋_GB2312"/>
      <w:sz w:val="28"/>
      <w:szCs w:val="24"/>
    </w:rPr>
  </w:style>
  <w:style w:type="character" w:customStyle="1" w:styleId="166">
    <w:name w:val="签名 Char"/>
    <w:link w:val="58"/>
    <w:autoRedefine/>
    <w:qFormat/>
    <w:uiPriority w:val="0"/>
    <w:rPr>
      <w:rFonts w:ascii="Arial" w:hAnsi="Arial" w:eastAsia="仿宋_GB2312"/>
      <w:sz w:val="24"/>
    </w:rPr>
  </w:style>
  <w:style w:type="character" w:customStyle="1" w:styleId="167">
    <w:name w:val="目录 1 Char"/>
    <w:link w:val="59"/>
    <w:autoRedefine/>
    <w:qFormat/>
    <w:uiPriority w:val="39"/>
    <w:rPr>
      <w:rFonts w:ascii="Calibri" w:hAnsi="Calibri" w:cs="Calibri"/>
      <w:b/>
      <w:bCs/>
      <w:caps/>
    </w:rPr>
  </w:style>
  <w:style w:type="character" w:customStyle="1" w:styleId="168">
    <w:name w:val="副标题 Char"/>
    <w:link w:val="64"/>
    <w:autoRedefine/>
    <w:qFormat/>
    <w:uiPriority w:val="0"/>
    <w:rPr>
      <w:rFonts w:ascii="Arial" w:hAnsi="Arial" w:eastAsia="仿宋_GB2312" w:cs="Arial"/>
      <w:b/>
      <w:bCs/>
      <w:kern w:val="28"/>
      <w:sz w:val="32"/>
      <w:szCs w:val="32"/>
    </w:rPr>
  </w:style>
  <w:style w:type="character" w:customStyle="1" w:styleId="169">
    <w:name w:val="脚注文本 Char"/>
    <w:link w:val="67"/>
    <w:autoRedefine/>
    <w:qFormat/>
    <w:uiPriority w:val="0"/>
    <w:rPr>
      <w:rFonts w:ascii="Arial" w:hAnsi="Arial" w:eastAsia="仿宋_GB2312"/>
      <w:sz w:val="18"/>
      <w:szCs w:val="18"/>
    </w:rPr>
  </w:style>
  <w:style w:type="character" w:customStyle="1" w:styleId="170">
    <w:name w:val="正文文本 2 Char"/>
    <w:link w:val="76"/>
    <w:autoRedefine/>
    <w:qFormat/>
    <w:uiPriority w:val="0"/>
    <w:rPr>
      <w:b/>
      <w:bCs/>
      <w:sz w:val="28"/>
    </w:rPr>
  </w:style>
  <w:style w:type="character" w:customStyle="1" w:styleId="171">
    <w:name w:val="信息标题 Char"/>
    <w:link w:val="79"/>
    <w:autoRedefine/>
    <w:qFormat/>
    <w:uiPriority w:val="0"/>
    <w:rPr>
      <w:rFonts w:ascii="Arial" w:hAnsi="Arial" w:eastAsia="仿宋_GB2312" w:cs="Arial"/>
      <w:sz w:val="24"/>
      <w:shd w:val="pct20" w:color="auto" w:fill="auto"/>
    </w:rPr>
  </w:style>
  <w:style w:type="character" w:customStyle="1" w:styleId="172">
    <w:name w:val="HTML 预设格式 Char"/>
    <w:link w:val="80"/>
    <w:autoRedefine/>
    <w:qFormat/>
    <w:uiPriority w:val="99"/>
    <w:rPr>
      <w:rFonts w:ascii="Arial" w:hAnsi="Arial" w:cs="Arial"/>
      <w:sz w:val="24"/>
      <w:szCs w:val="24"/>
    </w:rPr>
  </w:style>
  <w:style w:type="character" w:customStyle="1" w:styleId="173">
    <w:name w:val="标题 Char"/>
    <w:link w:val="84"/>
    <w:autoRedefine/>
    <w:qFormat/>
    <w:uiPriority w:val="0"/>
    <w:rPr>
      <w:rFonts w:ascii="Cambria" w:hAnsi="Cambria"/>
      <w:b/>
      <w:bCs/>
      <w:color w:val="000000"/>
      <w:sz w:val="32"/>
      <w:szCs w:val="32"/>
    </w:rPr>
  </w:style>
  <w:style w:type="character" w:customStyle="1" w:styleId="174">
    <w:name w:val="正文首行缩进 Char"/>
    <w:link w:val="86"/>
    <w:autoRedefine/>
    <w:qFormat/>
    <w:uiPriority w:val="0"/>
    <w:rPr>
      <w:sz w:val="18"/>
    </w:rPr>
  </w:style>
  <w:style w:type="character" w:customStyle="1" w:styleId="175">
    <w:name w:val="正文首行缩进 2 Char"/>
    <w:link w:val="87"/>
    <w:autoRedefine/>
    <w:qFormat/>
    <w:uiPriority w:val="0"/>
    <w:rPr>
      <w:rFonts w:ascii="Times New Roman" w:hAnsi="Times New Roman" w:eastAsia="宋体"/>
      <w:sz w:val="24"/>
    </w:rPr>
  </w:style>
  <w:style w:type="character" w:customStyle="1" w:styleId="176">
    <w:name w:val="报告正文 Char"/>
    <w:link w:val="177"/>
    <w:autoRedefine/>
    <w:qFormat/>
    <w:uiPriority w:val="0"/>
    <w:rPr>
      <w:color w:val="000000"/>
      <w:kern w:val="1"/>
      <w:sz w:val="24"/>
      <w:szCs w:val="24"/>
      <w:lang w:val="en-US" w:eastAsia="zh-CN" w:bidi="ar-SA"/>
    </w:rPr>
  </w:style>
  <w:style w:type="paragraph" w:customStyle="1" w:styleId="177">
    <w:name w:val="报告正文"/>
    <w:link w:val="176"/>
    <w:autoRedefine/>
    <w:qFormat/>
    <w:uiPriority w:val="0"/>
    <w:pPr>
      <w:widowControl w:val="0"/>
      <w:spacing w:line="360" w:lineRule="auto"/>
      <w:ind w:firstLine="420"/>
    </w:pPr>
    <w:rPr>
      <w:rFonts w:ascii="Times New Roman" w:hAnsi="Times New Roman" w:eastAsia="宋体" w:cs="Times New Roman"/>
      <w:color w:val="000000"/>
      <w:kern w:val="1"/>
      <w:sz w:val="24"/>
      <w:szCs w:val="24"/>
      <w:lang w:val="en-US" w:eastAsia="zh-CN" w:bidi="ar-SA"/>
    </w:rPr>
  </w:style>
  <w:style w:type="character" w:customStyle="1" w:styleId="178">
    <w:name w:val="Comment Text Char"/>
    <w:autoRedefine/>
    <w:qFormat/>
    <w:locked/>
    <w:uiPriority w:val="0"/>
    <w:rPr>
      <w:rFonts w:eastAsia="宋体"/>
      <w:kern w:val="2"/>
      <w:sz w:val="21"/>
      <w:szCs w:val="24"/>
      <w:lang w:val="en-US" w:eastAsia="zh-CN" w:bidi="ar-SA"/>
    </w:rPr>
  </w:style>
  <w:style w:type="character" w:customStyle="1" w:styleId="179">
    <w:name w:val="12p-18hg"/>
    <w:autoRedefine/>
    <w:qFormat/>
    <w:uiPriority w:val="0"/>
    <w:rPr>
      <w:rFonts w:eastAsia="宋体"/>
      <w:kern w:val="2"/>
      <w:sz w:val="28"/>
      <w:szCs w:val="28"/>
      <w:lang w:val="en-US" w:eastAsia="zh-CN" w:bidi="ar-SA"/>
    </w:rPr>
  </w:style>
  <w:style w:type="character" w:customStyle="1" w:styleId="180">
    <w:name w:val="标题3 Char"/>
    <w:link w:val="181"/>
    <w:autoRedefine/>
    <w:qFormat/>
    <w:uiPriority w:val="0"/>
    <w:rPr>
      <w:b/>
      <w:bCs/>
      <w:kern w:val="2"/>
      <w:sz w:val="32"/>
      <w:szCs w:val="32"/>
    </w:rPr>
  </w:style>
  <w:style w:type="paragraph" w:customStyle="1" w:styleId="181">
    <w:name w:val="标题3"/>
    <w:basedOn w:val="5"/>
    <w:next w:val="1"/>
    <w:link w:val="180"/>
    <w:autoRedefine/>
    <w:qFormat/>
    <w:uiPriority w:val="0"/>
    <w:pPr>
      <w:ind w:left="720" w:hanging="432"/>
    </w:pPr>
  </w:style>
  <w:style w:type="character" w:customStyle="1" w:styleId="182">
    <w:name w:val="正文首行缩进 2 Char11"/>
    <w:autoRedefine/>
    <w:qFormat/>
    <w:uiPriority w:val="0"/>
    <w:rPr>
      <w:rFonts w:eastAsia="宋体"/>
      <w:kern w:val="2"/>
      <w:sz w:val="21"/>
      <w:szCs w:val="24"/>
      <w:lang w:val="en-US" w:eastAsia="zh-CN" w:bidi="ar-SA"/>
    </w:rPr>
  </w:style>
  <w:style w:type="character" w:customStyle="1" w:styleId="183">
    <w:name w:val="Char Char31"/>
    <w:autoRedefine/>
    <w:qFormat/>
    <w:uiPriority w:val="0"/>
    <w:rPr>
      <w:rFonts w:hint="default" w:ascii="Arial" w:hAnsi="Arial" w:eastAsia="黑体" w:cs="Arial"/>
      <w:kern w:val="2"/>
      <w:sz w:val="24"/>
      <w:szCs w:val="24"/>
      <w:lang w:val="en-US" w:eastAsia="zh-CN" w:bidi="ar-SA"/>
    </w:rPr>
  </w:style>
  <w:style w:type="character" w:customStyle="1" w:styleId="184">
    <w:name w:val="HTML 预先格式化 Char Char"/>
    <w:autoRedefine/>
    <w:qFormat/>
    <w:uiPriority w:val="0"/>
    <w:rPr>
      <w:rFonts w:ascii="Arial" w:hAnsi="Arial" w:eastAsia="宋体" w:cs="Arial"/>
      <w:sz w:val="21"/>
      <w:szCs w:val="21"/>
      <w:lang w:val="en-US" w:eastAsia="zh-CN" w:bidi="ar-SA"/>
    </w:rPr>
  </w:style>
  <w:style w:type="character" w:customStyle="1" w:styleId="185">
    <w:name w:val="main-11"/>
    <w:basedOn w:val="90"/>
    <w:autoRedefine/>
    <w:qFormat/>
    <w:uiPriority w:val="0"/>
  </w:style>
  <w:style w:type="character" w:customStyle="1" w:styleId="186">
    <w:name w:val="图表题 Char12"/>
    <w:autoRedefine/>
    <w:qFormat/>
    <w:uiPriority w:val="0"/>
    <w:rPr>
      <w:rFonts w:ascii="黑体" w:hAnsi="宋体" w:eastAsia="黑体" w:cs="宋体"/>
      <w:bCs/>
      <w:sz w:val="24"/>
      <w:szCs w:val="24"/>
    </w:rPr>
  </w:style>
  <w:style w:type="character" w:customStyle="1" w:styleId="187">
    <w:name w:val="title-blue1"/>
    <w:autoRedefine/>
    <w:qFormat/>
    <w:uiPriority w:val="0"/>
    <w:rPr>
      <w:rFonts w:hint="eastAsia" w:ascii="幼圆" w:hAnsi="黑体" w:eastAsia="幼圆"/>
      <w:b/>
      <w:bCs/>
      <w:color w:val="009FFF"/>
      <w:spacing w:val="75"/>
      <w:kern w:val="44"/>
      <w:sz w:val="24"/>
      <w:szCs w:val="24"/>
      <w:lang w:val="en-US" w:eastAsia="zh-CN"/>
    </w:rPr>
  </w:style>
  <w:style w:type="character" w:customStyle="1" w:styleId="188">
    <w:name w:val="t"/>
    <w:basedOn w:val="90"/>
    <w:autoRedefine/>
    <w:qFormat/>
    <w:uiPriority w:val="0"/>
  </w:style>
  <w:style w:type="character" w:customStyle="1" w:styleId="189">
    <w:name w:val="环标3 Char"/>
    <w:autoRedefine/>
    <w:qFormat/>
    <w:uiPriority w:val="0"/>
    <w:rPr>
      <w:rFonts w:eastAsia="宋体"/>
      <w:sz w:val="24"/>
      <w:szCs w:val="24"/>
      <w:lang w:val="en-US" w:eastAsia="zh-CN" w:bidi="ar-SA"/>
    </w:rPr>
  </w:style>
  <w:style w:type="character" w:customStyle="1" w:styleId="190">
    <w:name w:val="td1"/>
    <w:autoRedefine/>
    <w:qFormat/>
    <w:uiPriority w:val="0"/>
    <w:rPr>
      <w:color w:val="000000"/>
      <w:sz w:val="21"/>
      <w:szCs w:val="21"/>
    </w:rPr>
  </w:style>
  <w:style w:type="character" w:customStyle="1" w:styleId="191">
    <w:name w:val="燕山正文 Char1"/>
    <w:link w:val="192"/>
    <w:autoRedefine/>
    <w:qFormat/>
    <w:uiPriority w:val="0"/>
    <w:rPr>
      <w:rFonts w:ascii="宋体" w:cs="宋体"/>
      <w:sz w:val="24"/>
      <w:szCs w:val="24"/>
    </w:rPr>
  </w:style>
  <w:style w:type="paragraph" w:customStyle="1" w:styleId="192">
    <w:name w:val="燕山正文"/>
    <w:basedOn w:val="1"/>
    <w:link w:val="191"/>
    <w:autoRedefine/>
    <w:qFormat/>
    <w:uiPriority w:val="0"/>
    <w:pPr>
      <w:tabs>
        <w:tab w:val="left" w:pos="4680"/>
      </w:tabs>
      <w:adjustRightInd w:val="0"/>
      <w:snapToGrid w:val="0"/>
      <w:spacing w:line="480" w:lineRule="exact"/>
    </w:pPr>
    <w:rPr>
      <w:rFonts w:ascii="宋体"/>
      <w:kern w:val="0"/>
      <w:sz w:val="24"/>
      <w:lang w:val="zh-CN"/>
    </w:rPr>
  </w:style>
  <w:style w:type="character" w:customStyle="1" w:styleId="193">
    <w:name w:val="题注 Char32"/>
    <w:autoRedefine/>
    <w:qFormat/>
    <w:uiPriority w:val="0"/>
    <w:rPr>
      <w:rFonts w:ascii="黑体" w:hAnsi="Arial" w:eastAsia="黑体" w:cs="Arial"/>
      <w:b/>
      <w:spacing w:val="10"/>
      <w:sz w:val="24"/>
      <w:szCs w:val="24"/>
    </w:rPr>
  </w:style>
  <w:style w:type="character" w:customStyle="1" w:styleId="194">
    <w:name w:val="表题1 Char8"/>
    <w:autoRedefine/>
    <w:qFormat/>
    <w:uiPriority w:val="0"/>
    <w:rPr>
      <w:rFonts w:ascii="黑体" w:hAnsi="Arial" w:eastAsia="黑体" w:cs="Arial"/>
      <w:b/>
      <w:kern w:val="2"/>
      <w:sz w:val="24"/>
      <w:szCs w:val="24"/>
      <w:lang w:val="en-US" w:eastAsia="zh-CN" w:bidi="ar-SA"/>
    </w:rPr>
  </w:style>
  <w:style w:type="character" w:customStyle="1" w:styleId="195">
    <w:name w:val="表格内容 Char3"/>
    <w:autoRedefine/>
    <w:qFormat/>
    <w:uiPriority w:val="0"/>
    <w:rPr>
      <w:rFonts w:ascii="Times New Roman" w:hAnsi="Times New Roman" w:eastAsia="宋体" w:cs="Times New Roman"/>
      <w:kern w:val="2"/>
      <w:sz w:val="24"/>
      <w:szCs w:val="21"/>
      <w:lang w:val="en-US" w:eastAsia="zh-CN" w:bidi="ar-SA"/>
    </w:rPr>
  </w:style>
  <w:style w:type="character" w:customStyle="1" w:styleId="196">
    <w:name w:val="Char Char81"/>
    <w:autoRedefine/>
    <w:qFormat/>
    <w:uiPriority w:val="0"/>
    <w:rPr>
      <w:rFonts w:hint="eastAsia" w:ascii="仿宋_GB2312" w:eastAsia="仿宋_GB2312"/>
      <w:kern w:val="2"/>
      <w:sz w:val="28"/>
      <w:lang w:val="en-US" w:eastAsia="zh-CN" w:bidi="ar-SA"/>
    </w:rPr>
  </w:style>
  <w:style w:type="character" w:customStyle="1" w:styleId="197">
    <w:name w:val="Char Char22"/>
    <w:autoRedefine/>
    <w:qFormat/>
    <w:uiPriority w:val="0"/>
    <w:rPr>
      <w:rFonts w:hint="default" w:ascii="Arial" w:hAnsi="Arial" w:eastAsia="黑体" w:cs="Arial"/>
      <w:kern w:val="2"/>
      <w:sz w:val="21"/>
      <w:szCs w:val="21"/>
      <w:lang w:val="en-US" w:eastAsia="zh-CN" w:bidi="ar-SA"/>
    </w:rPr>
  </w:style>
  <w:style w:type="character" w:customStyle="1" w:styleId="198">
    <w:name w:val="font_141"/>
    <w:autoRedefine/>
    <w:qFormat/>
    <w:uiPriority w:val="0"/>
    <w:rPr>
      <w:rFonts w:hint="default" w:ascii="ˎ̥" w:hAnsi="ˎ̥" w:eastAsia="宋体"/>
      <w:kern w:val="2"/>
      <w:sz w:val="21"/>
      <w:szCs w:val="21"/>
      <w:lang w:val="en-US" w:eastAsia="zh-CN" w:bidi="ar-SA"/>
    </w:rPr>
  </w:style>
  <w:style w:type="character" w:customStyle="1" w:styleId="199">
    <w:name w:val="题注 Char111"/>
    <w:autoRedefine/>
    <w:qFormat/>
    <w:uiPriority w:val="0"/>
    <w:rPr>
      <w:rFonts w:ascii="黑体" w:hAnsi="Arial" w:eastAsia="黑体" w:cs="Arial"/>
      <w:b/>
      <w:spacing w:val="10"/>
      <w:sz w:val="24"/>
      <w:szCs w:val="24"/>
    </w:rPr>
  </w:style>
  <w:style w:type="character" w:customStyle="1" w:styleId="200">
    <w:name w:val="3级标题 Char"/>
    <w:link w:val="201"/>
    <w:autoRedefine/>
    <w:qFormat/>
    <w:locked/>
    <w:uiPriority w:val="0"/>
    <w:rPr>
      <w:rFonts w:ascii="宋体"/>
      <w:b/>
      <w:sz w:val="24"/>
    </w:rPr>
  </w:style>
  <w:style w:type="paragraph" w:customStyle="1" w:styleId="201">
    <w:name w:val="3级标题"/>
    <w:basedOn w:val="1"/>
    <w:link w:val="200"/>
    <w:autoRedefine/>
    <w:qFormat/>
    <w:uiPriority w:val="0"/>
    <w:pPr>
      <w:adjustRightInd w:val="0"/>
      <w:snapToGrid w:val="0"/>
      <w:spacing w:line="500" w:lineRule="exact"/>
      <w:ind w:left="17"/>
    </w:pPr>
    <w:rPr>
      <w:rFonts w:ascii="宋体"/>
      <w:b/>
      <w:kern w:val="0"/>
      <w:sz w:val="24"/>
      <w:szCs w:val="20"/>
      <w:lang w:val="zh-CN"/>
    </w:rPr>
  </w:style>
  <w:style w:type="character" w:customStyle="1" w:styleId="202">
    <w:name w:val="标题 2 Char5"/>
    <w:autoRedefine/>
    <w:qFormat/>
    <w:uiPriority w:val="0"/>
    <w:rPr>
      <w:rFonts w:ascii="黑体" w:hAnsi="Arial" w:eastAsia="黑体"/>
      <w:bCs/>
      <w:kern w:val="2"/>
      <w:sz w:val="30"/>
      <w:szCs w:val="30"/>
      <w:lang w:val="en-US" w:eastAsia="zh-CN" w:bidi="ar-SA"/>
    </w:rPr>
  </w:style>
  <w:style w:type="character" w:customStyle="1" w:styleId="203">
    <w:name w:val="at_8"/>
    <w:basedOn w:val="90"/>
    <w:autoRedefine/>
    <w:qFormat/>
    <w:uiPriority w:val="0"/>
  </w:style>
  <w:style w:type="character" w:customStyle="1" w:styleId="204">
    <w:name w:val="sl0m"/>
    <w:basedOn w:val="90"/>
    <w:autoRedefine/>
    <w:qFormat/>
    <w:uiPriority w:val="0"/>
  </w:style>
  <w:style w:type="character" w:customStyle="1" w:styleId="205">
    <w:name w:val="at_1"/>
    <w:basedOn w:val="90"/>
    <w:autoRedefine/>
    <w:qFormat/>
    <w:uiPriority w:val="0"/>
  </w:style>
  <w:style w:type="character" w:customStyle="1" w:styleId="206">
    <w:name w:val="Char Char Char12"/>
    <w:autoRedefine/>
    <w:qFormat/>
    <w:uiPriority w:val="0"/>
    <w:rPr>
      <w:rFonts w:hint="default" w:ascii="Arial" w:hAnsi="Arial" w:eastAsia="黑体" w:cs="Arial"/>
      <w:b/>
      <w:bCs/>
      <w:kern w:val="2"/>
      <w:sz w:val="24"/>
      <w:szCs w:val="24"/>
      <w:lang w:val="en-US" w:eastAsia="zh-CN" w:bidi="ar-SA"/>
    </w:rPr>
  </w:style>
  <w:style w:type="character" w:customStyle="1" w:styleId="207">
    <w:name w:val="正文（首行缩进两字） Char Char Char Char Char Char Char Char Char Char Char Char Char"/>
    <w:autoRedefine/>
    <w:qFormat/>
    <w:uiPriority w:val="0"/>
    <w:rPr>
      <w:rFonts w:ascii="仿宋_GB2312" w:eastAsia="仿宋_GB2312"/>
      <w:color w:val="000000"/>
      <w:kern w:val="2"/>
      <w:sz w:val="28"/>
      <w:szCs w:val="24"/>
      <w:lang w:val="en-US" w:eastAsia="zh-CN" w:bidi="ar-SA"/>
    </w:rPr>
  </w:style>
  <w:style w:type="character" w:customStyle="1" w:styleId="208">
    <w:name w:val="style21"/>
    <w:autoRedefine/>
    <w:qFormat/>
    <w:uiPriority w:val="0"/>
    <w:rPr>
      <w:color w:val="3B72A9"/>
    </w:rPr>
  </w:style>
  <w:style w:type="character" w:customStyle="1" w:styleId="209">
    <w:name w:val="正文修改 Char111"/>
    <w:autoRedefine/>
    <w:qFormat/>
    <w:uiPriority w:val="0"/>
    <w:rPr>
      <w:rFonts w:ascii="宋体" w:hAnsi="宋体" w:eastAsia="宋体" w:cs="宋体"/>
      <w:color w:val="000000"/>
      <w:sz w:val="24"/>
      <w:szCs w:val="24"/>
    </w:rPr>
  </w:style>
  <w:style w:type="character" w:customStyle="1" w:styleId="210">
    <w:name w:val="Char Char1131"/>
    <w:autoRedefine/>
    <w:qFormat/>
    <w:uiPriority w:val="0"/>
    <w:rPr>
      <w:rFonts w:ascii="黑体" w:hAnsi="Arial" w:eastAsia="黑体"/>
      <w:bCs/>
      <w:kern w:val="2"/>
      <w:sz w:val="30"/>
      <w:szCs w:val="30"/>
      <w:lang w:val="en-US" w:eastAsia="zh-CN" w:bidi="ar-SA"/>
    </w:rPr>
  </w:style>
  <w:style w:type="character" w:customStyle="1" w:styleId="211">
    <w:name w:val="xiaozhiti1"/>
    <w:autoRedefine/>
    <w:qFormat/>
    <w:uiPriority w:val="0"/>
    <w:rPr>
      <w:sz w:val="18"/>
      <w:szCs w:val="18"/>
    </w:rPr>
  </w:style>
  <w:style w:type="character" w:customStyle="1" w:styleId="212">
    <w:name w:val="正文01 Char"/>
    <w:autoRedefine/>
    <w:qFormat/>
    <w:locked/>
    <w:uiPriority w:val="0"/>
    <w:rPr>
      <w:rFonts w:ascii="Times New Roman" w:hAnsi="Times New Roman" w:eastAsia="宋体" w:cs="Times New Roman"/>
      <w:snapToGrid w:val="0"/>
      <w:color w:val="000000"/>
      <w:kern w:val="0"/>
      <w:sz w:val="24"/>
      <w:szCs w:val="24"/>
    </w:rPr>
  </w:style>
  <w:style w:type="character" w:customStyle="1" w:styleId="213">
    <w:name w:val="cucd-0 Char"/>
    <w:link w:val="214"/>
    <w:autoRedefine/>
    <w:qFormat/>
    <w:uiPriority w:val="0"/>
    <w:rPr>
      <w:kern w:val="2"/>
      <w:sz w:val="24"/>
      <w:szCs w:val="24"/>
      <w:lang w:val="en-US" w:eastAsia="zh-CN" w:bidi="ar-SA"/>
    </w:rPr>
  </w:style>
  <w:style w:type="paragraph" w:customStyle="1" w:styleId="214">
    <w:name w:val="cucd-0"/>
    <w:link w:val="213"/>
    <w:autoRedefine/>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215">
    <w:name w:val="无级项 Char3"/>
    <w:autoRedefine/>
    <w:qFormat/>
    <w:uiPriority w:val="0"/>
    <w:rPr>
      <w:rFonts w:eastAsia="宋体"/>
      <w:b/>
      <w:bCs/>
      <w:kern w:val="2"/>
      <w:sz w:val="24"/>
      <w:szCs w:val="24"/>
      <w:lang w:val="en-US" w:eastAsia="zh-CN" w:bidi="ar-SA"/>
    </w:rPr>
  </w:style>
  <w:style w:type="character" w:customStyle="1" w:styleId="216">
    <w:name w:val="题注 Char23"/>
    <w:autoRedefine/>
    <w:qFormat/>
    <w:uiPriority w:val="0"/>
    <w:rPr>
      <w:rFonts w:ascii="黑体" w:hAnsi="Arial" w:eastAsia="黑体" w:cs="Arial"/>
      <w:b/>
      <w:spacing w:val="10"/>
      <w:sz w:val="24"/>
      <w:szCs w:val="24"/>
    </w:rPr>
  </w:style>
  <w:style w:type="character" w:customStyle="1" w:styleId="217">
    <w:name w:val="正文修改 Char114"/>
    <w:autoRedefine/>
    <w:qFormat/>
    <w:uiPriority w:val="0"/>
    <w:rPr>
      <w:rFonts w:hAnsi="宋体"/>
      <w:color w:val="000000"/>
    </w:rPr>
  </w:style>
  <w:style w:type="character" w:customStyle="1" w:styleId="218">
    <w:name w:val="表头 Char"/>
    <w:link w:val="219"/>
    <w:autoRedefine/>
    <w:qFormat/>
    <w:uiPriority w:val="0"/>
    <w:rPr>
      <w:rFonts w:eastAsia="黑体"/>
      <w:szCs w:val="24"/>
    </w:rPr>
  </w:style>
  <w:style w:type="paragraph" w:customStyle="1" w:styleId="219">
    <w:name w:val="表头"/>
    <w:basedOn w:val="1"/>
    <w:next w:val="1"/>
    <w:link w:val="218"/>
    <w:autoRedefine/>
    <w:qFormat/>
    <w:uiPriority w:val="0"/>
    <w:pPr>
      <w:spacing w:line="320" w:lineRule="exact"/>
      <w:jc w:val="center"/>
    </w:pPr>
    <w:rPr>
      <w:rFonts w:eastAsia="黑体"/>
      <w:kern w:val="0"/>
      <w:sz w:val="20"/>
      <w:lang w:val="zh-CN"/>
    </w:rPr>
  </w:style>
  <w:style w:type="character" w:customStyle="1" w:styleId="220">
    <w:name w:val="样式 标题 2节 + 宋体 左 Char Char"/>
    <w:link w:val="221"/>
    <w:autoRedefine/>
    <w:qFormat/>
    <w:uiPriority w:val="0"/>
    <w:rPr>
      <w:rFonts w:ascii="宋体" w:hAnsi="宋体" w:cs="宋体"/>
      <w:b/>
      <w:bCs/>
      <w:sz w:val="28"/>
      <w:szCs w:val="24"/>
    </w:rPr>
  </w:style>
  <w:style w:type="paragraph" w:customStyle="1" w:styleId="221">
    <w:name w:val="样式 标题 2节 + 宋体 左 Char"/>
    <w:basedOn w:val="4"/>
    <w:link w:val="220"/>
    <w:autoRedefine/>
    <w:qFormat/>
    <w:uiPriority w:val="0"/>
    <w:pPr>
      <w:tabs>
        <w:tab w:val="left" w:pos="567"/>
      </w:tabs>
      <w:spacing w:before="0" w:after="0" w:line="360" w:lineRule="auto"/>
      <w:ind w:left="567" w:hanging="567"/>
      <w:jc w:val="left"/>
    </w:pPr>
    <w:rPr>
      <w:rFonts w:ascii="宋体" w:hAnsi="宋体"/>
      <w:sz w:val="28"/>
      <w:szCs w:val="24"/>
    </w:rPr>
  </w:style>
  <w:style w:type="character" w:customStyle="1" w:styleId="222">
    <w:name w:val="f121"/>
    <w:autoRedefine/>
    <w:qFormat/>
    <w:uiPriority w:val="99"/>
    <w:rPr>
      <w:sz w:val="18"/>
      <w:szCs w:val="18"/>
      <w:u w:val="none"/>
    </w:rPr>
  </w:style>
  <w:style w:type="character" w:customStyle="1" w:styleId="223">
    <w:name w:val="h31"/>
    <w:autoRedefine/>
    <w:qFormat/>
    <w:uiPriority w:val="0"/>
    <w:rPr>
      <w:sz w:val="21"/>
      <w:szCs w:val="21"/>
    </w:rPr>
  </w:style>
  <w:style w:type="character" w:customStyle="1" w:styleId="224">
    <w:name w:val="sf6tjlp"/>
    <w:basedOn w:val="90"/>
    <w:autoRedefine/>
    <w:qFormat/>
    <w:uiPriority w:val="0"/>
  </w:style>
  <w:style w:type="character" w:customStyle="1" w:styleId="225">
    <w:name w:val="正文修改 Char1412"/>
    <w:autoRedefine/>
    <w:qFormat/>
    <w:uiPriority w:val="0"/>
    <w:rPr>
      <w:rFonts w:ascii="宋体" w:cs="宋体"/>
      <w:sz w:val="24"/>
      <w:szCs w:val="24"/>
    </w:rPr>
  </w:style>
  <w:style w:type="character" w:customStyle="1" w:styleId="226">
    <w:name w:val="f14b1"/>
    <w:autoRedefine/>
    <w:qFormat/>
    <w:uiPriority w:val="0"/>
    <w:rPr>
      <w:rFonts w:eastAsia="宋体"/>
      <w:b/>
      <w:bCs/>
      <w:kern w:val="2"/>
      <w:sz w:val="23"/>
      <w:szCs w:val="23"/>
      <w:lang w:val="en-US" w:eastAsia="zh-CN" w:bidi="ar-SA"/>
    </w:rPr>
  </w:style>
  <w:style w:type="character" w:customStyle="1" w:styleId="227">
    <w:name w:val="chen表头1 Char"/>
    <w:link w:val="228"/>
    <w:autoRedefine/>
    <w:qFormat/>
    <w:uiPriority w:val="0"/>
    <w:rPr>
      <w:rFonts w:eastAsia="楷体_GB2312" w:cs="宋体"/>
      <w:b/>
      <w:sz w:val="24"/>
      <w:szCs w:val="24"/>
    </w:rPr>
  </w:style>
  <w:style w:type="paragraph" w:customStyle="1" w:styleId="228">
    <w:name w:val="chen表头1"/>
    <w:basedOn w:val="1"/>
    <w:link w:val="227"/>
    <w:autoRedefine/>
    <w:qFormat/>
    <w:uiPriority w:val="0"/>
    <w:pPr>
      <w:spacing w:after="120" w:line="500" w:lineRule="exact"/>
      <w:jc w:val="center"/>
    </w:pPr>
    <w:rPr>
      <w:rFonts w:eastAsia="楷体_GB2312"/>
      <w:b/>
      <w:kern w:val="0"/>
      <w:sz w:val="24"/>
      <w:lang w:val="zh-CN"/>
    </w:rPr>
  </w:style>
  <w:style w:type="character" w:customStyle="1" w:styleId="229">
    <w:name w:val="正文格式 Char41"/>
    <w:autoRedefine/>
    <w:qFormat/>
    <w:uiPriority w:val="0"/>
    <w:rPr>
      <w:rFonts w:ascii="宋体" w:hAnsi="宋体" w:eastAsia="宋体"/>
      <w:kern w:val="2"/>
      <w:sz w:val="24"/>
      <w:szCs w:val="24"/>
      <w:lang w:val="en-US" w:eastAsia="zh-CN" w:bidi="ar-SA"/>
    </w:rPr>
  </w:style>
  <w:style w:type="character" w:customStyle="1" w:styleId="230">
    <w:name w:val="td21"/>
    <w:autoRedefine/>
    <w:qFormat/>
    <w:uiPriority w:val="0"/>
    <w:rPr>
      <w:sz w:val="21"/>
      <w:szCs w:val="21"/>
      <w:u w:val="none"/>
    </w:rPr>
  </w:style>
  <w:style w:type="character" w:customStyle="1" w:styleId="231">
    <w:name w:val="style4"/>
    <w:basedOn w:val="90"/>
    <w:autoRedefine/>
    <w:qFormat/>
    <w:uiPriority w:val="0"/>
  </w:style>
  <w:style w:type="character" w:customStyle="1" w:styleId="232">
    <w:name w:val="grame"/>
    <w:basedOn w:val="90"/>
    <w:autoRedefine/>
    <w:qFormat/>
    <w:uiPriority w:val="0"/>
  </w:style>
  <w:style w:type="character" w:customStyle="1" w:styleId="233">
    <w:name w:val="style5"/>
    <w:basedOn w:val="90"/>
    <w:autoRedefine/>
    <w:qFormat/>
    <w:uiPriority w:val="0"/>
  </w:style>
  <w:style w:type="character" w:customStyle="1" w:styleId="234">
    <w:name w:val="unnamed2"/>
    <w:basedOn w:val="90"/>
    <w:autoRedefine/>
    <w:qFormat/>
    <w:uiPriority w:val="0"/>
  </w:style>
  <w:style w:type="character" w:customStyle="1" w:styleId="235">
    <w:name w:val="标题3 Char Char"/>
    <w:autoRedefine/>
    <w:qFormat/>
    <w:uiPriority w:val="0"/>
    <w:rPr>
      <w:rFonts w:eastAsia="黑体"/>
      <w:kern w:val="2"/>
      <w:sz w:val="24"/>
      <w:szCs w:val="24"/>
      <w:lang w:val="en-US" w:eastAsia="zh-CN"/>
    </w:rPr>
  </w:style>
  <w:style w:type="character" w:customStyle="1" w:styleId="236">
    <w:name w:val="at_5"/>
    <w:basedOn w:val="90"/>
    <w:autoRedefine/>
    <w:qFormat/>
    <w:uiPriority w:val="0"/>
  </w:style>
  <w:style w:type="character" w:customStyle="1" w:styleId="237">
    <w:name w:val="keyword"/>
    <w:basedOn w:val="90"/>
    <w:autoRedefine/>
    <w:qFormat/>
    <w:uiPriority w:val="0"/>
  </w:style>
  <w:style w:type="character" w:customStyle="1" w:styleId="238">
    <w:name w:val="表格内容 Char1"/>
    <w:autoRedefine/>
    <w:qFormat/>
    <w:uiPriority w:val="0"/>
    <w:rPr>
      <w:rFonts w:eastAsia="宋体"/>
      <w:kern w:val="2"/>
      <w:sz w:val="21"/>
      <w:szCs w:val="21"/>
      <w:lang w:val="en-US" w:eastAsia="zh-CN" w:bidi="ar-SA"/>
    </w:rPr>
  </w:style>
  <w:style w:type="character" w:customStyle="1" w:styleId="239">
    <w:name w:val="批注框文本 Char5"/>
    <w:autoRedefine/>
    <w:qFormat/>
    <w:uiPriority w:val="0"/>
    <w:rPr>
      <w:rFonts w:eastAsia="宋体"/>
      <w:kern w:val="2"/>
      <w:sz w:val="18"/>
      <w:szCs w:val="18"/>
      <w:lang w:val="en-US" w:eastAsia="zh-CN" w:bidi="ar-SA"/>
    </w:rPr>
  </w:style>
  <w:style w:type="character" w:customStyle="1" w:styleId="240">
    <w:name w:val="标题 4 Char1 Char"/>
    <w:autoRedefine/>
    <w:qFormat/>
    <w:uiPriority w:val="0"/>
    <w:rPr>
      <w:rFonts w:ascii="Arial" w:hAnsi="Arial" w:eastAsia="黑体"/>
      <w:b/>
      <w:bCs/>
      <w:kern w:val="2"/>
      <w:sz w:val="28"/>
      <w:szCs w:val="28"/>
      <w:lang w:val="en-US" w:eastAsia="zh-CN" w:bidi="ar-SA"/>
    </w:rPr>
  </w:style>
  <w:style w:type="character" w:customStyle="1" w:styleId="241">
    <w:name w:val="题注 Char3"/>
    <w:autoRedefine/>
    <w:qFormat/>
    <w:uiPriority w:val="0"/>
    <w:rPr>
      <w:rFonts w:ascii="黑体" w:hAnsi="Arial" w:eastAsia="黑体" w:cs="Arial"/>
      <w:b/>
      <w:spacing w:val="10"/>
      <w:sz w:val="24"/>
      <w:szCs w:val="24"/>
    </w:rPr>
  </w:style>
  <w:style w:type="character" w:customStyle="1" w:styleId="242">
    <w:name w:val="sub42"/>
    <w:basedOn w:val="90"/>
    <w:autoRedefine/>
    <w:qFormat/>
    <w:uiPriority w:val="0"/>
  </w:style>
  <w:style w:type="character" w:customStyle="1" w:styleId="243">
    <w:name w:val="Char Char11"/>
    <w:autoRedefine/>
    <w:qFormat/>
    <w:uiPriority w:val="0"/>
    <w:rPr>
      <w:rFonts w:hint="eastAsia" w:ascii="宋体" w:hAnsi="宋体" w:eastAsia="宋体"/>
      <w:kern w:val="2"/>
      <w:sz w:val="21"/>
      <w:lang w:val="en-US" w:eastAsia="zh-CN" w:bidi="ar-SA"/>
    </w:rPr>
  </w:style>
  <w:style w:type="character" w:customStyle="1" w:styleId="244">
    <w:name w:val="第一层条 Char6"/>
    <w:autoRedefine/>
    <w:qFormat/>
    <w:uiPriority w:val="0"/>
    <w:rPr>
      <w:rFonts w:ascii="仿宋_GB2312" w:eastAsia="仿宋_GB2312"/>
      <w:b/>
      <w:kern w:val="2"/>
      <w:sz w:val="28"/>
      <w:lang w:val="en-US" w:eastAsia="zh-CN" w:bidi="ar-SA"/>
    </w:rPr>
  </w:style>
  <w:style w:type="character" w:customStyle="1" w:styleId="245">
    <w:name w:val="9 Char Char"/>
    <w:autoRedefine/>
    <w:qFormat/>
    <w:uiPriority w:val="0"/>
    <w:rPr>
      <w:rFonts w:eastAsia="宋体"/>
      <w:kern w:val="2"/>
      <w:sz w:val="28"/>
      <w:szCs w:val="28"/>
      <w:lang w:val="en-US" w:eastAsia="zh-CN" w:bidi="ar-SA"/>
    </w:rPr>
  </w:style>
  <w:style w:type="character" w:customStyle="1" w:styleId="246">
    <w:name w:val="biaoge"/>
    <w:basedOn w:val="90"/>
    <w:autoRedefine/>
    <w:qFormat/>
    <w:uiPriority w:val="0"/>
  </w:style>
  <w:style w:type="character" w:customStyle="1" w:styleId="247">
    <w:name w:val="gray"/>
    <w:basedOn w:val="90"/>
    <w:autoRedefine/>
    <w:qFormat/>
    <w:uiPriority w:val="0"/>
  </w:style>
  <w:style w:type="character" w:customStyle="1" w:styleId="248">
    <w:name w:val="三级标题 Char2"/>
    <w:autoRedefine/>
    <w:qFormat/>
    <w:uiPriority w:val="0"/>
    <w:rPr>
      <w:rFonts w:ascii="黑体" w:hAnsi="宋体" w:eastAsia="黑体"/>
      <w:b/>
      <w:bCs/>
      <w:kern w:val="2"/>
      <w:sz w:val="28"/>
      <w:szCs w:val="28"/>
      <w:lang w:val="en-US" w:eastAsia="zh-CN" w:bidi="ar-SA"/>
    </w:rPr>
  </w:style>
  <w:style w:type="character" w:customStyle="1" w:styleId="249">
    <w:name w:val="列表项目符号 Char"/>
    <w:autoRedefine/>
    <w:qFormat/>
    <w:uiPriority w:val="0"/>
    <w:rPr>
      <w:rFonts w:ascii="仿宋_GB2312" w:hAnsi="Courier New" w:eastAsia="仿宋_GB2312"/>
      <w:sz w:val="28"/>
      <w:lang w:val="en-US" w:eastAsia="zh-CN" w:bidi="ar-SA"/>
    </w:rPr>
  </w:style>
  <w:style w:type="character" w:customStyle="1" w:styleId="250">
    <w:name w:val="Footer1 Char Char"/>
    <w:autoRedefine/>
    <w:qFormat/>
    <w:locked/>
    <w:uiPriority w:val="99"/>
    <w:rPr>
      <w:rFonts w:eastAsia="宋体"/>
      <w:kern w:val="2"/>
      <w:sz w:val="18"/>
      <w:lang w:val="en-US" w:eastAsia="zh-CN" w:bidi="ar-SA"/>
    </w:rPr>
  </w:style>
  <w:style w:type="character" w:customStyle="1" w:styleId="251">
    <w:name w:val="基本信息表格"/>
    <w:autoRedefine/>
    <w:qFormat/>
    <w:uiPriority w:val="0"/>
    <w:rPr>
      <w:rFonts w:ascii="宋体" w:hAnsi="宋体"/>
      <w:sz w:val="24"/>
    </w:rPr>
  </w:style>
  <w:style w:type="character" w:customStyle="1" w:styleId="252">
    <w:name w:val="正文文本缩进 Char2"/>
    <w:autoRedefine/>
    <w:qFormat/>
    <w:uiPriority w:val="0"/>
    <w:rPr>
      <w:rFonts w:ascii="Bookman Old Style" w:hAnsi="Bookman Old Style"/>
      <w:kern w:val="2"/>
      <w:sz w:val="24"/>
    </w:rPr>
  </w:style>
  <w:style w:type="character" w:customStyle="1" w:styleId="253">
    <w:name w:val="题注 Char62"/>
    <w:autoRedefine/>
    <w:qFormat/>
    <w:uiPriority w:val="0"/>
    <w:rPr>
      <w:rFonts w:ascii="黑体" w:hAnsi="Arial" w:eastAsia="黑体" w:cs="Arial"/>
      <w:b/>
      <w:spacing w:val="10"/>
      <w:sz w:val="24"/>
      <w:szCs w:val="24"/>
    </w:rPr>
  </w:style>
  <w:style w:type="character" w:customStyle="1" w:styleId="254">
    <w:name w:val="正文修改 Char1312"/>
    <w:autoRedefine/>
    <w:qFormat/>
    <w:uiPriority w:val="0"/>
    <w:rPr>
      <w:rFonts w:hAnsi="宋体"/>
      <w:color w:val="000000"/>
    </w:rPr>
  </w:style>
  <w:style w:type="character" w:customStyle="1" w:styleId="255">
    <w:name w:val="Char4 Char Char Char Char"/>
    <w:link w:val="256"/>
    <w:autoRedefine/>
    <w:qFormat/>
    <w:uiPriority w:val="0"/>
    <w:rPr>
      <w:sz w:val="24"/>
      <w:szCs w:val="24"/>
    </w:rPr>
  </w:style>
  <w:style w:type="paragraph" w:customStyle="1" w:styleId="256">
    <w:name w:val="Char4 Char Char Char"/>
    <w:basedOn w:val="1"/>
    <w:link w:val="255"/>
    <w:autoRedefine/>
    <w:qFormat/>
    <w:uiPriority w:val="0"/>
    <w:rPr>
      <w:kern w:val="0"/>
      <w:sz w:val="24"/>
      <w:lang w:val="zh-CN"/>
    </w:rPr>
  </w:style>
  <w:style w:type="character" w:customStyle="1" w:styleId="257">
    <w:name w:val="正文(首行缩进) Char"/>
    <w:link w:val="258"/>
    <w:autoRedefine/>
    <w:qFormat/>
    <w:uiPriority w:val="0"/>
    <w:rPr>
      <w:rFonts w:ascii="宋体" w:hAnsi="宋体"/>
      <w:snapToGrid w:val="0"/>
      <w:color w:val="000000"/>
      <w:sz w:val="28"/>
      <w:szCs w:val="28"/>
    </w:rPr>
  </w:style>
  <w:style w:type="paragraph" w:customStyle="1" w:styleId="258">
    <w:name w:val="正文(首行缩进)"/>
    <w:basedOn w:val="1"/>
    <w:link w:val="257"/>
    <w:autoRedefine/>
    <w:qFormat/>
    <w:uiPriority w:val="0"/>
    <w:pPr>
      <w:spacing w:line="500" w:lineRule="exact"/>
    </w:pPr>
    <w:rPr>
      <w:rFonts w:ascii="宋体" w:hAnsi="宋体"/>
      <w:snapToGrid w:val="0"/>
      <w:color w:val="000000"/>
      <w:kern w:val="0"/>
      <w:sz w:val="28"/>
      <w:szCs w:val="28"/>
      <w:lang w:val="zh-CN"/>
    </w:rPr>
  </w:style>
  <w:style w:type="character" w:customStyle="1" w:styleId="259">
    <w:name w:val="标题 3 Char12"/>
    <w:autoRedefine/>
    <w:qFormat/>
    <w:uiPriority w:val="0"/>
    <w:rPr>
      <w:rFonts w:ascii="黑体" w:hAnsi="宋体" w:eastAsia="黑体"/>
      <w:b/>
      <w:bCs/>
      <w:kern w:val="2"/>
      <w:sz w:val="28"/>
      <w:szCs w:val="28"/>
      <w:lang w:val="en-US" w:eastAsia="zh-CN" w:bidi="ar-SA"/>
    </w:rPr>
  </w:style>
  <w:style w:type="character" w:customStyle="1" w:styleId="260">
    <w:name w:val="环评正文文字缩进（江东模板） Char1"/>
    <w:autoRedefine/>
    <w:qFormat/>
    <w:uiPriority w:val="0"/>
    <w:rPr>
      <w:rFonts w:eastAsia="宋体"/>
      <w:kern w:val="2"/>
      <w:sz w:val="16"/>
      <w:lang w:val="en-US" w:eastAsia="zh-CN" w:bidi="ar-SA"/>
    </w:rPr>
  </w:style>
  <w:style w:type="character" w:customStyle="1" w:styleId="261">
    <w:name w:val="C Char"/>
    <w:autoRedefine/>
    <w:qFormat/>
    <w:uiPriority w:val="0"/>
    <w:rPr>
      <w:rFonts w:ascii="仿宋_GB2312" w:hAnsi="黑体" w:eastAsia="宋体"/>
      <w:b/>
      <w:bCs/>
      <w:spacing w:val="10"/>
      <w:kern w:val="44"/>
      <w:sz w:val="24"/>
      <w:szCs w:val="24"/>
      <w:lang w:val="en-US" w:eastAsia="zh-CN" w:bidi="ar-SA"/>
    </w:rPr>
  </w:style>
  <w:style w:type="character" w:customStyle="1" w:styleId="262">
    <w:name w:val="bold1"/>
    <w:autoRedefine/>
    <w:qFormat/>
    <w:uiPriority w:val="0"/>
    <w:rPr>
      <w:b/>
      <w:bCs/>
    </w:rPr>
  </w:style>
  <w:style w:type="character" w:customStyle="1" w:styleId="263">
    <w:name w:val="unnamed51"/>
    <w:autoRedefine/>
    <w:qFormat/>
    <w:uiPriority w:val="0"/>
    <w:rPr>
      <w:rFonts w:hint="eastAsia" w:ascii="宋体" w:hAnsi="宋体" w:eastAsia="宋体"/>
      <w:sz w:val="24"/>
      <w:szCs w:val="24"/>
    </w:rPr>
  </w:style>
  <w:style w:type="character" w:customStyle="1" w:styleId="264">
    <w:name w:val="ff1"/>
    <w:autoRedefine/>
    <w:qFormat/>
    <w:uiPriority w:val="0"/>
    <w:rPr>
      <w:color w:val="000000"/>
      <w:sz w:val="18"/>
      <w:szCs w:val="18"/>
    </w:rPr>
  </w:style>
  <w:style w:type="character" w:customStyle="1" w:styleId="265">
    <w:name w:val="燕山正文 Char16"/>
    <w:autoRedefine/>
    <w:qFormat/>
    <w:uiPriority w:val="0"/>
    <w:rPr>
      <w:rFonts w:ascii="宋体" w:eastAsia="宋体" w:cs="宋体"/>
      <w:kern w:val="2"/>
      <w:sz w:val="24"/>
      <w:szCs w:val="24"/>
      <w:lang w:val="en-US" w:eastAsia="zh-CN" w:bidi="ar-SA"/>
    </w:rPr>
  </w:style>
  <w:style w:type="character" w:customStyle="1" w:styleId="266">
    <w:name w:val="s6wwf"/>
    <w:basedOn w:val="90"/>
    <w:autoRedefine/>
    <w:qFormat/>
    <w:uiPriority w:val="0"/>
  </w:style>
  <w:style w:type="character" w:customStyle="1" w:styleId="267">
    <w:name w:val="spelle"/>
    <w:basedOn w:val="90"/>
    <w:autoRedefine/>
    <w:qFormat/>
    <w:uiPriority w:val="0"/>
  </w:style>
  <w:style w:type="character" w:customStyle="1" w:styleId="268">
    <w:name w:val="文本条款 Char Char"/>
    <w:autoRedefine/>
    <w:qFormat/>
    <w:uiPriority w:val="0"/>
    <w:rPr>
      <w:rFonts w:eastAsia="宋体"/>
      <w:kern w:val="2"/>
      <w:sz w:val="28"/>
      <w:lang w:val="en-US" w:eastAsia="zh-CN" w:bidi="ar-SA"/>
    </w:rPr>
  </w:style>
  <w:style w:type="character" w:customStyle="1" w:styleId="269">
    <w:name w:val="福建正文缩进 Char3"/>
    <w:autoRedefine/>
    <w:qFormat/>
    <w:uiPriority w:val="0"/>
    <w:rPr>
      <w:rFonts w:ascii="宋体" w:hAnsi="宋体" w:eastAsia="宋体" w:cs="宋体"/>
      <w:color w:val="000000"/>
      <w:kern w:val="0"/>
      <w:sz w:val="24"/>
      <w:szCs w:val="24"/>
      <w:lang w:val="en-US" w:eastAsia="zh-CN" w:bidi="ar-SA"/>
    </w:rPr>
  </w:style>
  <w:style w:type="character" w:customStyle="1" w:styleId="270">
    <w:name w:val="项标题(1) Char"/>
    <w:autoRedefine/>
    <w:qFormat/>
    <w:uiPriority w:val="0"/>
    <w:rPr>
      <w:rFonts w:ascii="宋体" w:hAnsi="Arial Black" w:eastAsia="宋体"/>
      <w:b/>
      <w:bCs/>
      <w:sz w:val="24"/>
      <w:lang w:val="en-US" w:eastAsia="zh-CN" w:bidi="ar-SA"/>
    </w:rPr>
  </w:style>
  <w:style w:type="character" w:customStyle="1" w:styleId="271">
    <w:name w:val="标题 3 Char Char12"/>
    <w:autoRedefine/>
    <w:qFormat/>
    <w:uiPriority w:val="0"/>
    <w:rPr>
      <w:rFonts w:ascii="黑体" w:hAnsi="宋体" w:eastAsia="黑体"/>
      <w:b/>
      <w:bCs/>
      <w:kern w:val="2"/>
      <w:sz w:val="28"/>
      <w:szCs w:val="28"/>
      <w:lang w:val="en-US" w:eastAsia="zh-CN" w:bidi="ar-SA"/>
    </w:rPr>
  </w:style>
  <w:style w:type="character" w:customStyle="1" w:styleId="272">
    <w:name w:val="图表题 Char1"/>
    <w:autoRedefine/>
    <w:qFormat/>
    <w:uiPriority w:val="0"/>
    <w:rPr>
      <w:rFonts w:ascii="黑体" w:hAnsi="宋体" w:eastAsia="黑体" w:cs="宋体"/>
      <w:b/>
      <w:bCs/>
      <w:spacing w:val="10"/>
      <w:sz w:val="24"/>
      <w:szCs w:val="24"/>
    </w:rPr>
  </w:style>
  <w:style w:type="character" w:customStyle="1" w:styleId="273">
    <w:name w:val="style211"/>
    <w:autoRedefine/>
    <w:qFormat/>
    <w:uiPriority w:val="0"/>
    <w:rPr>
      <w:rFonts w:eastAsia="宋体"/>
      <w:color w:val="000000"/>
      <w:kern w:val="2"/>
      <w:sz w:val="28"/>
      <w:szCs w:val="28"/>
      <w:lang w:val="en-US" w:eastAsia="zh-CN" w:bidi="ar-SA"/>
    </w:rPr>
  </w:style>
  <w:style w:type="character" w:customStyle="1" w:styleId="274">
    <w:name w:val="批注框文本 Char4"/>
    <w:autoRedefine/>
    <w:qFormat/>
    <w:uiPriority w:val="99"/>
    <w:rPr>
      <w:rFonts w:eastAsia="宋体"/>
      <w:kern w:val="2"/>
      <w:sz w:val="18"/>
      <w:szCs w:val="18"/>
      <w:lang w:val="en-US" w:eastAsia="zh-CN" w:bidi="ar-SA"/>
    </w:rPr>
  </w:style>
  <w:style w:type="character" w:customStyle="1" w:styleId="275">
    <w:name w:val="标题 2 Char11"/>
    <w:autoRedefine/>
    <w:qFormat/>
    <w:uiPriority w:val="0"/>
    <w:rPr>
      <w:rFonts w:hAnsi="Arial" w:eastAsia="宋体"/>
      <w:bCs/>
      <w:kern w:val="2"/>
      <w:sz w:val="30"/>
      <w:szCs w:val="30"/>
      <w:lang w:val="en-US" w:eastAsia="zh-CN" w:bidi="ar-SA"/>
    </w:rPr>
  </w:style>
  <w:style w:type="character" w:customStyle="1" w:styleId="276">
    <w:name w:val="正文斜体 Char12"/>
    <w:autoRedefine/>
    <w:qFormat/>
    <w:uiPriority w:val="99"/>
    <w:rPr>
      <w:rFonts w:ascii="宋体" w:hAnsi="宋体" w:cs="Times New Roman"/>
      <w:i/>
      <w:iCs/>
      <w:sz w:val="24"/>
      <w:szCs w:val="24"/>
    </w:rPr>
  </w:style>
  <w:style w:type="character" w:customStyle="1" w:styleId="277">
    <w:name w:val="nine-11"/>
    <w:autoRedefine/>
    <w:qFormat/>
    <w:uiPriority w:val="0"/>
    <w:rPr>
      <w:rFonts w:hint="default" w:eastAsia="黑体"/>
      <w:b/>
      <w:spacing w:val="10"/>
      <w:kern w:val="44"/>
      <w:sz w:val="18"/>
      <w:szCs w:val="18"/>
      <w:lang w:val="en-US" w:eastAsia="zh-CN"/>
    </w:rPr>
  </w:style>
  <w:style w:type="character" w:customStyle="1" w:styleId="278">
    <w:name w:val="Char Char92"/>
    <w:autoRedefine/>
    <w:qFormat/>
    <w:locked/>
    <w:uiPriority w:val="0"/>
    <w:rPr>
      <w:rFonts w:eastAsia="宋体"/>
      <w:kern w:val="2"/>
      <w:sz w:val="18"/>
      <w:lang w:val="en-US" w:eastAsia="zh-CN" w:bidi="ar-SA"/>
    </w:rPr>
  </w:style>
  <w:style w:type="character" w:customStyle="1" w:styleId="279">
    <w:name w:val="Char Char23"/>
    <w:autoRedefine/>
    <w:qFormat/>
    <w:uiPriority w:val="0"/>
    <w:rPr>
      <w:rFonts w:hint="default" w:ascii="Arial" w:hAnsi="Arial" w:eastAsia="黑体" w:cs="Arial"/>
      <w:kern w:val="2"/>
      <w:sz w:val="21"/>
      <w:szCs w:val="21"/>
      <w:lang w:val="en-US" w:eastAsia="zh-CN" w:bidi="ar-SA"/>
    </w:rPr>
  </w:style>
  <w:style w:type="character" w:customStyle="1" w:styleId="280">
    <w:name w:val="汊河正文 Char"/>
    <w:link w:val="281"/>
    <w:autoRedefine/>
    <w:qFormat/>
    <w:uiPriority w:val="0"/>
    <w:rPr>
      <w:rFonts w:cs="宋体"/>
      <w:sz w:val="24"/>
    </w:rPr>
  </w:style>
  <w:style w:type="paragraph" w:customStyle="1" w:styleId="281">
    <w:name w:val="汊河正文"/>
    <w:basedOn w:val="1"/>
    <w:link w:val="280"/>
    <w:autoRedefine/>
    <w:qFormat/>
    <w:uiPriority w:val="0"/>
    <w:pPr>
      <w:spacing w:line="480" w:lineRule="exact"/>
      <w:ind w:firstLine="480" w:firstLineChars="200"/>
    </w:pPr>
    <w:rPr>
      <w:kern w:val="0"/>
      <w:sz w:val="24"/>
      <w:szCs w:val="20"/>
      <w:lang w:val="zh-CN"/>
    </w:rPr>
  </w:style>
  <w:style w:type="character" w:customStyle="1" w:styleId="282">
    <w:name w:val="燕山正文 Char15"/>
    <w:autoRedefine/>
    <w:qFormat/>
    <w:uiPriority w:val="0"/>
    <w:rPr>
      <w:rFonts w:ascii="宋体" w:eastAsia="宋体" w:cs="宋体"/>
      <w:kern w:val="2"/>
      <w:sz w:val="24"/>
      <w:szCs w:val="24"/>
      <w:lang w:val="en-US" w:eastAsia="zh-CN" w:bidi="ar-SA"/>
    </w:rPr>
  </w:style>
  <w:style w:type="character" w:customStyle="1" w:styleId="283">
    <w:name w:val="14fz1"/>
    <w:autoRedefine/>
    <w:qFormat/>
    <w:uiPriority w:val="0"/>
    <w:rPr>
      <w:rFonts w:hint="default"/>
      <w:color w:val="000000"/>
      <w:sz w:val="32"/>
      <w:szCs w:val="32"/>
    </w:rPr>
  </w:style>
  <w:style w:type="character" w:customStyle="1" w:styleId="284">
    <w:name w:val="正文格式 Char61"/>
    <w:autoRedefine/>
    <w:qFormat/>
    <w:uiPriority w:val="0"/>
    <w:rPr>
      <w:rFonts w:ascii="宋体" w:hAnsi="宋体" w:eastAsia="宋体" w:cs="Times New Roman"/>
      <w:kern w:val="2"/>
      <w:sz w:val="24"/>
      <w:szCs w:val="24"/>
      <w:lang w:val="en-US" w:eastAsia="zh-CN" w:bidi="ar-SA"/>
    </w:rPr>
  </w:style>
  <w:style w:type="character" w:customStyle="1" w:styleId="285">
    <w:name w:val="sss1"/>
    <w:autoRedefine/>
    <w:qFormat/>
    <w:uiPriority w:val="0"/>
    <w:rPr>
      <w:rFonts w:hint="eastAsia" w:ascii="宋体" w:hAnsi="宋体" w:eastAsia="宋体"/>
      <w:color w:val="999999"/>
      <w:sz w:val="21"/>
      <w:szCs w:val="21"/>
      <w:u w:val="none"/>
    </w:rPr>
  </w:style>
  <w:style w:type="character" w:customStyle="1" w:styleId="286">
    <w:name w:val="正文斜体 Char1"/>
    <w:autoRedefine/>
    <w:qFormat/>
    <w:uiPriority w:val="0"/>
    <w:rPr>
      <w:rFonts w:ascii="宋体" w:hAnsi="宋体" w:cs="宋体"/>
      <w:b/>
      <w:i/>
      <w:iCs/>
      <w:spacing w:val="10"/>
      <w:sz w:val="24"/>
      <w:szCs w:val="24"/>
    </w:rPr>
  </w:style>
  <w:style w:type="character" w:customStyle="1" w:styleId="287">
    <w:name w:val="文字缩进 Char Char"/>
    <w:autoRedefine/>
    <w:qFormat/>
    <w:uiPriority w:val="0"/>
    <w:rPr>
      <w:rFonts w:ascii="宋体" w:hAnsi="Courier New" w:eastAsia="宋体"/>
      <w:kern w:val="2"/>
      <w:sz w:val="21"/>
      <w:lang w:val="en-US" w:eastAsia="zh-CN" w:bidi="ar-SA"/>
    </w:rPr>
  </w:style>
  <w:style w:type="character" w:customStyle="1" w:styleId="288">
    <w:name w:val="标题 1 Char Char Char"/>
    <w:autoRedefine/>
    <w:qFormat/>
    <w:uiPriority w:val="0"/>
    <w:rPr>
      <w:rFonts w:ascii="黑体" w:eastAsia="黑体"/>
      <w:kern w:val="2"/>
      <w:sz w:val="30"/>
      <w:lang w:val="en-US" w:eastAsia="zh-CN" w:bidi="ar-SA"/>
    </w:rPr>
  </w:style>
  <w:style w:type="character" w:customStyle="1" w:styleId="289">
    <w:name w:val="批注框文本 Char21"/>
    <w:autoRedefine/>
    <w:qFormat/>
    <w:uiPriority w:val="0"/>
    <w:rPr>
      <w:rFonts w:eastAsia="宋体"/>
      <w:kern w:val="2"/>
      <w:sz w:val="18"/>
      <w:szCs w:val="18"/>
      <w:lang w:val="en-US" w:eastAsia="zh-CN" w:bidi="ar-SA"/>
    </w:rPr>
  </w:style>
  <w:style w:type="character" w:customStyle="1" w:styleId="290">
    <w:name w:val="标题节 Char1"/>
    <w:autoRedefine/>
    <w:qFormat/>
    <w:uiPriority w:val="0"/>
    <w:rPr>
      <w:rFonts w:ascii="Times New Roman" w:hAnsi="Times New Roman"/>
      <w:b/>
      <w:kern w:val="44"/>
      <w:sz w:val="30"/>
      <w:szCs w:val="28"/>
      <w:lang w:val="en-US" w:eastAsia="zh-CN" w:bidi="ar-SA"/>
    </w:rPr>
  </w:style>
  <w:style w:type="character" w:customStyle="1" w:styleId="291">
    <w:name w:val="title6"/>
    <w:basedOn w:val="90"/>
    <w:autoRedefine/>
    <w:qFormat/>
    <w:uiPriority w:val="0"/>
  </w:style>
  <w:style w:type="character" w:customStyle="1" w:styleId="292">
    <w:name w:val="lh151"/>
    <w:basedOn w:val="90"/>
    <w:autoRedefine/>
    <w:qFormat/>
    <w:uiPriority w:val="0"/>
  </w:style>
  <w:style w:type="character" w:customStyle="1" w:styleId="293">
    <w:name w:val="hd"/>
    <w:basedOn w:val="90"/>
    <w:autoRedefine/>
    <w:qFormat/>
    <w:uiPriority w:val="0"/>
  </w:style>
  <w:style w:type="character" w:customStyle="1" w:styleId="294">
    <w:name w:val="表格内字体 Char11"/>
    <w:autoRedefine/>
    <w:qFormat/>
    <w:uiPriority w:val="0"/>
    <w:rPr>
      <w:rFonts w:ascii="宋体" w:hAnsi="宋体" w:eastAsia="宋体"/>
      <w:kern w:val="2"/>
      <w:sz w:val="21"/>
      <w:szCs w:val="24"/>
      <w:lang w:val="en-US" w:eastAsia="zh-CN" w:bidi="ar-SA"/>
    </w:rPr>
  </w:style>
  <w:style w:type="character" w:customStyle="1" w:styleId="295">
    <w:name w:val="Char Char162"/>
    <w:autoRedefine/>
    <w:qFormat/>
    <w:locked/>
    <w:uiPriority w:val="0"/>
    <w:rPr>
      <w:rFonts w:ascii="Times New Roman" w:hAnsi="Times New Roman" w:cs="Times New Roman"/>
      <w:szCs w:val="24"/>
    </w:rPr>
  </w:style>
  <w:style w:type="character" w:customStyle="1" w:styleId="296">
    <w:name w:val="图标标题 Char"/>
    <w:link w:val="297"/>
    <w:autoRedefine/>
    <w:qFormat/>
    <w:uiPriority w:val="0"/>
    <w:rPr>
      <w:b/>
      <w:sz w:val="24"/>
      <w:szCs w:val="24"/>
    </w:rPr>
  </w:style>
  <w:style w:type="paragraph" w:customStyle="1" w:styleId="297">
    <w:name w:val="图标标题"/>
    <w:basedOn w:val="1"/>
    <w:next w:val="1"/>
    <w:link w:val="296"/>
    <w:autoRedefine/>
    <w:qFormat/>
    <w:uiPriority w:val="0"/>
    <w:pPr>
      <w:spacing w:beforeLines="50" w:afterLines="50" w:line="500" w:lineRule="exact"/>
      <w:jc w:val="center"/>
    </w:pPr>
    <w:rPr>
      <w:b/>
      <w:kern w:val="0"/>
      <w:sz w:val="24"/>
      <w:lang w:val="zh-CN"/>
    </w:rPr>
  </w:style>
  <w:style w:type="character" w:customStyle="1" w:styleId="298">
    <w:name w:val="表格文字 Char Char"/>
    <w:autoRedefine/>
    <w:qFormat/>
    <w:uiPriority w:val="0"/>
    <w:rPr>
      <w:rFonts w:ascii="仿宋_GB2312" w:hAnsi="Arial Black" w:eastAsia="仿宋_GB2312"/>
      <w:kern w:val="44"/>
      <w:sz w:val="24"/>
    </w:rPr>
  </w:style>
  <w:style w:type="character" w:customStyle="1" w:styleId="299">
    <w:name w:val="标题 2 Char41"/>
    <w:autoRedefine/>
    <w:qFormat/>
    <w:uiPriority w:val="0"/>
    <w:rPr>
      <w:rFonts w:ascii="黑体" w:hAnsi="Arial" w:eastAsia="黑体" w:cs="Times New Roman"/>
      <w:bCs/>
      <w:kern w:val="2"/>
      <w:sz w:val="30"/>
      <w:szCs w:val="30"/>
      <w:lang w:val="en-US" w:eastAsia="zh-CN" w:bidi="ar-SA"/>
    </w:rPr>
  </w:style>
  <w:style w:type="character" w:customStyle="1" w:styleId="300">
    <w:name w:val="表题1 Char412"/>
    <w:autoRedefine/>
    <w:qFormat/>
    <w:uiPriority w:val="0"/>
    <w:rPr>
      <w:rFonts w:ascii="黑体" w:hAnsi="Arial" w:eastAsia="黑体" w:cs="Arial"/>
      <w:b/>
      <w:kern w:val="2"/>
      <w:sz w:val="24"/>
      <w:szCs w:val="24"/>
      <w:lang w:val="en-US" w:eastAsia="zh-CN" w:bidi="ar-SA"/>
    </w:rPr>
  </w:style>
  <w:style w:type="character" w:customStyle="1" w:styleId="301">
    <w:name w:val="普通文字 Char34"/>
    <w:autoRedefine/>
    <w:qFormat/>
    <w:uiPriority w:val="0"/>
    <w:rPr>
      <w:rFonts w:ascii="宋体" w:hAnsi="Courier New" w:eastAsia="宋体" w:cs="Courier New"/>
      <w:kern w:val="2"/>
      <w:sz w:val="21"/>
      <w:szCs w:val="21"/>
      <w:lang w:val="en-US" w:eastAsia="zh-CN" w:bidi="ar-SA"/>
    </w:rPr>
  </w:style>
  <w:style w:type="character" w:customStyle="1" w:styleId="302">
    <w:name w:val="Char Char32"/>
    <w:autoRedefine/>
    <w:qFormat/>
    <w:uiPriority w:val="0"/>
    <w:rPr>
      <w:rFonts w:ascii="黑体" w:hAnsi="宋体" w:eastAsia="黑体"/>
      <w:b/>
      <w:bCs/>
      <w:kern w:val="2"/>
      <w:sz w:val="28"/>
      <w:szCs w:val="28"/>
      <w:lang w:val="en-US" w:eastAsia="zh-CN" w:bidi="ar-SA"/>
    </w:rPr>
  </w:style>
  <w:style w:type="character" w:customStyle="1" w:styleId="303">
    <w:name w:val="表题1 Char2"/>
    <w:autoRedefine/>
    <w:qFormat/>
    <w:uiPriority w:val="0"/>
    <w:rPr>
      <w:rFonts w:hAnsi="Arial" w:eastAsia="宋体" w:cs="Arial"/>
      <w:kern w:val="2"/>
      <w:sz w:val="24"/>
      <w:szCs w:val="24"/>
      <w:lang w:val="en-US" w:eastAsia="zh-CN" w:bidi="ar-SA"/>
    </w:rPr>
  </w:style>
  <w:style w:type="character" w:customStyle="1" w:styleId="304">
    <w:name w:val="A正文 Char3"/>
    <w:autoRedefine/>
    <w:qFormat/>
    <w:uiPriority w:val="0"/>
    <w:rPr>
      <w:rFonts w:ascii="Times New Roman" w:hAnsi="Times New Roman" w:eastAsia="仿宋_GB2312" w:cs="Times New Roman"/>
      <w:kern w:val="0"/>
      <w:sz w:val="24"/>
      <w:szCs w:val="24"/>
      <w:lang w:val="en-US" w:eastAsia="zh-CN" w:bidi="ar-SA"/>
    </w:rPr>
  </w:style>
  <w:style w:type="character" w:customStyle="1" w:styleId="305">
    <w:name w:val="正文文本 Char4"/>
    <w:autoRedefine/>
    <w:qFormat/>
    <w:uiPriority w:val="0"/>
    <w:rPr>
      <w:rFonts w:ascii="Times New Roman" w:hAnsi="Times New Roman" w:eastAsia="宋体" w:cs="Times New Roman"/>
      <w:kern w:val="2"/>
      <w:sz w:val="24"/>
      <w:szCs w:val="24"/>
      <w:lang w:val="en-US" w:eastAsia="zh-CN" w:bidi="ar-SA"/>
    </w:rPr>
  </w:style>
  <w:style w:type="character" w:customStyle="1" w:styleId="306">
    <w:name w:val="金源 Char"/>
    <w:link w:val="307"/>
    <w:autoRedefine/>
    <w:qFormat/>
    <w:uiPriority w:val="0"/>
    <w:rPr>
      <w:rFonts w:cs="宋体"/>
      <w:sz w:val="24"/>
    </w:rPr>
  </w:style>
  <w:style w:type="paragraph" w:customStyle="1" w:styleId="307">
    <w:name w:val="金源"/>
    <w:basedOn w:val="1"/>
    <w:link w:val="306"/>
    <w:autoRedefine/>
    <w:qFormat/>
    <w:uiPriority w:val="0"/>
    <w:pPr>
      <w:spacing w:line="480" w:lineRule="exact"/>
      <w:ind w:firstLine="480" w:firstLineChars="200"/>
      <w:jc w:val="left"/>
    </w:pPr>
    <w:rPr>
      <w:kern w:val="0"/>
      <w:sz w:val="24"/>
      <w:szCs w:val="20"/>
      <w:lang w:val="zh-CN"/>
    </w:rPr>
  </w:style>
  <w:style w:type="character" w:customStyle="1" w:styleId="308">
    <w:name w:val="p21"/>
    <w:autoRedefine/>
    <w:qFormat/>
    <w:uiPriority w:val="0"/>
    <w:rPr>
      <w:rFonts w:hint="default"/>
      <w:color w:val="0000A0"/>
    </w:rPr>
  </w:style>
  <w:style w:type="character" w:customStyle="1" w:styleId="309">
    <w:name w:val="css-text3"/>
    <w:basedOn w:val="90"/>
    <w:autoRedefine/>
    <w:qFormat/>
    <w:uiPriority w:val="0"/>
  </w:style>
  <w:style w:type="character" w:customStyle="1" w:styleId="310">
    <w:name w:val="表中文字 Char221"/>
    <w:autoRedefine/>
    <w:qFormat/>
    <w:uiPriority w:val="0"/>
    <w:rPr>
      <w:rFonts w:ascii="宋体" w:eastAsia="宋体"/>
      <w:kern w:val="2"/>
      <w:sz w:val="21"/>
      <w:szCs w:val="21"/>
      <w:lang w:val="en-US" w:eastAsia="zh-CN" w:bidi="ar-SA"/>
    </w:rPr>
  </w:style>
  <w:style w:type="character" w:customStyle="1" w:styleId="311">
    <w:name w:val="Char Char211"/>
    <w:autoRedefine/>
    <w:qFormat/>
    <w:uiPriority w:val="0"/>
    <w:rPr>
      <w:rFonts w:ascii="黑体" w:eastAsia="宋体"/>
      <w:kern w:val="2"/>
      <w:sz w:val="16"/>
      <w:szCs w:val="16"/>
      <w:lang w:val="en-US" w:eastAsia="zh-CN" w:bidi="ar-SA"/>
    </w:rPr>
  </w:style>
  <w:style w:type="character" w:customStyle="1" w:styleId="312">
    <w:name w:val="A正文 Char4"/>
    <w:autoRedefine/>
    <w:qFormat/>
    <w:uiPriority w:val="0"/>
    <w:rPr>
      <w:rFonts w:eastAsia="仿宋_GB2312"/>
      <w:kern w:val="2"/>
      <w:sz w:val="24"/>
      <w:szCs w:val="24"/>
      <w:lang w:val="en-US" w:eastAsia="zh-CN" w:bidi="ar-SA"/>
    </w:rPr>
  </w:style>
  <w:style w:type="character" w:customStyle="1" w:styleId="313">
    <w:name w:val="14normal1"/>
    <w:autoRedefine/>
    <w:qFormat/>
    <w:uiPriority w:val="0"/>
    <w:rPr>
      <w:rFonts w:hint="default" w:ascii="ˎ̥" w:hAnsi="ˎ̥"/>
      <w:color w:val="000000"/>
      <w:sz w:val="15"/>
      <w:szCs w:val="15"/>
    </w:rPr>
  </w:style>
  <w:style w:type="character" w:customStyle="1" w:styleId="314">
    <w:name w:val="环正文 Char"/>
    <w:link w:val="315"/>
    <w:autoRedefine/>
    <w:qFormat/>
    <w:uiPriority w:val="0"/>
    <w:rPr>
      <w:rFonts w:ascii="宋体" w:hAnsi="宋体"/>
      <w:sz w:val="24"/>
    </w:rPr>
  </w:style>
  <w:style w:type="paragraph" w:customStyle="1" w:styleId="315">
    <w:name w:val="环正文"/>
    <w:basedOn w:val="1"/>
    <w:link w:val="314"/>
    <w:autoRedefine/>
    <w:qFormat/>
    <w:uiPriority w:val="0"/>
    <w:pPr>
      <w:widowControl/>
      <w:suppressAutoHyphens/>
      <w:adjustRightInd w:val="0"/>
      <w:spacing w:line="360" w:lineRule="auto"/>
      <w:ind w:firstLine="480" w:firstLineChars="200"/>
      <w:textAlignment w:val="baseline"/>
    </w:pPr>
    <w:rPr>
      <w:rFonts w:ascii="宋体" w:hAnsi="宋体"/>
      <w:kern w:val="0"/>
      <w:sz w:val="24"/>
      <w:szCs w:val="20"/>
      <w:lang w:val="zh-CN"/>
    </w:rPr>
  </w:style>
  <w:style w:type="character" w:customStyle="1" w:styleId="316">
    <w:name w:val="样式 正文1 + 首行缩进:  2 字符 Char"/>
    <w:link w:val="317"/>
    <w:autoRedefine/>
    <w:qFormat/>
    <w:locked/>
    <w:uiPriority w:val="0"/>
    <w:rPr>
      <w:rFonts w:ascii="Calibri" w:hAnsi="Calibri"/>
    </w:rPr>
  </w:style>
  <w:style w:type="paragraph" w:customStyle="1" w:styleId="317">
    <w:name w:val="样式 正文1 + 首行缩进:  2 字符"/>
    <w:basedOn w:val="1"/>
    <w:link w:val="316"/>
    <w:autoRedefine/>
    <w:qFormat/>
    <w:uiPriority w:val="0"/>
    <w:rPr>
      <w:rFonts w:ascii="Calibri" w:hAnsi="Calibri"/>
      <w:kern w:val="0"/>
      <w:sz w:val="20"/>
      <w:szCs w:val="20"/>
      <w:lang w:val="zh-CN"/>
    </w:rPr>
  </w:style>
  <w:style w:type="character" w:customStyle="1" w:styleId="318">
    <w:name w:val="Char Char Char3"/>
    <w:autoRedefine/>
    <w:qFormat/>
    <w:uiPriority w:val="0"/>
    <w:rPr>
      <w:rFonts w:hint="eastAsia" w:ascii="宋体" w:hAnsi="Arial" w:eastAsia="宋体"/>
      <w:kern w:val="2"/>
      <w:sz w:val="28"/>
      <w:lang w:val="en-US" w:eastAsia="zh-CN" w:bidi="ar-SA"/>
    </w:rPr>
  </w:style>
  <w:style w:type="character" w:customStyle="1" w:styleId="319">
    <w:name w:val="样式 报告书表格 + (符号) 宋体 Char"/>
    <w:link w:val="320"/>
    <w:autoRedefine/>
    <w:qFormat/>
    <w:uiPriority w:val="0"/>
    <w:rPr>
      <w:rFonts w:hAnsi="宋体"/>
      <w:color w:val="000000"/>
      <w:szCs w:val="21"/>
    </w:rPr>
  </w:style>
  <w:style w:type="paragraph" w:customStyle="1" w:styleId="320">
    <w:name w:val="样式 报告书表格 + (符号) 宋体"/>
    <w:basedOn w:val="321"/>
    <w:link w:val="319"/>
    <w:autoRedefine/>
    <w:qFormat/>
    <w:uiPriority w:val="0"/>
    <w:pPr>
      <w:spacing w:line="360" w:lineRule="exact"/>
      <w:ind w:firstLine="4" w:firstLineChars="2"/>
    </w:pPr>
    <w:rPr>
      <w:rFonts w:hAnsi="宋体"/>
      <w:color w:val="000000"/>
      <w:szCs w:val="21"/>
      <w:lang w:val="zh-CN"/>
    </w:rPr>
  </w:style>
  <w:style w:type="paragraph" w:customStyle="1" w:styleId="321">
    <w:name w:val="报告书表格"/>
    <w:basedOn w:val="1"/>
    <w:link w:val="322"/>
    <w:autoRedefine/>
    <w:qFormat/>
    <w:uiPriority w:val="0"/>
    <w:pPr>
      <w:adjustRightInd w:val="0"/>
      <w:spacing w:line="240" w:lineRule="atLeast"/>
      <w:jc w:val="center"/>
      <w:textAlignment w:val="baseline"/>
    </w:pPr>
    <w:rPr>
      <w:kern w:val="0"/>
      <w:sz w:val="20"/>
      <w:szCs w:val="20"/>
    </w:rPr>
  </w:style>
  <w:style w:type="character" w:customStyle="1" w:styleId="322">
    <w:name w:val="报告书表格 Char"/>
    <w:link w:val="321"/>
    <w:autoRedefine/>
    <w:qFormat/>
    <w:uiPriority w:val="0"/>
  </w:style>
  <w:style w:type="character" w:customStyle="1" w:styleId="323">
    <w:name w:val="表题1 Char7"/>
    <w:autoRedefine/>
    <w:qFormat/>
    <w:uiPriority w:val="0"/>
    <w:rPr>
      <w:rFonts w:ascii="黑体" w:hAnsi="Arial" w:eastAsia="黑体" w:cs="Arial"/>
      <w:b/>
      <w:kern w:val="2"/>
      <w:sz w:val="24"/>
      <w:szCs w:val="24"/>
      <w:lang w:val="en-US" w:eastAsia="zh-CN" w:bidi="ar-SA"/>
    </w:rPr>
  </w:style>
  <w:style w:type="character" w:customStyle="1" w:styleId="324">
    <w:name w:val="表格内字体 Char41"/>
    <w:autoRedefine/>
    <w:qFormat/>
    <w:uiPriority w:val="0"/>
    <w:rPr>
      <w:rFonts w:ascii="宋体" w:hAnsi="宋体" w:eastAsia="宋体"/>
      <w:kern w:val="2"/>
      <w:sz w:val="21"/>
      <w:szCs w:val="24"/>
      <w:lang w:val="en-US" w:eastAsia="zh-CN" w:bidi="ar-SA"/>
    </w:rPr>
  </w:style>
  <w:style w:type="character" w:customStyle="1" w:styleId="325">
    <w:name w:val="新正文 Char"/>
    <w:link w:val="326"/>
    <w:autoRedefine/>
    <w:qFormat/>
    <w:uiPriority w:val="0"/>
    <w:rPr>
      <w:rFonts w:ascii="仿宋_GB2312" w:eastAsia="仿宋_GB2312"/>
      <w:sz w:val="28"/>
    </w:rPr>
  </w:style>
  <w:style w:type="paragraph" w:customStyle="1" w:styleId="326">
    <w:name w:val="新正文"/>
    <w:basedOn w:val="1"/>
    <w:link w:val="325"/>
    <w:autoRedefine/>
    <w:qFormat/>
    <w:uiPriority w:val="0"/>
    <w:pPr>
      <w:spacing w:line="480" w:lineRule="exact"/>
      <w:ind w:firstLine="482"/>
    </w:pPr>
    <w:rPr>
      <w:rFonts w:ascii="仿宋_GB2312" w:eastAsia="仿宋_GB2312"/>
      <w:kern w:val="0"/>
      <w:sz w:val="28"/>
      <w:szCs w:val="20"/>
      <w:lang w:val="zh-CN"/>
    </w:rPr>
  </w:style>
  <w:style w:type="character" w:customStyle="1" w:styleId="327">
    <w:name w:val="font141"/>
    <w:autoRedefine/>
    <w:qFormat/>
    <w:uiPriority w:val="0"/>
    <w:rPr>
      <w:b/>
      <w:bCs/>
      <w:sz w:val="28"/>
      <w:szCs w:val="28"/>
    </w:rPr>
  </w:style>
  <w:style w:type="character" w:customStyle="1" w:styleId="328">
    <w:name w:val="环标1 Char"/>
    <w:autoRedefine/>
    <w:qFormat/>
    <w:uiPriority w:val="0"/>
    <w:rPr>
      <w:rFonts w:ascii="宋体" w:hAnsi="Courier New" w:eastAsia="黑体"/>
      <w:b/>
      <w:kern w:val="44"/>
      <w:sz w:val="32"/>
      <w:lang w:val="en-US" w:eastAsia="zh-CN" w:bidi="ar-SA"/>
    </w:rPr>
  </w:style>
  <w:style w:type="character" w:customStyle="1" w:styleId="329">
    <w:name w:val="s4y5"/>
    <w:basedOn w:val="90"/>
    <w:autoRedefine/>
    <w:qFormat/>
    <w:uiPriority w:val="0"/>
  </w:style>
  <w:style w:type="character" w:customStyle="1" w:styleId="330">
    <w:name w:val="正文文字缩进 3 Char"/>
    <w:autoRedefine/>
    <w:qFormat/>
    <w:locked/>
    <w:uiPriority w:val="0"/>
    <w:rPr>
      <w:rFonts w:eastAsia="宋体"/>
      <w:kern w:val="2"/>
      <w:sz w:val="28"/>
      <w:szCs w:val="28"/>
      <w:lang w:val="en-US" w:eastAsia="zh-CN" w:bidi="ar-SA"/>
    </w:rPr>
  </w:style>
  <w:style w:type="character" w:customStyle="1" w:styleId="331">
    <w:name w:val="标题 4 Char3"/>
    <w:autoRedefine/>
    <w:qFormat/>
    <w:uiPriority w:val="0"/>
    <w:rPr>
      <w:rFonts w:ascii="Arial" w:hAnsi="Arial" w:eastAsia="黑体"/>
      <w:b/>
      <w:bCs/>
      <w:kern w:val="2"/>
      <w:sz w:val="28"/>
      <w:szCs w:val="28"/>
      <w:lang w:val="en-US" w:eastAsia="zh-CN" w:bidi="ar-SA"/>
    </w:rPr>
  </w:style>
  <w:style w:type="character" w:customStyle="1" w:styleId="332">
    <w:name w:val="unnamed1"/>
    <w:basedOn w:val="90"/>
    <w:autoRedefine/>
    <w:qFormat/>
    <w:uiPriority w:val="0"/>
  </w:style>
  <w:style w:type="character" w:customStyle="1" w:styleId="333">
    <w:name w:val="正文修改 Char123"/>
    <w:autoRedefine/>
    <w:qFormat/>
    <w:uiPriority w:val="0"/>
    <w:rPr>
      <w:rFonts w:ascii="宋体" w:hAnsi="宋体" w:eastAsia="宋体" w:cs="宋体"/>
      <w:color w:val="000000"/>
      <w:sz w:val="24"/>
      <w:szCs w:val="24"/>
    </w:rPr>
  </w:style>
  <w:style w:type="character" w:customStyle="1" w:styleId="334">
    <w:name w:val="hottext1"/>
    <w:autoRedefine/>
    <w:qFormat/>
    <w:uiPriority w:val="0"/>
    <w:rPr>
      <w:rFonts w:ascii="宋体" w:hAnsi="宋体" w:eastAsia="宋体"/>
      <w:strike/>
      <w:sz w:val="22"/>
      <w:u w:val="none"/>
    </w:rPr>
  </w:style>
  <w:style w:type="character" w:customStyle="1" w:styleId="335">
    <w:name w:val="标题 3 Char Char111"/>
    <w:autoRedefine/>
    <w:qFormat/>
    <w:uiPriority w:val="0"/>
    <w:rPr>
      <w:rFonts w:ascii="黑体" w:hAnsi="宋体" w:eastAsia="黑体"/>
      <w:bCs/>
      <w:kern w:val="2"/>
      <w:sz w:val="28"/>
      <w:szCs w:val="28"/>
      <w:lang w:val="en-US" w:eastAsia="zh-CN" w:bidi="ar-SA"/>
    </w:rPr>
  </w:style>
  <w:style w:type="character" w:customStyle="1" w:styleId="336">
    <w:name w:val="zw1"/>
    <w:autoRedefine/>
    <w:qFormat/>
    <w:uiPriority w:val="0"/>
    <w:rPr>
      <w:rFonts w:hint="eastAsia" w:ascii="宋体" w:hAnsi="宋体" w:eastAsia="宋体"/>
      <w:sz w:val="22"/>
      <w:szCs w:val="22"/>
    </w:rPr>
  </w:style>
  <w:style w:type="character" w:customStyle="1" w:styleId="337">
    <w:name w:val="表题1 Char1"/>
    <w:autoRedefine/>
    <w:qFormat/>
    <w:uiPriority w:val="0"/>
    <w:rPr>
      <w:rFonts w:ascii="黑体" w:hAnsi="Arial" w:eastAsia="黑体" w:cs="Arial"/>
      <w:kern w:val="2"/>
      <w:sz w:val="24"/>
      <w:szCs w:val="24"/>
      <w:lang w:val="en-US" w:eastAsia="zh-CN" w:bidi="ar-SA"/>
    </w:rPr>
  </w:style>
  <w:style w:type="character" w:customStyle="1" w:styleId="338">
    <w:name w:val="标题 41"/>
    <w:autoRedefine/>
    <w:qFormat/>
    <w:uiPriority w:val="0"/>
    <w:rPr>
      <w:rFonts w:eastAsia="宋体"/>
      <w:spacing w:val="5"/>
      <w:kern w:val="2"/>
      <w:sz w:val="28"/>
      <w:lang w:val="en-US" w:eastAsia="zh-CN" w:bidi="ar-SA"/>
    </w:rPr>
  </w:style>
  <w:style w:type="character" w:customStyle="1" w:styleId="339">
    <w:name w:val="正文斜体 Char3"/>
    <w:autoRedefine/>
    <w:qFormat/>
    <w:uiPriority w:val="0"/>
    <w:rPr>
      <w:rFonts w:ascii="宋体" w:hAnsi="宋体" w:cs="Times New Roman"/>
      <w:b/>
      <w:i/>
      <w:iCs/>
      <w:spacing w:val="10"/>
      <w:sz w:val="24"/>
      <w:szCs w:val="24"/>
    </w:rPr>
  </w:style>
  <w:style w:type="character" w:customStyle="1" w:styleId="340">
    <w:name w:val="正文修改 Char12"/>
    <w:autoRedefine/>
    <w:qFormat/>
    <w:uiPriority w:val="0"/>
    <w:rPr>
      <w:rFonts w:ascii="宋体" w:hAnsi="宋体" w:eastAsia="宋体" w:cs="宋体"/>
      <w:color w:val="000000"/>
      <w:sz w:val="24"/>
      <w:szCs w:val="24"/>
    </w:rPr>
  </w:style>
  <w:style w:type="character" w:customStyle="1" w:styleId="341">
    <w:name w:val="环表头 Char5"/>
    <w:autoRedefine/>
    <w:qFormat/>
    <w:uiPriority w:val="0"/>
    <w:rPr>
      <w:rFonts w:eastAsia="黑体"/>
      <w:color w:val="000000"/>
      <w:sz w:val="24"/>
      <w:szCs w:val="24"/>
      <w:lang w:val="en-US" w:eastAsia="zh-CN" w:bidi="ar-SA"/>
    </w:rPr>
  </w:style>
  <w:style w:type="character" w:customStyle="1" w:styleId="342">
    <w:name w:val="+正文 Char"/>
    <w:link w:val="343"/>
    <w:autoRedefine/>
    <w:qFormat/>
    <w:uiPriority w:val="0"/>
    <w:rPr>
      <w:sz w:val="24"/>
      <w:szCs w:val="28"/>
    </w:rPr>
  </w:style>
  <w:style w:type="paragraph" w:customStyle="1" w:styleId="343">
    <w:name w:val="+正文"/>
    <w:basedOn w:val="1"/>
    <w:next w:val="344"/>
    <w:link w:val="342"/>
    <w:autoRedefine/>
    <w:qFormat/>
    <w:uiPriority w:val="0"/>
    <w:pPr>
      <w:spacing w:line="500" w:lineRule="exact"/>
      <w:ind w:firstLine="200" w:firstLineChars="200"/>
    </w:pPr>
    <w:rPr>
      <w:kern w:val="0"/>
      <w:sz w:val="24"/>
      <w:szCs w:val="28"/>
      <w:lang w:val="zh-CN"/>
    </w:rPr>
  </w:style>
  <w:style w:type="paragraph" w:customStyle="1" w:styleId="344">
    <w:name w:val="hhcwt正文"/>
    <w:basedOn w:val="1"/>
    <w:link w:val="345"/>
    <w:autoRedefine/>
    <w:qFormat/>
    <w:uiPriority w:val="0"/>
    <w:pPr>
      <w:spacing w:line="360" w:lineRule="auto"/>
      <w:ind w:firstLine="480" w:firstLineChars="200"/>
    </w:pPr>
    <w:rPr>
      <w:kern w:val="0"/>
      <w:sz w:val="24"/>
      <w:lang w:val="zh-CN"/>
    </w:rPr>
  </w:style>
  <w:style w:type="character" w:customStyle="1" w:styleId="345">
    <w:name w:val="hhcwt正文 Char"/>
    <w:link w:val="344"/>
    <w:autoRedefine/>
    <w:qFormat/>
    <w:uiPriority w:val="0"/>
    <w:rPr>
      <w:rFonts w:cs="宋体"/>
      <w:sz w:val="24"/>
      <w:szCs w:val="24"/>
    </w:rPr>
  </w:style>
  <w:style w:type="character" w:customStyle="1" w:styleId="346">
    <w:name w:val="正文图 Char Char"/>
    <w:link w:val="347"/>
    <w:autoRedefine/>
    <w:qFormat/>
    <w:uiPriority w:val="0"/>
    <w:rPr>
      <w:rFonts w:ascii="宋体"/>
      <w:sz w:val="24"/>
      <w:szCs w:val="24"/>
    </w:rPr>
  </w:style>
  <w:style w:type="paragraph" w:customStyle="1" w:styleId="347">
    <w:name w:val="正文图 Char"/>
    <w:basedOn w:val="1"/>
    <w:link w:val="346"/>
    <w:autoRedefine/>
    <w:qFormat/>
    <w:uiPriority w:val="0"/>
    <w:pPr>
      <w:adjustRightInd w:val="0"/>
      <w:snapToGrid w:val="0"/>
      <w:jc w:val="center"/>
      <w:textAlignment w:val="baseline"/>
    </w:pPr>
    <w:rPr>
      <w:rFonts w:ascii="宋体"/>
      <w:kern w:val="0"/>
      <w:sz w:val="24"/>
      <w:lang w:val="zh-CN"/>
    </w:rPr>
  </w:style>
  <w:style w:type="character" w:customStyle="1" w:styleId="348">
    <w:name w:val="s6lx"/>
    <w:basedOn w:val="90"/>
    <w:autoRedefine/>
    <w:qFormat/>
    <w:uiPriority w:val="0"/>
  </w:style>
  <w:style w:type="character" w:customStyle="1" w:styleId="349">
    <w:name w:val="标题2 Char11"/>
    <w:autoRedefine/>
    <w:qFormat/>
    <w:uiPriority w:val="0"/>
    <w:rPr>
      <w:rFonts w:ascii="宋体" w:hAnsi="宋体" w:eastAsia="宋体" w:cs="宋体"/>
      <w:color w:val="000000"/>
      <w:kern w:val="2"/>
      <w:sz w:val="24"/>
      <w:szCs w:val="24"/>
      <w:lang w:val="en-US" w:eastAsia="zh-CN" w:bidi="ar-SA"/>
    </w:rPr>
  </w:style>
  <w:style w:type="character" w:customStyle="1" w:styleId="350">
    <w:name w:val="题注 Char6"/>
    <w:autoRedefine/>
    <w:qFormat/>
    <w:uiPriority w:val="0"/>
    <w:rPr>
      <w:rFonts w:ascii="黑体" w:hAnsi="Arial" w:eastAsia="黑体" w:cs="Arial"/>
      <w:b/>
      <w:spacing w:val="10"/>
      <w:sz w:val="24"/>
      <w:szCs w:val="24"/>
    </w:rPr>
  </w:style>
  <w:style w:type="character" w:customStyle="1" w:styleId="351">
    <w:name w:val="正文修改 Char113"/>
    <w:autoRedefine/>
    <w:qFormat/>
    <w:uiPriority w:val="0"/>
    <w:rPr>
      <w:rFonts w:ascii="宋体" w:hAnsi="宋体" w:eastAsia="宋体" w:cs="宋体"/>
      <w:color w:val="000000"/>
      <w:sz w:val="24"/>
      <w:szCs w:val="24"/>
    </w:rPr>
  </w:style>
  <w:style w:type="character" w:customStyle="1" w:styleId="352">
    <w:name w:val="pt14"/>
    <w:basedOn w:val="90"/>
    <w:autoRedefine/>
    <w:qFormat/>
    <w:uiPriority w:val="0"/>
  </w:style>
  <w:style w:type="character" w:customStyle="1" w:styleId="353">
    <w:name w:val="正文1-1 Char Char"/>
    <w:autoRedefine/>
    <w:qFormat/>
    <w:uiPriority w:val="0"/>
    <w:rPr>
      <w:rFonts w:ascii="宋体" w:hAnsi="宋体" w:eastAsia="仿宋_GB2312" w:cs="宋体"/>
      <w:kern w:val="0"/>
      <w:sz w:val="28"/>
      <w:szCs w:val="24"/>
    </w:rPr>
  </w:style>
  <w:style w:type="character" w:customStyle="1" w:styleId="354">
    <w:name w:val="框图正文 Char Char"/>
    <w:autoRedefine/>
    <w:qFormat/>
    <w:uiPriority w:val="0"/>
    <w:rPr>
      <w:rFonts w:eastAsia="宋体"/>
      <w:kern w:val="2"/>
      <w:sz w:val="21"/>
      <w:szCs w:val="24"/>
      <w:lang w:val="en-US" w:eastAsia="zh-CN" w:bidi="ar-SA"/>
    </w:rPr>
  </w:style>
  <w:style w:type="character" w:customStyle="1" w:styleId="355">
    <w:name w:val="节 Char Char"/>
    <w:autoRedefine/>
    <w:qFormat/>
    <w:uiPriority w:val="0"/>
    <w:rPr>
      <w:rFonts w:ascii="仿宋_GB2312" w:hAnsi="Arial" w:eastAsia="仿宋_GB2312"/>
      <w:b/>
      <w:bCs/>
      <w:kern w:val="2"/>
      <w:sz w:val="30"/>
      <w:szCs w:val="32"/>
      <w:lang w:val="en-US" w:eastAsia="zh-CN" w:bidi="ar-SA"/>
    </w:rPr>
  </w:style>
  <w:style w:type="character" w:customStyle="1" w:styleId="356">
    <w:name w:val="Char Char52"/>
    <w:autoRedefine/>
    <w:qFormat/>
    <w:uiPriority w:val="0"/>
    <w:rPr>
      <w:rFonts w:ascii="黑体" w:hAnsi="宋体" w:eastAsia="黑体"/>
      <w:bCs/>
      <w:kern w:val="2"/>
      <w:sz w:val="28"/>
      <w:szCs w:val="28"/>
      <w:lang w:val="en-US" w:eastAsia="zh-CN" w:bidi="ar-SA"/>
    </w:rPr>
  </w:style>
  <w:style w:type="character" w:customStyle="1" w:styleId="357">
    <w:name w:val="表内5 Char5"/>
    <w:autoRedefine/>
    <w:qFormat/>
    <w:uiPriority w:val="0"/>
    <w:rPr>
      <w:rFonts w:ascii="宋体" w:hAnsi="宋体" w:eastAsia="宋体" w:cs="Times New Roman"/>
      <w:kern w:val="2"/>
      <w:sz w:val="24"/>
      <w:szCs w:val="24"/>
      <w:lang w:val="en-US" w:eastAsia="zh-CN" w:bidi="ar-SA"/>
    </w:rPr>
  </w:style>
  <w:style w:type="character" w:customStyle="1" w:styleId="358">
    <w:name w:val="环正文 Char5"/>
    <w:autoRedefine/>
    <w:qFormat/>
    <w:uiPriority w:val="0"/>
    <w:rPr>
      <w:rFonts w:ascii="宋体" w:hAnsi="宋体" w:eastAsia="宋体"/>
      <w:color w:val="000000"/>
      <w:kern w:val="2"/>
      <w:sz w:val="24"/>
      <w:szCs w:val="24"/>
      <w:lang w:val="en-US" w:eastAsia="zh-CN" w:bidi="ar-SA"/>
    </w:rPr>
  </w:style>
  <w:style w:type="character" w:customStyle="1" w:styleId="359">
    <w:name w:val="正文格式 Char51"/>
    <w:autoRedefine/>
    <w:qFormat/>
    <w:uiPriority w:val="0"/>
    <w:rPr>
      <w:rFonts w:ascii="宋体" w:hAnsi="宋体" w:eastAsia="宋体"/>
      <w:kern w:val="2"/>
      <w:sz w:val="24"/>
      <w:szCs w:val="24"/>
      <w:lang w:val="en-US" w:eastAsia="zh-CN" w:bidi="ar-SA"/>
    </w:rPr>
  </w:style>
  <w:style w:type="character" w:customStyle="1" w:styleId="360">
    <w:name w:val="环表头 Char2"/>
    <w:autoRedefine/>
    <w:qFormat/>
    <w:uiPriority w:val="0"/>
    <w:rPr>
      <w:rFonts w:ascii="黑体" w:hAnsi="宋体" w:eastAsia="黑体"/>
      <w:color w:val="000000"/>
      <w:sz w:val="24"/>
      <w:szCs w:val="24"/>
      <w:lang w:val="en-US" w:eastAsia="zh-CN" w:bidi="ar-SA"/>
    </w:rPr>
  </w:style>
  <w:style w:type="character" w:customStyle="1" w:styleId="361">
    <w:name w:val="表格内字体 Char61"/>
    <w:autoRedefine/>
    <w:qFormat/>
    <w:uiPriority w:val="0"/>
    <w:rPr>
      <w:rFonts w:ascii="宋体" w:hAnsi="宋体" w:eastAsia="宋体" w:cs="Times New Roman"/>
      <w:kern w:val="2"/>
      <w:sz w:val="24"/>
      <w:szCs w:val="24"/>
      <w:lang w:val="en-US" w:eastAsia="zh-CN" w:bidi="ar-SA"/>
    </w:rPr>
  </w:style>
  <w:style w:type="character" w:customStyle="1" w:styleId="362">
    <w:name w:val="燕山正文 Char18"/>
    <w:autoRedefine/>
    <w:qFormat/>
    <w:uiPriority w:val="0"/>
    <w:rPr>
      <w:rFonts w:ascii="宋体" w:eastAsia="宋体" w:cs="宋体"/>
      <w:kern w:val="2"/>
      <w:sz w:val="24"/>
      <w:szCs w:val="24"/>
      <w:lang w:val="en-US" w:eastAsia="zh-CN" w:bidi="ar-SA"/>
    </w:rPr>
  </w:style>
  <w:style w:type="character" w:customStyle="1" w:styleId="363">
    <w:name w:val="richtextmngstyle1"/>
    <w:autoRedefine/>
    <w:qFormat/>
    <w:uiPriority w:val="0"/>
    <w:rPr>
      <w:rFonts w:eastAsia="宋体"/>
      <w:color w:val="000000"/>
      <w:spacing w:val="15"/>
      <w:kern w:val="2"/>
      <w:sz w:val="21"/>
      <w:szCs w:val="21"/>
      <w:u w:val="none"/>
      <w:lang w:val="en-US" w:eastAsia="zh-CN" w:bidi="ar-SA"/>
    </w:rPr>
  </w:style>
  <w:style w:type="character" w:customStyle="1" w:styleId="364">
    <w:name w:val="Char Char103"/>
    <w:autoRedefine/>
    <w:qFormat/>
    <w:uiPriority w:val="0"/>
    <w:rPr>
      <w:rFonts w:eastAsia="宋体"/>
      <w:kern w:val="2"/>
      <w:sz w:val="21"/>
      <w:lang w:val="en-US" w:eastAsia="zh-CN" w:bidi="ar-SA"/>
    </w:rPr>
  </w:style>
  <w:style w:type="character" w:customStyle="1" w:styleId="365">
    <w:name w:val="题注 Char2"/>
    <w:autoRedefine/>
    <w:qFormat/>
    <w:uiPriority w:val="0"/>
    <w:rPr>
      <w:rFonts w:ascii="黑体" w:hAnsi="Arial" w:eastAsia="黑体" w:cs="Arial"/>
      <w:b/>
      <w:spacing w:val="10"/>
      <w:sz w:val="24"/>
      <w:szCs w:val="24"/>
    </w:rPr>
  </w:style>
  <w:style w:type="character" w:customStyle="1" w:styleId="366">
    <w:name w:val="样式 正文首行缩进 + 左侧:  2 字符 段前: 0.15 行 段后: 0.15 行 Char"/>
    <w:link w:val="367"/>
    <w:autoRedefine/>
    <w:qFormat/>
    <w:uiPriority w:val="0"/>
    <w:rPr>
      <w:rFonts w:cs="宋体"/>
      <w:sz w:val="28"/>
    </w:rPr>
  </w:style>
  <w:style w:type="paragraph" w:customStyle="1" w:styleId="367">
    <w:name w:val="样式 正文首行缩进 + 左侧:  2 字符 段前: 0.15 行 段后: 0.15 行"/>
    <w:basedOn w:val="86"/>
    <w:link w:val="366"/>
    <w:autoRedefine/>
    <w:qFormat/>
    <w:uiPriority w:val="0"/>
    <w:pPr>
      <w:tabs>
        <w:tab w:val="left" w:pos="283"/>
      </w:tabs>
      <w:adjustRightInd w:val="0"/>
      <w:snapToGrid w:val="0"/>
      <w:spacing w:after="0" w:line="520" w:lineRule="atLeast"/>
      <w:ind w:firstLine="200" w:firstLineChars="200"/>
    </w:pPr>
    <w:rPr>
      <w:sz w:val="28"/>
    </w:rPr>
  </w:style>
  <w:style w:type="character" w:customStyle="1" w:styleId="368">
    <w:name w:val="style311"/>
    <w:autoRedefine/>
    <w:qFormat/>
    <w:uiPriority w:val="0"/>
    <w:rPr>
      <w:b/>
      <w:bCs/>
      <w:color w:val="000000"/>
      <w:sz w:val="18"/>
      <w:szCs w:val="18"/>
    </w:rPr>
  </w:style>
  <w:style w:type="character" w:customStyle="1" w:styleId="369">
    <w:name w:val="highlight1"/>
    <w:autoRedefine/>
    <w:qFormat/>
    <w:uiPriority w:val="0"/>
    <w:rPr>
      <w:sz w:val="21"/>
      <w:szCs w:val="21"/>
    </w:rPr>
  </w:style>
  <w:style w:type="character" w:customStyle="1" w:styleId="370">
    <w:name w:val="row1"/>
    <w:autoRedefine/>
    <w:qFormat/>
    <w:uiPriority w:val="0"/>
    <w:rPr>
      <w:rFonts w:eastAsia="宋体"/>
      <w:color w:val="333333"/>
      <w:spacing w:val="480"/>
      <w:kern w:val="2"/>
      <w:sz w:val="18"/>
      <w:szCs w:val="18"/>
      <w:u w:val="none"/>
      <w:lang w:val="en-US" w:eastAsia="zh-CN" w:bidi="ar-SA"/>
    </w:rPr>
  </w:style>
  <w:style w:type="character" w:customStyle="1" w:styleId="371">
    <w:name w:val="正文文本缩进 3 Char2"/>
    <w:autoRedefine/>
    <w:qFormat/>
    <w:uiPriority w:val="0"/>
    <w:rPr>
      <w:rFonts w:ascii="Times New Roman" w:hAnsi="Times New Roman"/>
      <w:kern w:val="2"/>
      <w:sz w:val="16"/>
    </w:rPr>
  </w:style>
  <w:style w:type="character" w:customStyle="1" w:styleId="372">
    <w:name w:val="小五 Char Char Char"/>
    <w:link w:val="373"/>
    <w:autoRedefine/>
    <w:qFormat/>
    <w:uiPriority w:val="0"/>
    <w:rPr>
      <w:rFonts w:ascii="宋体" w:hAnsi="宋体"/>
      <w:kern w:val="2"/>
      <w:sz w:val="21"/>
      <w:szCs w:val="21"/>
      <w:lang w:val="en-US" w:eastAsia="zh-CN" w:bidi="ar-SA"/>
    </w:rPr>
  </w:style>
  <w:style w:type="paragraph" w:customStyle="1" w:styleId="373">
    <w:name w:val="小五 Char Char"/>
    <w:link w:val="372"/>
    <w:autoRedefine/>
    <w:qFormat/>
    <w:uiPriority w:val="0"/>
    <w:pPr>
      <w:autoSpaceDE w:val="0"/>
      <w:autoSpaceDN w:val="0"/>
      <w:adjustRightInd w:val="0"/>
      <w:snapToGrid w:val="0"/>
      <w:spacing w:line="360" w:lineRule="auto"/>
      <w:jc w:val="both"/>
    </w:pPr>
    <w:rPr>
      <w:rFonts w:ascii="宋体" w:hAnsi="宋体" w:eastAsia="宋体" w:cs="Times New Roman"/>
      <w:kern w:val="2"/>
      <w:sz w:val="21"/>
      <w:szCs w:val="21"/>
      <w:lang w:val="en-US" w:eastAsia="zh-CN" w:bidi="ar-SA"/>
    </w:rPr>
  </w:style>
  <w:style w:type="character" w:customStyle="1" w:styleId="374">
    <w:name w:val="标题 4 Char2 Char"/>
    <w:autoRedefine/>
    <w:qFormat/>
    <w:uiPriority w:val="0"/>
    <w:rPr>
      <w:rFonts w:ascii="Arial" w:hAnsi="Arial" w:eastAsia="黑体"/>
      <w:b/>
      <w:bCs/>
      <w:kern w:val="2"/>
      <w:sz w:val="28"/>
      <w:szCs w:val="28"/>
      <w:lang w:val="en-US" w:eastAsia="zh-CN" w:bidi="ar-SA"/>
    </w:rPr>
  </w:style>
  <w:style w:type="character" w:customStyle="1" w:styleId="375">
    <w:name w:val="Char Char19"/>
    <w:autoRedefine/>
    <w:qFormat/>
    <w:uiPriority w:val="0"/>
    <w:rPr>
      <w:rFonts w:ascii="Times New Roman" w:hAnsi="Times New Roman" w:eastAsia="仿宋_GB2312" w:cs="Times New Roman"/>
      <w:b/>
      <w:spacing w:val="10"/>
      <w:kern w:val="44"/>
      <w:sz w:val="18"/>
      <w:szCs w:val="20"/>
      <w:lang w:val="en-US" w:eastAsia="zh-CN" w:bidi="ar-SA"/>
    </w:rPr>
  </w:style>
  <w:style w:type="character" w:customStyle="1" w:styleId="376">
    <w:name w:val="f41"/>
    <w:autoRedefine/>
    <w:qFormat/>
    <w:uiPriority w:val="0"/>
    <w:rPr>
      <w:color w:val="333333"/>
      <w:sz w:val="21"/>
      <w:szCs w:val="21"/>
    </w:rPr>
  </w:style>
  <w:style w:type="character" w:customStyle="1" w:styleId="377">
    <w:name w:val="表格内字体 Char5"/>
    <w:autoRedefine/>
    <w:qFormat/>
    <w:uiPriority w:val="0"/>
    <w:rPr>
      <w:rFonts w:ascii="宋体" w:hAnsi="宋体" w:eastAsia="宋体"/>
      <w:kern w:val="2"/>
      <w:sz w:val="21"/>
      <w:szCs w:val="24"/>
      <w:lang w:val="en-US" w:eastAsia="zh-CN" w:bidi="ar-SA"/>
    </w:rPr>
  </w:style>
  <w:style w:type="character" w:customStyle="1" w:styleId="378">
    <w:name w:val="Char Char212"/>
    <w:autoRedefine/>
    <w:qFormat/>
    <w:uiPriority w:val="0"/>
    <w:rPr>
      <w:rFonts w:ascii="黑体" w:eastAsia="宋体"/>
      <w:kern w:val="2"/>
      <w:sz w:val="16"/>
      <w:szCs w:val="16"/>
      <w:lang w:val="en-US" w:eastAsia="zh-CN" w:bidi="ar-SA"/>
    </w:rPr>
  </w:style>
  <w:style w:type="character" w:customStyle="1" w:styleId="379">
    <w:name w:val="正文修改 Char11"/>
    <w:autoRedefine/>
    <w:qFormat/>
    <w:uiPriority w:val="0"/>
    <w:rPr>
      <w:rFonts w:ascii="宋体" w:hAnsi="宋体" w:eastAsia="宋体" w:cs="宋体"/>
      <w:color w:val="000000"/>
      <w:sz w:val="24"/>
      <w:szCs w:val="24"/>
    </w:rPr>
  </w:style>
  <w:style w:type="character" w:styleId="380">
    <w:name w:val="Placeholder Text"/>
    <w:autoRedefine/>
    <w:qFormat/>
    <w:uiPriority w:val="0"/>
    <w:rPr>
      <w:color w:val="808080"/>
    </w:rPr>
  </w:style>
  <w:style w:type="character" w:customStyle="1" w:styleId="381">
    <w:name w:val="ourfont2"/>
    <w:basedOn w:val="90"/>
    <w:autoRedefine/>
    <w:qFormat/>
    <w:uiPriority w:val="0"/>
  </w:style>
  <w:style w:type="character" w:customStyle="1" w:styleId="382">
    <w:name w:val="s lh15"/>
    <w:basedOn w:val="90"/>
    <w:autoRedefine/>
    <w:qFormat/>
    <w:uiPriority w:val="0"/>
  </w:style>
  <w:style w:type="character" w:customStyle="1" w:styleId="383">
    <w:name w:val="正文（首行缩进两字） Char Char Char Char Char Char Char Char Char Char"/>
    <w:autoRedefine/>
    <w:qFormat/>
    <w:uiPriority w:val="0"/>
    <w:rPr>
      <w:rFonts w:ascii="仿宋_GB2312" w:eastAsia="仿宋_GB2312"/>
      <w:kern w:val="2"/>
      <w:sz w:val="28"/>
      <w:szCs w:val="24"/>
      <w:lang w:val="en-US" w:eastAsia="zh-CN" w:bidi="ar-SA"/>
    </w:rPr>
  </w:style>
  <w:style w:type="character" w:customStyle="1" w:styleId="384">
    <w:name w:val="项标题(1) Char2"/>
    <w:autoRedefine/>
    <w:qFormat/>
    <w:uiPriority w:val="0"/>
    <w:rPr>
      <w:rFonts w:eastAsia="宋体"/>
      <w:spacing w:val="5"/>
      <w:kern w:val="2"/>
      <w:sz w:val="28"/>
      <w:szCs w:val="24"/>
      <w:lang w:val="en-US" w:eastAsia="zh-CN" w:bidi="ar-SA"/>
    </w:rPr>
  </w:style>
  <w:style w:type="character" w:customStyle="1" w:styleId="385">
    <w:name w:val="表格内字体 Char1"/>
    <w:autoRedefine/>
    <w:qFormat/>
    <w:uiPriority w:val="0"/>
    <w:rPr>
      <w:rFonts w:ascii="宋体" w:hAnsi="宋体" w:eastAsia="宋体"/>
      <w:kern w:val="2"/>
      <w:sz w:val="21"/>
      <w:szCs w:val="24"/>
      <w:lang w:val="en-US" w:eastAsia="zh-CN" w:bidi="ar-SA"/>
    </w:rPr>
  </w:style>
  <w:style w:type="character" w:customStyle="1" w:styleId="386">
    <w:name w:val="标题 2 Char2"/>
    <w:autoRedefine/>
    <w:qFormat/>
    <w:uiPriority w:val="0"/>
    <w:rPr>
      <w:rFonts w:ascii="黑体" w:hAnsi="Arial" w:eastAsia="黑体"/>
      <w:b/>
      <w:bCs/>
      <w:kern w:val="2"/>
      <w:sz w:val="30"/>
      <w:szCs w:val="30"/>
      <w:lang w:val="en-US" w:eastAsia="zh-CN" w:bidi="ar-SA"/>
    </w:rPr>
  </w:style>
  <w:style w:type="character" w:customStyle="1" w:styleId="387">
    <w:name w:val="正文格式 Char5"/>
    <w:autoRedefine/>
    <w:qFormat/>
    <w:uiPriority w:val="0"/>
    <w:rPr>
      <w:rFonts w:ascii="宋体" w:hAnsi="宋体" w:eastAsia="宋体"/>
      <w:kern w:val="2"/>
      <w:sz w:val="24"/>
      <w:szCs w:val="24"/>
      <w:lang w:val="en-US" w:eastAsia="zh-CN" w:bidi="ar-SA"/>
    </w:rPr>
  </w:style>
  <w:style w:type="character" w:customStyle="1" w:styleId="388">
    <w:name w:val="text1"/>
    <w:basedOn w:val="90"/>
    <w:autoRedefine/>
    <w:qFormat/>
    <w:uiPriority w:val="0"/>
  </w:style>
  <w:style w:type="character" w:customStyle="1" w:styleId="389">
    <w:name w:val="large1"/>
    <w:autoRedefine/>
    <w:qFormat/>
    <w:uiPriority w:val="0"/>
    <w:rPr>
      <w:sz w:val="22"/>
      <w:szCs w:val="22"/>
    </w:rPr>
  </w:style>
  <w:style w:type="character" w:customStyle="1" w:styleId="390">
    <w:name w:val="标题 3 Char9"/>
    <w:autoRedefine/>
    <w:qFormat/>
    <w:uiPriority w:val="0"/>
    <w:rPr>
      <w:rFonts w:ascii="黑体" w:hAnsi="宋体" w:eastAsia="黑体" w:cs="Times New Roman"/>
      <w:b/>
      <w:bCs/>
      <w:kern w:val="2"/>
      <w:sz w:val="28"/>
      <w:szCs w:val="28"/>
      <w:lang w:val="en-US" w:eastAsia="zh-CN" w:bidi="ar-SA"/>
    </w:rPr>
  </w:style>
  <w:style w:type="character" w:customStyle="1" w:styleId="391">
    <w:name w:val="ourfont31"/>
    <w:autoRedefine/>
    <w:qFormat/>
    <w:uiPriority w:val="0"/>
    <w:rPr>
      <w:spacing w:val="20"/>
      <w:sz w:val="21"/>
      <w:szCs w:val="21"/>
    </w:rPr>
  </w:style>
  <w:style w:type="character" w:customStyle="1" w:styleId="392">
    <w:name w:val="style291"/>
    <w:autoRedefine/>
    <w:qFormat/>
    <w:uiPriority w:val="0"/>
    <w:rPr>
      <w:color w:val="335B64"/>
      <w:sz w:val="18"/>
      <w:szCs w:val="18"/>
    </w:rPr>
  </w:style>
  <w:style w:type="character" w:customStyle="1" w:styleId="393">
    <w:name w:val="at_2"/>
    <w:basedOn w:val="90"/>
    <w:autoRedefine/>
    <w:qFormat/>
    <w:uiPriority w:val="0"/>
  </w:style>
  <w:style w:type="character" w:customStyle="1" w:styleId="394">
    <w:name w:val="infotitle1"/>
    <w:autoRedefine/>
    <w:qFormat/>
    <w:uiPriority w:val="0"/>
    <w:rPr>
      <w:b/>
      <w:bCs/>
      <w:color w:val="000000"/>
      <w:sz w:val="32"/>
      <w:szCs w:val="32"/>
    </w:rPr>
  </w:style>
  <w:style w:type="character" w:customStyle="1" w:styleId="395">
    <w:name w:val="文档结构图 Char1"/>
    <w:autoRedefine/>
    <w:qFormat/>
    <w:uiPriority w:val="0"/>
    <w:rPr>
      <w:rFonts w:ascii="Times New Roman" w:hAnsi="Times New Roman" w:eastAsia="宋体" w:cs="Times New Roman"/>
      <w:kern w:val="2"/>
      <w:sz w:val="24"/>
      <w:szCs w:val="24"/>
      <w:shd w:val="clear" w:color="auto" w:fill="000080"/>
      <w:lang w:val="en-US" w:eastAsia="zh-CN" w:bidi="ar-SA"/>
    </w:rPr>
  </w:style>
  <w:style w:type="character" w:customStyle="1" w:styleId="396">
    <w:name w:val="表题 Char4"/>
    <w:autoRedefine/>
    <w:qFormat/>
    <w:uiPriority w:val="0"/>
    <w:rPr>
      <w:rFonts w:ascii="黑体" w:hAnsi="Arial" w:eastAsia="黑体" w:cs="Arial"/>
      <w:b/>
      <w:kern w:val="2"/>
      <w:sz w:val="24"/>
      <w:szCs w:val="24"/>
      <w:lang w:val="en-US" w:eastAsia="zh-CN" w:bidi="ar-SA"/>
    </w:rPr>
  </w:style>
  <w:style w:type="character" w:customStyle="1" w:styleId="397">
    <w:name w:val="表中文字 Char24"/>
    <w:autoRedefine/>
    <w:qFormat/>
    <w:uiPriority w:val="0"/>
    <w:rPr>
      <w:rFonts w:ascii="宋体" w:eastAsia="宋体"/>
      <w:kern w:val="2"/>
      <w:sz w:val="21"/>
      <w:szCs w:val="21"/>
      <w:lang w:val="en-US" w:eastAsia="zh-CN" w:bidi="ar-SA"/>
    </w:rPr>
  </w:style>
  <w:style w:type="character" w:customStyle="1" w:styleId="398">
    <w:name w:val="desctext1"/>
    <w:autoRedefine/>
    <w:qFormat/>
    <w:uiPriority w:val="0"/>
    <w:rPr>
      <w:spacing w:val="17"/>
      <w:sz w:val="21"/>
      <w:szCs w:val="21"/>
    </w:rPr>
  </w:style>
  <w:style w:type="character" w:customStyle="1" w:styleId="399">
    <w:name w:val="表格内字体 Char7"/>
    <w:autoRedefine/>
    <w:qFormat/>
    <w:uiPriority w:val="0"/>
    <w:rPr>
      <w:rFonts w:ascii="宋体" w:hAnsi="宋体" w:eastAsia="宋体"/>
      <w:kern w:val="2"/>
      <w:sz w:val="21"/>
      <w:szCs w:val="24"/>
      <w:lang w:val="en-US" w:eastAsia="zh-CN" w:bidi="ar-SA"/>
    </w:rPr>
  </w:style>
  <w:style w:type="character" w:customStyle="1" w:styleId="400">
    <w:name w:val="detailtitle1"/>
    <w:autoRedefine/>
    <w:qFormat/>
    <w:uiPriority w:val="0"/>
    <w:rPr>
      <w:rFonts w:hint="eastAsia" w:ascii="黑体" w:eastAsia="黑体"/>
      <w:b/>
      <w:bCs/>
      <w:sz w:val="18"/>
      <w:szCs w:val="18"/>
    </w:rPr>
  </w:style>
  <w:style w:type="character" w:customStyle="1" w:styleId="401">
    <w:name w:val="表格内字体 Char10"/>
    <w:autoRedefine/>
    <w:qFormat/>
    <w:uiPriority w:val="0"/>
    <w:rPr>
      <w:rFonts w:ascii="宋体" w:hAnsi="宋体" w:eastAsia="宋体" w:cs="Times New Roman"/>
      <w:kern w:val="2"/>
      <w:sz w:val="24"/>
      <w:szCs w:val="21"/>
      <w:lang w:val="en-US" w:eastAsia="zh-CN" w:bidi="ar-SA"/>
    </w:rPr>
  </w:style>
  <w:style w:type="character" w:customStyle="1" w:styleId="402">
    <w:name w:val="页眉 Char2"/>
    <w:autoRedefine/>
    <w:qFormat/>
    <w:uiPriority w:val="0"/>
    <w:rPr>
      <w:rFonts w:eastAsia="宋体"/>
      <w:kern w:val="2"/>
      <w:sz w:val="18"/>
      <w:szCs w:val="18"/>
      <w:lang w:val="en-US" w:eastAsia="zh-CN" w:bidi="ar-SA"/>
    </w:rPr>
  </w:style>
  <w:style w:type="character" w:customStyle="1" w:styleId="403">
    <w:name w:val="正文修改 Char122"/>
    <w:autoRedefine/>
    <w:qFormat/>
    <w:uiPriority w:val="0"/>
    <w:rPr>
      <w:rFonts w:ascii="宋体" w:hAnsi="宋体" w:eastAsia="宋体" w:cs="宋体"/>
      <w:color w:val="000000"/>
      <w:sz w:val="24"/>
      <w:szCs w:val="24"/>
    </w:rPr>
  </w:style>
  <w:style w:type="character" w:customStyle="1" w:styleId="404">
    <w:name w:val="样式正文 Char"/>
    <w:link w:val="405"/>
    <w:autoRedefine/>
    <w:qFormat/>
    <w:uiPriority w:val="0"/>
    <w:rPr>
      <w:rFonts w:cs="宋体"/>
      <w:sz w:val="24"/>
      <w:szCs w:val="24"/>
    </w:rPr>
  </w:style>
  <w:style w:type="paragraph" w:customStyle="1" w:styleId="405">
    <w:name w:val="样式正文"/>
    <w:basedOn w:val="1"/>
    <w:link w:val="404"/>
    <w:autoRedefine/>
    <w:qFormat/>
    <w:uiPriority w:val="0"/>
    <w:pPr>
      <w:spacing w:line="400" w:lineRule="exact"/>
      <w:ind w:firstLine="200" w:firstLineChars="200"/>
    </w:pPr>
    <w:rPr>
      <w:kern w:val="0"/>
      <w:sz w:val="24"/>
      <w:lang w:val="zh-CN"/>
    </w:rPr>
  </w:style>
  <w:style w:type="character" w:customStyle="1" w:styleId="406">
    <w:name w:val="标题 3 Char Char Char Char"/>
    <w:autoRedefine/>
    <w:qFormat/>
    <w:uiPriority w:val="0"/>
    <w:rPr>
      <w:rFonts w:eastAsia="宋体"/>
      <w:b/>
      <w:bCs/>
      <w:kern w:val="2"/>
      <w:sz w:val="32"/>
      <w:szCs w:val="32"/>
      <w:lang w:val="en-US" w:eastAsia="zh-CN" w:bidi="ar-SA"/>
    </w:rPr>
  </w:style>
  <w:style w:type="character" w:customStyle="1" w:styleId="407">
    <w:name w:val="正文文本 Char1"/>
    <w:autoRedefine/>
    <w:qFormat/>
    <w:uiPriority w:val="99"/>
    <w:rPr>
      <w:rFonts w:ascii="Calibri" w:hAnsi="Calibri" w:eastAsia="宋体" w:cs="Times New Roman"/>
    </w:rPr>
  </w:style>
  <w:style w:type="character" w:customStyle="1" w:styleId="408">
    <w:name w:val="标题 9 Char2"/>
    <w:autoRedefine/>
    <w:qFormat/>
    <w:uiPriority w:val="0"/>
    <w:rPr>
      <w:rFonts w:ascii="Arial" w:hAnsi="Arial" w:eastAsia="黑体"/>
      <w:kern w:val="2"/>
      <w:sz w:val="24"/>
    </w:rPr>
  </w:style>
  <w:style w:type="character" w:customStyle="1" w:styleId="409">
    <w:name w:val="黑体标题 Char Char"/>
    <w:autoRedefine/>
    <w:qFormat/>
    <w:uiPriority w:val="0"/>
    <w:rPr>
      <w:rFonts w:ascii="宋体" w:hAnsi="宋体" w:eastAsia="宋体"/>
      <w:b/>
      <w:spacing w:val="10"/>
      <w:kern w:val="2"/>
      <w:sz w:val="28"/>
      <w:szCs w:val="18"/>
      <w:lang w:val="en-US" w:eastAsia="zh-CN" w:bidi="ar-SA"/>
    </w:rPr>
  </w:style>
  <w:style w:type="character" w:customStyle="1" w:styleId="410">
    <w:name w:val="表注 Char"/>
    <w:link w:val="411"/>
    <w:autoRedefine/>
    <w:qFormat/>
    <w:uiPriority w:val="0"/>
    <w:rPr>
      <w:rFonts w:cs="Courier New"/>
      <w:b/>
      <w:spacing w:val="10"/>
      <w:sz w:val="18"/>
      <w:szCs w:val="21"/>
    </w:rPr>
  </w:style>
  <w:style w:type="paragraph" w:customStyle="1" w:styleId="411">
    <w:name w:val="表注"/>
    <w:basedOn w:val="1"/>
    <w:next w:val="1"/>
    <w:link w:val="410"/>
    <w:autoRedefine/>
    <w:qFormat/>
    <w:uiPriority w:val="0"/>
    <w:pPr>
      <w:keepLines/>
      <w:spacing w:line="240" w:lineRule="atLeast"/>
    </w:pPr>
    <w:rPr>
      <w:b/>
      <w:spacing w:val="10"/>
      <w:kern w:val="0"/>
      <w:sz w:val="18"/>
      <w:szCs w:val="21"/>
      <w:lang w:val="zh-CN"/>
    </w:rPr>
  </w:style>
  <w:style w:type="character" w:customStyle="1" w:styleId="412">
    <w:name w:val="我的样式（正文） Char Char"/>
    <w:autoRedefine/>
    <w:qFormat/>
    <w:uiPriority w:val="0"/>
    <w:rPr>
      <w:rFonts w:ascii="宋体" w:hAnsi="华文楷体" w:eastAsia="宋体" w:cs="宋体"/>
      <w:b/>
      <w:spacing w:val="10"/>
      <w:kern w:val="2"/>
      <w:sz w:val="24"/>
      <w:szCs w:val="24"/>
      <w:lang w:val="en-US" w:eastAsia="zh-CN" w:bidi="ar-SA"/>
    </w:rPr>
  </w:style>
  <w:style w:type="character" w:customStyle="1" w:styleId="413">
    <w:name w:val="样式 表格内字体 + Char2"/>
    <w:autoRedefine/>
    <w:qFormat/>
    <w:uiPriority w:val="0"/>
    <w:rPr>
      <w:rFonts w:ascii="宋体" w:hAnsi="宋体"/>
      <w:szCs w:val="24"/>
    </w:rPr>
  </w:style>
  <w:style w:type="character" w:customStyle="1" w:styleId="414">
    <w:name w:val="表格内字体 Char"/>
    <w:link w:val="415"/>
    <w:autoRedefine/>
    <w:qFormat/>
    <w:uiPriority w:val="0"/>
    <w:rPr>
      <w:rFonts w:ascii="宋体" w:hAnsi="宋体"/>
      <w:szCs w:val="24"/>
    </w:rPr>
  </w:style>
  <w:style w:type="paragraph" w:customStyle="1" w:styleId="415">
    <w:name w:val="表格内字体"/>
    <w:basedOn w:val="416"/>
    <w:next w:val="416"/>
    <w:link w:val="414"/>
    <w:autoRedefine/>
    <w:qFormat/>
    <w:uiPriority w:val="0"/>
    <w:pPr>
      <w:spacing w:line="240" w:lineRule="auto"/>
      <w:ind w:firstLine="0"/>
      <w:jc w:val="center"/>
    </w:pPr>
    <w:rPr>
      <w:rFonts w:ascii="宋体" w:hAnsi="宋体"/>
      <w:b w:val="0"/>
      <w:spacing w:val="0"/>
      <w:szCs w:val="24"/>
    </w:rPr>
  </w:style>
  <w:style w:type="paragraph" w:customStyle="1" w:styleId="416">
    <w:name w:val="正文格式"/>
    <w:basedOn w:val="1"/>
    <w:link w:val="417"/>
    <w:autoRedefine/>
    <w:qFormat/>
    <w:uiPriority w:val="0"/>
    <w:pPr>
      <w:spacing w:line="360" w:lineRule="auto"/>
      <w:ind w:firstLine="482"/>
    </w:pPr>
    <w:rPr>
      <w:rFonts w:hAnsi="黑体"/>
      <w:b/>
      <w:spacing w:val="10"/>
      <w:kern w:val="0"/>
      <w:sz w:val="20"/>
      <w:szCs w:val="20"/>
      <w:lang w:val="zh-CN"/>
    </w:rPr>
  </w:style>
  <w:style w:type="character" w:customStyle="1" w:styleId="417">
    <w:name w:val="正文格式 Char"/>
    <w:link w:val="416"/>
    <w:autoRedefine/>
    <w:qFormat/>
    <w:uiPriority w:val="0"/>
    <w:rPr>
      <w:rFonts w:hAnsi="黑体"/>
      <w:b/>
      <w:spacing w:val="10"/>
    </w:rPr>
  </w:style>
  <w:style w:type="character" w:customStyle="1" w:styleId="418">
    <w:name w:val="结束语 Char1"/>
    <w:autoRedefine/>
    <w:qFormat/>
    <w:uiPriority w:val="0"/>
    <w:rPr>
      <w:kern w:val="2"/>
      <w:sz w:val="21"/>
      <w:szCs w:val="24"/>
    </w:rPr>
  </w:style>
  <w:style w:type="character" w:customStyle="1" w:styleId="419">
    <w:name w:val="Char Char9"/>
    <w:autoRedefine/>
    <w:qFormat/>
    <w:uiPriority w:val="0"/>
    <w:rPr>
      <w:rFonts w:eastAsia="宋体"/>
      <w:kern w:val="2"/>
      <w:sz w:val="18"/>
      <w:szCs w:val="18"/>
      <w:lang w:val="en-US" w:eastAsia="zh-CN" w:bidi="ar-SA"/>
    </w:rPr>
  </w:style>
  <w:style w:type="character" w:customStyle="1" w:styleId="420">
    <w:name w:val="题注 Char7"/>
    <w:autoRedefine/>
    <w:qFormat/>
    <w:uiPriority w:val="0"/>
    <w:rPr>
      <w:rFonts w:ascii="黑体" w:hAnsi="Arial" w:eastAsia="黑体" w:cs="Arial"/>
      <w:b/>
      <w:spacing w:val="10"/>
      <w:sz w:val="24"/>
      <w:szCs w:val="24"/>
    </w:rPr>
  </w:style>
  <w:style w:type="character" w:customStyle="1" w:styleId="421">
    <w:name w:val="正文首行缩进 2 Char2"/>
    <w:autoRedefine/>
    <w:qFormat/>
    <w:uiPriority w:val="0"/>
    <w:rPr>
      <w:rFonts w:eastAsia="宋体"/>
      <w:kern w:val="2"/>
      <w:sz w:val="21"/>
      <w:szCs w:val="24"/>
      <w:lang w:val="en-US" w:eastAsia="zh-CN" w:bidi="ar-SA"/>
    </w:rPr>
  </w:style>
  <w:style w:type="character" w:customStyle="1" w:styleId="422">
    <w:name w:val="题注 Char12"/>
    <w:autoRedefine/>
    <w:qFormat/>
    <w:uiPriority w:val="0"/>
    <w:rPr>
      <w:rFonts w:ascii="黑体" w:hAnsi="Arial" w:eastAsia="黑体" w:cs="Arial"/>
      <w:b/>
      <w:spacing w:val="10"/>
      <w:sz w:val="24"/>
      <w:szCs w:val="24"/>
    </w:rPr>
  </w:style>
  <w:style w:type="character" w:customStyle="1" w:styleId="423">
    <w:name w:val="标题 2 Char7"/>
    <w:autoRedefine/>
    <w:qFormat/>
    <w:uiPriority w:val="0"/>
    <w:rPr>
      <w:rFonts w:ascii="黑体" w:hAnsi="Arial" w:eastAsia="黑体" w:cs="Times New Roman"/>
      <w:bCs/>
      <w:kern w:val="2"/>
      <w:sz w:val="30"/>
      <w:szCs w:val="30"/>
      <w:lang w:val="en-US" w:eastAsia="zh-CN" w:bidi="ar-SA"/>
    </w:rPr>
  </w:style>
  <w:style w:type="character" w:customStyle="1" w:styleId="424">
    <w:name w:val="图题注 Char3"/>
    <w:autoRedefine/>
    <w:qFormat/>
    <w:uiPriority w:val="0"/>
    <w:rPr>
      <w:rFonts w:ascii="黑体" w:hAnsi="Arial" w:eastAsia="黑体" w:cs="宋体"/>
      <w:b/>
      <w:bCs/>
      <w:kern w:val="2"/>
      <w:sz w:val="24"/>
      <w:szCs w:val="24"/>
      <w:lang w:val="en-US" w:eastAsia="zh-CN" w:bidi="ar-SA"/>
    </w:rPr>
  </w:style>
  <w:style w:type="character" w:customStyle="1" w:styleId="425">
    <w:name w:val="正文文本缩进 3 Char11"/>
    <w:autoRedefine/>
    <w:qFormat/>
    <w:uiPriority w:val="0"/>
    <w:rPr>
      <w:rFonts w:eastAsia="宋体"/>
      <w:kern w:val="2"/>
      <w:sz w:val="16"/>
      <w:szCs w:val="16"/>
      <w:lang w:val="en-US" w:eastAsia="zh-CN" w:bidi="ar-SA"/>
    </w:rPr>
  </w:style>
  <w:style w:type="character" w:customStyle="1" w:styleId="426">
    <w:name w:val="txt1501"/>
    <w:basedOn w:val="90"/>
    <w:autoRedefine/>
    <w:qFormat/>
    <w:uiPriority w:val="0"/>
  </w:style>
  <w:style w:type="character" w:customStyle="1" w:styleId="427">
    <w:name w:val="图表题 Char2"/>
    <w:autoRedefine/>
    <w:qFormat/>
    <w:uiPriority w:val="0"/>
    <w:rPr>
      <w:rFonts w:ascii="黑体" w:hAnsi="宋体" w:eastAsia="黑体" w:cs="宋体"/>
      <w:b/>
      <w:bCs/>
      <w:spacing w:val="10"/>
      <w:sz w:val="24"/>
      <w:szCs w:val="24"/>
    </w:rPr>
  </w:style>
  <w:style w:type="character" w:customStyle="1" w:styleId="428">
    <w:name w:val="正文修改 Char17"/>
    <w:autoRedefine/>
    <w:qFormat/>
    <w:uiPriority w:val="0"/>
    <w:rPr>
      <w:rFonts w:ascii="宋体" w:hAnsi="宋体" w:eastAsia="宋体" w:cs="宋体"/>
      <w:color w:val="000000"/>
      <w:sz w:val="24"/>
      <w:szCs w:val="24"/>
    </w:rPr>
  </w:style>
  <w:style w:type="character" w:customStyle="1" w:styleId="429">
    <w:name w:val="正文调整 Char"/>
    <w:link w:val="430"/>
    <w:autoRedefine/>
    <w:qFormat/>
    <w:uiPriority w:val="0"/>
    <w:rPr>
      <w:sz w:val="24"/>
      <w:szCs w:val="24"/>
    </w:rPr>
  </w:style>
  <w:style w:type="paragraph" w:customStyle="1" w:styleId="430">
    <w:name w:val="正文调整"/>
    <w:basedOn w:val="1"/>
    <w:link w:val="429"/>
    <w:autoRedefine/>
    <w:qFormat/>
    <w:uiPriority w:val="0"/>
    <w:pPr>
      <w:spacing w:before="60" w:line="460" w:lineRule="atLeast"/>
      <w:ind w:firstLine="200" w:firstLineChars="200"/>
    </w:pPr>
    <w:rPr>
      <w:kern w:val="0"/>
      <w:sz w:val="24"/>
      <w:lang w:val="zh-CN"/>
    </w:rPr>
  </w:style>
  <w:style w:type="character" w:customStyle="1" w:styleId="431">
    <w:name w:val="Char Char53"/>
    <w:autoRedefine/>
    <w:qFormat/>
    <w:uiPriority w:val="0"/>
    <w:rPr>
      <w:rFonts w:ascii="黑体" w:hAnsi="宋体" w:eastAsia="黑体"/>
      <w:bCs/>
      <w:kern w:val="2"/>
      <w:sz w:val="28"/>
      <w:szCs w:val="28"/>
      <w:lang w:val="en-US" w:eastAsia="zh-CN" w:bidi="ar-SA"/>
    </w:rPr>
  </w:style>
  <w:style w:type="character" w:customStyle="1" w:styleId="432">
    <w:name w:val="正文缩进 Char21"/>
    <w:autoRedefine/>
    <w:qFormat/>
    <w:uiPriority w:val="0"/>
    <w:rPr>
      <w:rFonts w:ascii="宋体" w:hAnsi="宋体" w:eastAsia="宋体" w:cs="宋体"/>
      <w:color w:val="000000"/>
      <w:kern w:val="2"/>
      <w:sz w:val="24"/>
      <w:szCs w:val="24"/>
      <w:lang w:val="en-US" w:eastAsia="zh-CN" w:bidi="ar-SA"/>
    </w:rPr>
  </w:style>
  <w:style w:type="character" w:customStyle="1" w:styleId="433">
    <w:name w:val="style1"/>
    <w:basedOn w:val="90"/>
    <w:autoRedefine/>
    <w:qFormat/>
    <w:uiPriority w:val="0"/>
  </w:style>
  <w:style w:type="character" w:customStyle="1" w:styleId="434">
    <w:name w:val="Char Char41"/>
    <w:autoRedefine/>
    <w:qFormat/>
    <w:uiPriority w:val="0"/>
    <w:rPr>
      <w:rFonts w:hint="eastAsia" w:ascii="宋体" w:hAnsi="宋体" w:eastAsia="宋体"/>
      <w:b/>
      <w:bCs/>
      <w:kern w:val="2"/>
      <w:sz w:val="24"/>
      <w:szCs w:val="24"/>
      <w:lang w:val="en-US" w:eastAsia="zh-CN" w:bidi="ar-SA"/>
    </w:rPr>
  </w:style>
  <w:style w:type="character" w:customStyle="1" w:styleId="435">
    <w:name w:val="Char Char101"/>
    <w:autoRedefine/>
    <w:qFormat/>
    <w:locked/>
    <w:uiPriority w:val="0"/>
    <w:rPr>
      <w:rFonts w:eastAsia="宋体"/>
      <w:kern w:val="2"/>
      <w:sz w:val="21"/>
      <w:lang w:val="en-US" w:eastAsia="zh-CN" w:bidi="ar-SA"/>
    </w:rPr>
  </w:style>
  <w:style w:type="character" w:customStyle="1" w:styleId="436">
    <w:name w:val="正文首行缩进 Char1"/>
    <w:autoRedefine/>
    <w:qFormat/>
    <w:uiPriority w:val="0"/>
    <w:rPr>
      <w:rFonts w:ascii="Calibri" w:hAnsi="Calibri" w:eastAsia="宋体" w:cs="Times New Roman"/>
    </w:rPr>
  </w:style>
  <w:style w:type="character" w:customStyle="1" w:styleId="437">
    <w:name w:val="Char Char117"/>
    <w:autoRedefine/>
    <w:qFormat/>
    <w:uiPriority w:val="0"/>
    <w:rPr>
      <w:rFonts w:ascii="黑体" w:hAnsi="Arial" w:eastAsia="黑体"/>
      <w:bCs/>
      <w:kern w:val="2"/>
      <w:sz w:val="30"/>
      <w:szCs w:val="30"/>
      <w:lang w:val="en-US" w:eastAsia="zh-CN" w:bidi="ar-SA"/>
    </w:rPr>
  </w:style>
  <w:style w:type="character" w:customStyle="1" w:styleId="438">
    <w:name w:val="word_break"/>
    <w:basedOn w:val="90"/>
    <w:autoRedefine/>
    <w:qFormat/>
    <w:uiPriority w:val="0"/>
  </w:style>
  <w:style w:type="character" w:customStyle="1" w:styleId="439">
    <w:name w:val="Char Char116"/>
    <w:autoRedefine/>
    <w:qFormat/>
    <w:uiPriority w:val="0"/>
    <w:rPr>
      <w:rFonts w:ascii="黑体" w:hAnsi="Arial" w:eastAsia="黑体"/>
      <w:bCs/>
      <w:kern w:val="2"/>
      <w:sz w:val="30"/>
      <w:szCs w:val="30"/>
      <w:lang w:val="en-US" w:eastAsia="zh-CN" w:bidi="ar-SA"/>
    </w:rPr>
  </w:style>
  <w:style w:type="character" w:customStyle="1" w:styleId="440">
    <w:name w:val="Char4 Char Char Char Char2"/>
    <w:link w:val="441"/>
    <w:autoRedefine/>
    <w:qFormat/>
    <w:uiPriority w:val="0"/>
    <w:rPr>
      <w:sz w:val="24"/>
      <w:szCs w:val="24"/>
    </w:rPr>
  </w:style>
  <w:style w:type="paragraph" w:customStyle="1" w:styleId="441">
    <w:name w:val="Char4 Char Char Char2"/>
    <w:basedOn w:val="1"/>
    <w:link w:val="440"/>
    <w:autoRedefine/>
    <w:qFormat/>
    <w:uiPriority w:val="0"/>
    <w:rPr>
      <w:kern w:val="0"/>
      <w:sz w:val="24"/>
      <w:lang w:val="zh-CN"/>
    </w:rPr>
  </w:style>
  <w:style w:type="character" w:customStyle="1" w:styleId="442">
    <w:name w:val="Char Char118"/>
    <w:autoRedefine/>
    <w:qFormat/>
    <w:uiPriority w:val="0"/>
    <w:rPr>
      <w:rFonts w:ascii="黑体" w:hAnsi="Arial" w:eastAsia="黑体"/>
      <w:b/>
      <w:bCs/>
      <w:kern w:val="2"/>
      <w:sz w:val="30"/>
      <w:szCs w:val="30"/>
      <w:lang w:val="en-US" w:eastAsia="zh-CN" w:bidi="ar-SA"/>
    </w:rPr>
  </w:style>
  <w:style w:type="character" w:customStyle="1" w:styleId="443">
    <w:name w:val="样式 正文缩进 + 宋体 黑色 Char2"/>
    <w:autoRedefine/>
    <w:qFormat/>
    <w:uiPriority w:val="0"/>
    <w:rPr>
      <w:rFonts w:ascii="宋体" w:hAnsi="宋体" w:eastAsia="宋体"/>
      <w:color w:val="000000"/>
      <w:kern w:val="2"/>
      <w:sz w:val="24"/>
      <w:szCs w:val="24"/>
      <w:lang w:val="en-US" w:eastAsia="zh-CN" w:bidi="ar-SA"/>
    </w:rPr>
  </w:style>
  <w:style w:type="character" w:customStyle="1" w:styleId="444">
    <w:name w:val="正文修改 Char151"/>
    <w:autoRedefine/>
    <w:qFormat/>
    <w:uiPriority w:val="0"/>
    <w:rPr>
      <w:rFonts w:ascii="宋体" w:hAnsi="宋体" w:eastAsia="宋体" w:cs="宋体"/>
      <w:color w:val="000000"/>
      <w:sz w:val="24"/>
      <w:szCs w:val="24"/>
    </w:rPr>
  </w:style>
  <w:style w:type="character" w:customStyle="1" w:styleId="445">
    <w:name w:val="标题2"/>
    <w:basedOn w:val="90"/>
    <w:autoRedefine/>
    <w:qFormat/>
    <w:uiPriority w:val="0"/>
  </w:style>
  <w:style w:type="character" w:customStyle="1" w:styleId="446">
    <w:name w:val="黑体标题 Char"/>
    <w:link w:val="447"/>
    <w:autoRedefine/>
    <w:qFormat/>
    <w:uiPriority w:val="0"/>
    <w:rPr>
      <w:rFonts w:ascii="宋体" w:hAnsi="宋体"/>
      <w:sz w:val="28"/>
    </w:rPr>
  </w:style>
  <w:style w:type="paragraph" w:customStyle="1" w:styleId="447">
    <w:name w:val="黑体标题"/>
    <w:basedOn w:val="1"/>
    <w:link w:val="446"/>
    <w:autoRedefine/>
    <w:qFormat/>
    <w:uiPriority w:val="0"/>
    <w:pPr>
      <w:spacing w:line="500" w:lineRule="exact"/>
      <w:ind w:firstLine="560" w:firstLineChars="200"/>
    </w:pPr>
    <w:rPr>
      <w:rFonts w:ascii="宋体" w:hAnsi="宋体"/>
      <w:kern w:val="0"/>
      <w:sz w:val="28"/>
      <w:szCs w:val="20"/>
      <w:lang w:val="zh-CN"/>
    </w:rPr>
  </w:style>
  <w:style w:type="character" w:customStyle="1" w:styleId="448">
    <w:name w:val="表中文字 Char2"/>
    <w:autoRedefine/>
    <w:qFormat/>
    <w:uiPriority w:val="0"/>
    <w:rPr>
      <w:rFonts w:ascii="Times New Roman" w:hAnsi="Times New Roman"/>
      <w:kern w:val="2"/>
      <w:sz w:val="21"/>
    </w:rPr>
  </w:style>
  <w:style w:type="character" w:customStyle="1" w:styleId="449">
    <w:name w:val="soa7bda"/>
    <w:basedOn w:val="90"/>
    <w:autoRedefine/>
    <w:qFormat/>
    <w:uiPriority w:val="0"/>
  </w:style>
  <w:style w:type="character" w:customStyle="1" w:styleId="450">
    <w:name w:val="hhcwt标题1 Char Char"/>
    <w:link w:val="451"/>
    <w:autoRedefine/>
    <w:qFormat/>
    <w:uiPriority w:val="0"/>
    <w:rPr>
      <w:rFonts w:eastAsia="黑体" w:cs="宋体"/>
      <w:kern w:val="44"/>
      <w:sz w:val="36"/>
      <w:szCs w:val="24"/>
      <w:lang w:val="zh-CN"/>
    </w:rPr>
  </w:style>
  <w:style w:type="paragraph" w:customStyle="1" w:styleId="451">
    <w:name w:val="hhcwt标题1"/>
    <w:basedOn w:val="1"/>
    <w:link w:val="450"/>
    <w:autoRedefine/>
    <w:qFormat/>
    <w:uiPriority w:val="0"/>
    <w:pPr>
      <w:keepNext/>
      <w:keepLines/>
      <w:autoSpaceDE w:val="0"/>
      <w:autoSpaceDN w:val="0"/>
      <w:adjustRightInd w:val="0"/>
      <w:spacing w:before="120" w:after="120" w:line="336" w:lineRule="auto"/>
      <w:outlineLvl w:val="0"/>
    </w:pPr>
    <w:rPr>
      <w:rFonts w:eastAsia="黑体"/>
      <w:kern w:val="44"/>
      <w:sz w:val="36"/>
      <w:lang w:val="zh-CN"/>
    </w:rPr>
  </w:style>
  <w:style w:type="character" w:customStyle="1" w:styleId="452">
    <w:name w:val="缩进 Char"/>
    <w:link w:val="453"/>
    <w:autoRedefine/>
    <w:qFormat/>
    <w:uiPriority w:val="0"/>
    <w:rPr>
      <w:rFonts w:eastAsia="仿宋_GB2312"/>
      <w:b/>
      <w:color w:val="000000"/>
      <w:spacing w:val="10"/>
      <w:kern w:val="44"/>
    </w:rPr>
  </w:style>
  <w:style w:type="paragraph" w:customStyle="1" w:styleId="453">
    <w:name w:val="缩进"/>
    <w:basedOn w:val="1"/>
    <w:link w:val="452"/>
    <w:autoRedefine/>
    <w:qFormat/>
    <w:uiPriority w:val="0"/>
    <w:pPr>
      <w:spacing w:line="480" w:lineRule="exact"/>
      <w:ind w:firstLine="480" w:firstLineChars="200"/>
      <w:jc w:val="left"/>
    </w:pPr>
    <w:rPr>
      <w:rFonts w:eastAsia="仿宋_GB2312"/>
      <w:b/>
      <w:color w:val="000000"/>
      <w:spacing w:val="10"/>
      <w:kern w:val="44"/>
      <w:sz w:val="20"/>
      <w:szCs w:val="20"/>
      <w:lang w:val="zh-CN"/>
    </w:rPr>
  </w:style>
  <w:style w:type="character" w:customStyle="1" w:styleId="454">
    <w:name w:val="图题注 Char2"/>
    <w:autoRedefine/>
    <w:qFormat/>
    <w:uiPriority w:val="0"/>
    <w:rPr>
      <w:rFonts w:ascii="黑体" w:hAnsi="Arial" w:eastAsia="黑体" w:cs="宋体"/>
      <w:b/>
      <w:bCs/>
      <w:kern w:val="2"/>
      <w:sz w:val="24"/>
      <w:szCs w:val="24"/>
      <w:lang w:val="en-US" w:eastAsia="zh-CN" w:bidi="ar-SA"/>
    </w:rPr>
  </w:style>
  <w:style w:type="character" w:customStyle="1" w:styleId="455">
    <w:name w:val="页眉1 Char1"/>
    <w:autoRedefine/>
    <w:qFormat/>
    <w:uiPriority w:val="0"/>
    <w:rPr>
      <w:rFonts w:eastAsia="宋体"/>
      <w:kern w:val="2"/>
      <w:sz w:val="18"/>
      <w:szCs w:val="18"/>
      <w:lang w:val="en-US" w:eastAsia="zh-CN" w:bidi="ar-SA"/>
    </w:rPr>
  </w:style>
  <w:style w:type="character" w:customStyle="1" w:styleId="456">
    <w:name w:val="样式 表内小5 + 黑体 加粗 倾斜 下划线 Char511"/>
    <w:autoRedefine/>
    <w:qFormat/>
    <w:uiPriority w:val="0"/>
    <w:rPr>
      <w:rFonts w:ascii="黑体" w:hAnsi="黑体" w:eastAsia="黑体"/>
      <w:b/>
      <w:bCs/>
      <w:i/>
      <w:iCs/>
      <w:kern w:val="2"/>
      <w:sz w:val="18"/>
      <w:szCs w:val="24"/>
      <w:u w:val="single"/>
      <w:lang w:val="en-US" w:eastAsia="zh-CN" w:bidi="ar-SA"/>
    </w:rPr>
  </w:style>
  <w:style w:type="character" w:customStyle="1" w:styleId="457">
    <w:name w:val="正文修改 Char133"/>
    <w:autoRedefine/>
    <w:qFormat/>
    <w:uiPriority w:val="0"/>
    <w:rPr>
      <w:rFonts w:ascii="宋体" w:hAnsi="宋体" w:eastAsia="宋体" w:cs="宋体"/>
      <w:color w:val="000000"/>
      <w:sz w:val="24"/>
      <w:szCs w:val="24"/>
    </w:rPr>
  </w:style>
  <w:style w:type="character" w:customStyle="1" w:styleId="458">
    <w:name w:val="正文格式 Char3"/>
    <w:autoRedefine/>
    <w:qFormat/>
    <w:uiPriority w:val="0"/>
    <w:rPr>
      <w:rFonts w:ascii="宋体" w:hAnsi="宋体" w:eastAsia="宋体"/>
      <w:kern w:val="2"/>
      <w:sz w:val="24"/>
      <w:szCs w:val="24"/>
      <w:lang w:val="en-US" w:eastAsia="zh-CN" w:bidi="ar-SA"/>
    </w:rPr>
  </w:style>
  <w:style w:type="character" w:customStyle="1" w:styleId="459">
    <w:name w:val="表格内字体 Char51"/>
    <w:autoRedefine/>
    <w:qFormat/>
    <w:uiPriority w:val="0"/>
    <w:rPr>
      <w:rFonts w:ascii="宋体" w:hAnsi="宋体" w:eastAsia="宋体"/>
      <w:kern w:val="2"/>
      <w:sz w:val="21"/>
      <w:szCs w:val="24"/>
      <w:lang w:val="en-US" w:eastAsia="zh-CN" w:bidi="ar-SA"/>
    </w:rPr>
  </w:style>
  <w:style w:type="character" w:customStyle="1" w:styleId="460">
    <w:name w:val="f9wen1"/>
    <w:autoRedefine/>
    <w:qFormat/>
    <w:uiPriority w:val="0"/>
    <w:rPr>
      <w:rFonts w:eastAsia="宋体"/>
      <w:spacing w:val="12"/>
      <w:kern w:val="2"/>
      <w:sz w:val="18"/>
      <w:szCs w:val="18"/>
      <w:u w:val="none"/>
      <w:lang w:val="en-US" w:eastAsia="zh-CN" w:bidi="ar-SA"/>
    </w:rPr>
  </w:style>
  <w:style w:type="character" w:customStyle="1" w:styleId="461">
    <w:name w:val="环标1 Char1"/>
    <w:link w:val="462"/>
    <w:autoRedefine/>
    <w:qFormat/>
    <w:uiPriority w:val="0"/>
    <w:rPr>
      <w:rFonts w:ascii="Calibri" w:hAnsi="Courier New" w:eastAsia="楷体_GB2312"/>
      <w:b/>
      <w:kern w:val="44"/>
      <w:sz w:val="28"/>
    </w:rPr>
  </w:style>
  <w:style w:type="paragraph" w:customStyle="1" w:styleId="462">
    <w:name w:val="环标1"/>
    <w:basedOn w:val="3"/>
    <w:link w:val="461"/>
    <w:autoRedefine/>
    <w:qFormat/>
    <w:uiPriority w:val="0"/>
    <w:pPr>
      <w:tabs>
        <w:tab w:val="left" w:pos="360"/>
      </w:tabs>
      <w:overflowPunct/>
      <w:snapToGrid/>
      <w:spacing w:before="0" w:after="0" w:line="240" w:lineRule="auto"/>
      <w:ind w:left="0" w:firstLine="0"/>
      <w:jc w:val="center"/>
    </w:pPr>
    <w:rPr>
      <w:rFonts w:ascii="Calibri" w:hAnsi="Courier New" w:eastAsia="楷体_GB2312"/>
      <w:bCs w:val="0"/>
      <w:color w:val="auto"/>
      <w:sz w:val="28"/>
      <w:szCs w:val="20"/>
    </w:rPr>
  </w:style>
  <w:style w:type="character" w:customStyle="1" w:styleId="463">
    <w:name w:val="表内5 Char2"/>
    <w:autoRedefine/>
    <w:qFormat/>
    <w:uiPriority w:val="0"/>
    <w:rPr>
      <w:rFonts w:ascii="宋体" w:hAnsi="宋体" w:eastAsia="宋体" w:cs="宋体"/>
      <w:kern w:val="2"/>
      <w:sz w:val="21"/>
      <w:szCs w:val="24"/>
      <w:lang w:val="en-US" w:eastAsia="zh-CN" w:bidi="ar-SA"/>
    </w:rPr>
  </w:style>
  <w:style w:type="character" w:customStyle="1" w:styleId="464">
    <w:name w:val="表题1 Char72"/>
    <w:autoRedefine/>
    <w:qFormat/>
    <w:uiPriority w:val="0"/>
    <w:rPr>
      <w:rFonts w:ascii="黑体" w:hAnsi="Arial" w:eastAsia="黑体" w:cs="Arial"/>
      <w:b/>
      <w:kern w:val="2"/>
      <w:sz w:val="24"/>
      <w:szCs w:val="24"/>
      <w:lang w:val="en-US" w:eastAsia="zh-CN" w:bidi="ar-SA"/>
    </w:rPr>
  </w:style>
  <w:style w:type="character" w:customStyle="1" w:styleId="465">
    <w:name w:val="题注 Char8"/>
    <w:autoRedefine/>
    <w:qFormat/>
    <w:uiPriority w:val="0"/>
    <w:rPr>
      <w:rFonts w:ascii="黑体" w:hAnsi="Arial" w:eastAsia="黑体" w:cs="Arial"/>
      <w:b/>
      <w:spacing w:val="10"/>
      <w:sz w:val="24"/>
      <w:szCs w:val="24"/>
    </w:rPr>
  </w:style>
  <w:style w:type="character" w:customStyle="1" w:styleId="466">
    <w:name w:val="正文样式 Char"/>
    <w:autoRedefine/>
    <w:qFormat/>
    <w:uiPriority w:val="0"/>
    <w:rPr>
      <w:rFonts w:eastAsia="宋体" w:cs="宋体"/>
      <w:kern w:val="2"/>
      <w:sz w:val="24"/>
      <w:szCs w:val="24"/>
      <w:lang w:val="en-US" w:eastAsia="zh-CN" w:bidi="ar-SA"/>
    </w:rPr>
  </w:style>
  <w:style w:type="character" w:customStyle="1" w:styleId="467">
    <w:name w:val="题注 Char11"/>
    <w:autoRedefine/>
    <w:qFormat/>
    <w:uiPriority w:val="0"/>
    <w:rPr>
      <w:rFonts w:ascii="黑体" w:hAnsi="Arial" w:eastAsia="黑体" w:cs="Arial"/>
      <w:b/>
      <w:spacing w:val="10"/>
      <w:sz w:val="24"/>
      <w:szCs w:val="24"/>
    </w:rPr>
  </w:style>
  <w:style w:type="character" w:customStyle="1" w:styleId="468">
    <w:name w:val="z-窗体底端 Char"/>
    <w:link w:val="469"/>
    <w:autoRedefine/>
    <w:qFormat/>
    <w:uiPriority w:val="0"/>
    <w:rPr>
      <w:rFonts w:ascii="Arial" w:hAnsi="Arial" w:eastAsia="仿宋_GB2312"/>
      <w:vanish/>
      <w:sz w:val="16"/>
    </w:rPr>
  </w:style>
  <w:style w:type="paragraph" w:customStyle="1" w:styleId="469">
    <w:name w:val="z-窗体底端1"/>
    <w:basedOn w:val="1"/>
    <w:next w:val="1"/>
    <w:link w:val="468"/>
    <w:autoRedefine/>
    <w:qFormat/>
    <w:uiPriority w:val="0"/>
    <w:pPr>
      <w:pBdr>
        <w:top w:val="single" w:color="auto" w:sz="6" w:space="1"/>
      </w:pBdr>
      <w:adjustRightInd w:val="0"/>
      <w:snapToGrid w:val="0"/>
      <w:spacing w:line="300" w:lineRule="auto"/>
      <w:jc w:val="center"/>
    </w:pPr>
    <w:rPr>
      <w:rFonts w:ascii="Arial" w:hAnsi="Arial" w:eastAsia="仿宋_GB2312"/>
      <w:vanish/>
      <w:kern w:val="0"/>
      <w:sz w:val="16"/>
      <w:szCs w:val="20"/>
      <w:lang w:val="zh-CN"/>
    </w:rPr>
  </w:style>
  <w:style w:type="character" w:customStyle="1" w:styleId="470">
    <w:name w:val="样式1 Char"/>
    <w:link w:val="471"/>
    <w:autoRedefine/>
    <w:qFormat/>
    <w:uiPriority w:val="0"/>
    <w:rPr>
      <w:rFonts w:ascii="宋体"/>
    </w:rPr>
  </w:style>
  <w:style w:type="paragraph" w:customStyle="1" w:styleId="471">
    <w:name w:val="样式1"/>
    <w:basedOn w:val="1"/>
    <w:link w:val="470"/>
    <w:autoRedefine/>
    <w:qFormat/>
    <w:uiPriority w:val="0"/>
    <w:pPr>
      <w:snapToGrid w:val="0"/>
      <w:jc w:val="center"/>
    </w:pPr>
    <w:rPr>
      <w:rFonts w:ascii="宋体"/>
      <w:kern w:val="0"/>
      <w:sz w:val="20"/>
      <w:szCs w:val="20"/>
      <w:lang w:val="zh-CN"/>
    </w:rPr>
  </w:style>
  <w:style w:type="character" w:customStyle="1" w:styleId="472">
    <w:name w:val="标题正文黑 Char1"/>
    <w:autoRedefine/>
    <w:qFormat/>
    <w:uiPriority w:val="0"/>
    <w:rPr>
      <w:rFonts w:ascii="黑体" w:eastAsia="黑体"/>
      <w:kern w:val="2"/>
      <w:sz w:val="28"/>
      <w:szCs w:val="28"/>
      <w:lang w:val="en-US" w:eastAsia="zh-CN" w:bidi="ar-SA"/>
    </w:rPr>
  </w:style>
  <w:style w:type="character" w:customStyle="1" w:styleId="473">
    <w:name w:val="标题2 Char12"/>
    <w:autoRedefine/>
    <w:qFormat/>
    <w:uiPriority w:val="0"/>
    <w:rPr>
      <w:rFonts w:ascii="宋体" w:hAnsi="宋体" w:eastAsia="宋体" w:cs="宋体"/>
      <w:color w:val="000000"/>
      <w:kern w:val="2"/>
      <w:sz w:val="24"/>
      <w:szCs w:val="24"/>
      <w:lang w:val="en-US" w:eastAsia="zh-CN" w:bidi="ar-SA"/>
    </w:rPr>
  </w:style>
  <w:style w:type="character" w:customStyle="1" w:styleId="474">
    <w:name w:val="main1"/>
    <w:autoRedefine/>
    <w:qFormat/>
    <w:uiPriority w:val="0"/>
    <w:rPr>
      <w:color w:val="000000"/>
      <w:sz w:val="21"/>
      <w:szCs w:val="21"/>
    </w:rPr>
  </w:style>
  <w:style w:type="character" w:customStyle="1" w:styleId="475">
    <w:name w:val="报告书正文 Char"/>
    <w:link w:val="476"/>
    <w:autoRedefine/>
    <w:qFormat/>
    <w:uiPriority w:val="0"/>
    <w:rPr>
      <w:sz w:val="24"/>
      <w:szCs w:val="24"/>
    </w:rPr>
  </w:style>
  <w:style w:type="paragraph" w:customStyle="1" w:styleId="476">
    <w:name w:val="报告书正文"/>
    <w:basedOn w:val="1"/>
    <w:link w:val="475"/>
    <w:autoRedefine/>
    <w:qFormat/>
    <w:uiPriority w:val="0"/>
    <w:pPr>
      <w:spacing w:line="360" w:lineRule="auto"/>
      <w:ind w:firstLine="480" w:firstLineChars="200"/>
    </w:pPr>
    <w:rPr>
      <w:kern w:val="0"/>
      <w:sz w:val="24"/>
      <w:lang w:val="zh-CN"/>
    </w:rPr>
  </w:style>
  <w:style w:type="character" w:customStyle="1" w:styleId="477">
    <w:name w:val="表题1 Char4"/>
    <w:autoRedefine/>
    <w:qFormat/>
    <w:uiPriority w:val="0"/>
    <w:rPr>
      <w:rFonts w:ascii="黑体" w:hAnsi="Arial" w:eastAsia="黑体" w:cs="Arial"/>
      <w:b/>
      <w:kern w:val="2"/>
      <w:sz w:val="24"/>
      <w:szCs w:val="24"/>
      <w:lang w:val="en-US" w:eastAsia="zh-CN" w:bidi="ar-SA"/>
    </w:rPr>
  </w:style>
  <w:style w:type="character" w:customStyle="1" w:styleId="478">
    <w:name w:val="题注 Char1"/>
    <w:autoRedefine/>
    <w:qFormat/>
    <w:uiPriority w:val="0"/>
    <w:rPr>
      <w:rFonts w:eastAsia="仿宋_GB2312"/>
      <w:b/>
      <w:sz w:val="24"/>
      <w:lang w:val="en-US" w:eastAsia="zh-CN" w:bidi="ar-SA"/>
    </w:rPr>
  </w:style>
  <w:style w:type="character" w:customStyle="1" w:styleId="479">
    <w:name w:val="zwc"/>
    <w:basedOn w:val="90"/>
    <w:autoRedefine/>
    <w:qFormat/>
    <w:uiPriority w:val="0"/>
  </w:style>
  <w:style w:type="character" w:customStyle="1" w:styleId="480">
    <w:name w:val="燕山正文 Char13"/>
    <w:autoRedefine/>
    <w:qFormat/>
    <w:uiPriority w:val="0"/>
    <w:rPr>
      <w:rFonts w:ascii="宋体" w:eastAsia="宋体" w:cs="宋体"/>
      <w:kern w:val="2"/>
      <w:sz w:val="24"/>
      <w:szCs w:val="24"/>
      <w:lang w:val="en-US" w:eastAsia="zh-CN" w:bidi="ar-SA"/>
    </w:rPr>
  </w:style>
  <w:style w:type="character" w:customStyle="1" w:styleId="481">
    <w:name w:val="t_tag"/>
    <w:basedOn w:val="90"/>
    <w:autoRedefine/>
    <w:qFormat/>
    <w:uiPriority w:val="0"/>
  </w:style>
  <w:style w:type="character" w:customStyle="1" w:styleId="482">
    <w:name w:val="标题 2 Char3"/>
    <w:autoRedefine/>
    <w:qFormat/>
    <w:uiPriority w:val="0"/>
    <w:rPr>
      <w:rFonts w:ascii="黑体" w:hAnsi="Arial" w:eastAsia="黑体"/>
      <w:bCs/>
      <w:kern w:val="2"/>
      <w:sz w:val="30"/>
      <w:szCs w:val="30"/>
      <w:lang w:val="en-US" w:eastAsia="zh-CN" w:bidi="ar-SA"/>
    </w:rPr>
  </w:style>
  <w:style w:type="character" w:customStyle="1" w:styleId="483">
    <w:name w:val="题注 Char53"/>
    <w:autoRedefine/>
    <w:qFormat/>
    <w:uiPriority w:val="0"/>
    <w:rPr>
      <w:rFonts w:ascii="黑体" w:hAnsi="Arial" w:eastAsia="黑体" w:cs="Arial"/>
      <w:b/>
      <w:spacing w:val="10"/>
      <w:sz w:val="24"/>
      <w:szCs w:val="24"/>
    </w:rPr>
  </w:style>
  <w:style w:type="character" w:customStyle="1" w:styleId="484">
    <w:name w:val="标题正文黑 Char2"/>
    <w:autoRedefine/>
    <w:qFormat/>
    <w:uiPriority w:val="0"/>
    <w:rPr>
      <w:rFonts w:ascii="黑体" w:eastAsia="黑体"/>
      <w:kern w:val="2"/>
      <w:sz w:val="28"/>
      <w:szCs w:val="28"/>
      <w:lang w:val="en-US" w:eastAsia="zh-CN" w:bidi="ar-SA"/>
    </w:rPr>
  </w:style>
  <w:style w:type="character" w:customStyle="1" w:styleId="485">
    <w:name w:val="样式 小四 行距: 固定值 24 磅 Char"/>
    <w:autoRedefine/>
    <w:qFormat/>
    <w:uiPriority w:val="0"/>
    <w:rPr>
      <w:rFonts w:ascii="仿宋_GB2312" w:eastAsia="仿宋_GB2312" w:cs="宋体"/>
      <w:b/>
      <w:bCs/>
      <w:sz w:val="24"/>
    </w:rPr>
  </w:style>
  <w:style w:type="character" w:customStyle="1" w:styleId="486">
    <w:name w:val="日期 Char2"/>
    <w:autoRedefine/>
    <w:qFormat/>
    <w:uiPriority w:val="0"/>
    <w:rPr>
      <w:rFonts w:ascii="宋体" w:hAnsi="Times New Roman"/>
      <w:kern w:val="2"/>
      <w:sz w:val="24"/>
    </w:rPr>
  </w:style>
  <w:style w:type="character" w:customStyle="1" w:styleId="487">
    <w:name w:val="正文格式 Char1"/>
    <w:autoRedefine/>
    <w:qFormat/>
    <w:uiPriority w:val="0"/>
    <w:rPr>
      <w:rFonts w:ascii="宋体" w:hAnsi="宋体" w:eastAsia="宋体"/>
      <w:kern w:val="2"/>
      <w:sz w:val="24"/>
      <w:szCs w:val="24"/>
      <w:lang w:val="en-US" w:eastAsia="zh-CN" w:bidi="ar-SA"/>
    </w:rPr>
  </w:style>
  <w:style w:type="character" w:customStyle="1" w:styleId="488">
    <w:name w:val="style15 style15"/>
    <w:basedOn w:val="90"/>
    <w:autoRedefine/>
    <w:qFormat/>
    <w:uiPriority w:val="0"/>
  </w:style>
  <w:style w:type="character" w:customStyle="1" w:styleId="489">
    <w:name w:val="tpc_content1"/>
    <w:autoRedefine/>
    <w:qFormat/>
    <w:uiPriority w:val="0"/>
    <w:rPr>
      <w:sz w:val="22"/>
      <w:szCs w:val="22"/>
    </w:rPr>
  </w:style>
  <w:style w:type="character" w:customStyle="1" w:styleId="490">
    <w:name w:val="环评正文 Char"/>
    <w:link w:val="491"/>
    <w:autoRedefine/>
    <w:qFormat/>
    <w:uiPriority w:val="0"/>
  </w:style>
  <w:style w:type="paragraph" w:customStyle="1" w:styleId="491">
    <w:name w:val="环评正文"/>
    <w:basedOn w:val="1"/>
    <w:link w:val="490"/>
    <w:autoRedefine/>
    <w:qFormat/>
    <w:uiPriority w:val="0"/>
    <w:pPr>
      <w:adjustRightInd w:val="0"/>
      <w:snapToGrid w:val="0"/>
      <w:spacing w:line="360" w:lineRule="auto"/>
      <w:ind w:firstLine="480" w:firstLineChars="200"/>
    </w:pPr>
    <w:rPr>
      <w:kern w:val="0"/>
      <w:sz w:val="20"/>
      <w:szCs w:val="20"/>
    </w:rPr>
  </w:style>
  <w:style w:type="character" w:customStyle="1" w:styleId="492">
    <w:name w:val="福建正文缩进 Char"/>
    <w:link w:val="493"/>
    <w:autoRedefine/>
    <w:qFormat/>
    <w:uiPriority w:val="0"/>
    <w:rPr>
      <w:rFonts w:ascii="宋体" w:hAnsi="宋体" w:cs="宋体"/>
      <w:color w:val="000000"/>
      <w:sz w:val="24"/>
      <w:szCs w:val="24"/>
    </w:rPr>
  </w:style>
  <w:style w:type="paragraph" w:customStyle="1" w:styleId="493">
    <w:name w:val="福建正文缩进"/>
    <w:basedOn w:val="9"/>
    <w:link w:val="492"/>
    <w:autoRedefine/>
    <w:qFormat/>
    <w:uiPriority w:val="0"/>
    <w:pPr>
      <w:widowControl/>
      <w:tabs>
        <w:tab w:val="left" w:pos="5837"/>
      </w:tabs>
      <w:adjustRightInd w:val="0"/>
      <w:snapToGrid w:val="0"/>
      <w:spacing w:line="480" w:lineRule="exact"/>
      <w:ind w:firstLine="0" w:firstLineChars="0"/>
    </w:pPr>
    <w:rPr>
      <w:rFonts w:ascii="宋体" w:hAnsi="宋体"/>
      <w:color w:val="000000"/>
      <w:kern w:val="0"/>
      <w:sz w:val="24"/>
    </w:rPr>
  </w:style>
  <w:style w:type="character" w:customStyle="1" w:styleId="494">
    <w:name w:val="内容"/>
    <w:basedOn w:val="90"/>
    <w:autoRedefine/>
    <w:qFormat/>
    <w:uiPriority w:val="0"/>
  </w:style>
  <w:style w:type="character" w:customStyle="1" w:styleId="495">
    <w:name w:val="题注 Char22"/>
    <w:autoRedefine/>
    <w:qFormat/>
    <w:uiPriority w:val="0"/>
    <w:rPr>
      <w:rFonts w:ascii="黑体" w:hAnsi="Arial" w:eastAsia="黑体" w:cs="Arial"/>
      <w:b/>
      <w:spacing w:val="10"/>
      <w:sz w:val="24"/>
      <w:szCs w:val="24"/>
    </w:rPr>
  </w:style>
  <w:style w:type="character" w:customStyle="1" w:styleId="496">
    <w:name w:val="大港正文 Char"/>
    <w:link w:val="497"/>
    <w:autoRedefine/>
    <w:qFormat/>
    <w:uiPriority w:val="0"/>
    <w:rPr>
      <w:rFonts w:ascii="宋体" w:hAnsi="宋体"/>
      <w:sz w:val="24"/>
      <w:szCs w:val="24"/>
    </w:rPr>
  </w:style>
  <w:style w:type="paragraph" w:customStyle="1" w:styleId="497">
    <w:name w:val="大港正文"/>
    <w:basedOn w:val="1"/>
    <w:next w:val="1"/>
    <w:link w:val="496"/>
    <w:autoRedefine/>
    <w:qFormat/>
    <w:uiPriority w:val="0"/>
    <w:pPr>
      <w:adjustRightInd w:val="0"/>
      <w:snapToGrid w:val="0"/>
      <w:spacing w:line="500" w:lineRule="atLeast"/>
      <w:ind w:firstLine="480" w:firstLineChars="200"/>
    </w:pPr>
    <w:rPr>
      <w:rFonts w:ascii="宋体" w:hAnsi="宋体"/>
      <w:kern w:val="0"/>
      <w:sz w:val="24"/>
      <w:lang w:val="zh-CN"/>
    </w:rPr>
  </w:style>
  <w:style w:type="character" w:customStyle="1" w:styleId="498">
    <w:name w:val="燕山正文 Char12"/>
    <w:autoRedefine/>
    <w:qFormat/>
    <w:uiPriority w:val="0"/>
    <w:rPr>
      <w:rFonts w:ascii="宋体" w:eastAsia="宋体" w:cs="宋体"/>
      <w:kern w:val="2"/>
      <w:sz w:val="24"/>
      <w:szCs w:val="24"/>
      <w:lang w:val="en-US" w:eastAsia="zh-CN" w:bidi="ar-SA"/>
    </w:rPr>
  </w:style>
  <w:style w:type="character" w:customStyle="1" w:styleId="499">
    <w:name w:val="moon icon texticon"/>
    <w:basedOn w:val="90"/>
    <w:autoRedefine/>
    <w:qFormat/>
    <w:uiPriority w:val="0"/>
  </w:style>
  <w:style w:type="character" w:customStyle="1" w:styleId="500">
    <w:name w:val="正文缩进 Char32"/>
    <w:autoRedefine/>
    <w:qFormat/>
    <w:uiPriority w:val="0"/>
    <w:rPr>
      <w:rFonts w:ascii="宋体" w:hAnsi="宋体" w:eastAsia="宋体" w:cs="宋体"/>
      <w:color w:val="000000"/>
      <w:kern w:val="0"/>
      <w:sz w:val="24"/>
      <w:szCs w:val="24"/>
      <w:lang w:val="en-US" w:eastAsia="zh-CN" w:bidi="ar-SA"/>
    </w:rPr>
  </w:style>
  <w:style w:type="character" w:customStyle="1" w:styleId="501">
    <w:name w:val="表中文字 Char22"/>
    <w:autoRedefine/>
    <w:qFormat/>
    <w:uiPriority w:val="0"/>
    <w:rPr>
      <w:rFonts w:ascii="宋体" w:eastAsia="宋体"/>
      <w:kern w:val="2"/>
      <w:sz w:val="21"/>
      <w:szCs w:val="21"/>
      <w:lang w:val="en-US" w:eastAsia="zh-CN" w:bidi="ar-SA"/>
    </w:rPr>
  </w:style>
  <w:style w:type="character" w:customStyle="1" w:styleId="502">
    <w:name w:val="文字 Char"/>
    <w:link w:val="503"/>
    <w:autoRedefine/>
    <w:qFormat/>
    <w:uiPriority w:val="0"/>
    <w:rPr>
      <w:sz w:val="24"/>
      <w:szCs w:val="24"/>
    </w:rPr>
  </w:style>
  <w:style w:type="paragraph" w:customStyle="1" w:styleId="503">
    <w:name w:val="文字"/>
    <w:basedOn w:val="1"/>
    <w:link w:val="502"/>
    <w:autoRedefine/>
    <w:qFormat/>
    <w:uiPriority w:val="0"/>
    <w:pPr>
      <w:spacing w:line="360" w:lineRule="auto"/>
      <w:ind w:firstLine="200" w:firstLineChars="200"/>
    </w:pPr>
    <w:rPr>
      <w:kern w:val="0"/>
      <w:sz w:val="24"/>
      <w:lang w:val="zh-CN"/>
    </w:rPr>
  </w:style>
  <w:style w:type="character" w:customStyle="1" w:styleId="504">
    <w:name w:val="hhcwt标题3 Char Char"/>
    <w:link w:val="505"/>
    <w:autoRedefine/>
    <w:qFormat/>
    <w:uiPriority w:val="0"/>
    <w:rPr>
      <w:rFonts w:eastAsia="楷体_GB2312" w:cs="宋体"/>
      <w:bCs/>
      <w:sz w:val="28"/>
      <w:szCs w:val="24"/>
    </w:rPr>
  </w:style>
  <w:style w:type="paragraph" w:customStyle="1" w:styleId="505">
    <w:name w:val="hhcwt标题3"/>
    <w:basedOn w:val="1"/>
    <w:link w:val="504"/>
    <w:autoRedefine/>
    <w:qFormat/>
    <w:uiPriority w:val="0"/>
    <w:pPr>
      <w:keepNext/>
      <w:keepLines/>
      <w:spacing w:line="336" w:lineRule="auto"/>
      <w:outlineLvl w:val="2"/>
    </w:pPr>
    <w:rPr>
      <w:rFonts w:eastAsia="楷体_GB2312"/>
      <w:bCs/>
      <w:kern w:val="0"/>
      <w:sz w:val="28"/>
      <w:lang w:val="zh-CN"/>
    </w:rPr>
  </w:style>
  <w:style w:type="character" w:customStyle="1" w:styleId="506">
    <w:name w:val="表题1 Char63"/>
    <w:autoRedefine/>
    <w:qFormat/>
    <w:uiPriority w:val="0"/>
    <w:rPr>
      <w:rFonts w:ascii="黑体" w:hAnsi="Arial" w:eastAsia="黑体" w:cs="Arial"/>
      <w:b/>
      <w:kern w:val="2"/>
      <w:sz w:val="24"/>
      <w:szCs w:val="24"/>
      <w:lang w:val="en-US" w:eastAsia="zh-CN" w:bidi="ar-SA"/>
    </w:rPr>
  </w:style>
  <w:style w:type="character" w:customStyle="1" w:styleId="507">
    <w:name w:val="text"/>
    <w:basedOn w:val="90"/>
    <w:autoRedefine/>
    <w:qFormat/>
    <w:uiPriority w:val="0"/>
  </w:style>
  <w:style w:type="character" w:customStyle="1" w:styleId="508">
    <w:name w:val="tdword"/>
    <w:basedOn w:val="90"/>
    <w:autoRedefine/>
    <w:qFormat/>
    <w:uiPriority w:val="0"/>
  </w:style>
  <w:style w:type="character" w:customStyle="1" w:styleId="509">
    <w:name w:val="表格内字体 Char6"/>
    <w:autoRedefine/>
    <w:qFormat/>
    <w:uiPriority w:val="0"/>
    <w:rPr>
      <w:rFonts w:ascii="宋体" w:hAnsi="宋体" w:eastAsia="宋体" w:cs="Times New Roman"/>
      <w:kern w:val="2"/>
      <w:sz w:val="24"/>
      <w:szCs w:val="24"/>
      <w:lang w:val="en-US" w:eastAsia="zh-CN" w:bidi="ar-SA"/>
    </w:rPr>
  </w:style>
  <w:style w:type="character" w:customStyle="1" w:styleId="510">
    <w:name w:val="v15"/>
    <w:basedOn w:val="90"/>
    <w:autoRedefine/>
    <w:qFormat/>
    <w:uiPriority w:val="0"/>
  </w:style>
  <w:style w:type="character" w:customStyle="1" w:styleId="511">
    <w:name w:val="style111"/>
    <w:autoRedefine/>
    <w:qFormat/>
    <w:uiPriority w:val="0"/>
    <w:rPr>
      <w:color w:val="333333"/>
      <w:sz w:val="21"/>
      <w:szCs w:val="21"/>
    </w:rPr>
  </w:style>
  <w:style w:type="character" w:customStyle="1" w:styleId="512">
    <w:name w:val="font"/>
    <w:basedOn w:val="90"/>
    <w:autoRedefine/>
    <w:qFormat/>
    <w:uiPriority w:val="0"/>
  </w:style>
  <w:style w:type="character" w:customStyle="1" w:styleId="513">
    <w:name w:val="hhcwt标题2 Char"/>
    <w:link w:val="514"/>
    <w:autoRedefine/>
    <w:qFormat/>
    <w:uiPriority w:val="0"/>
    <w:rPr>
      <w:rFonts w:eastAsia="黑体" w:cs="宋体"/>
      <w:sz w:val="32"/>
    </w:rPr>
  </w:style>
  <w:style w:type="paragraph" w:customStyle="1" w:styleId="514">
    <w:name w:val="hhcwt标题2"/>
    <w:basedOn w:val="1"/>
    <w:link w:val="513"/>
    <w:autoRedefine/>
    <w:qFormat/>
    <w:uiPriority w:val="0"/>
    <w:pPr>
      <w:keepNext/>
      <w:keepLines/>
      <w:spacing w:before="120" w:after="120" w:line="336" w:lineRule="auto"/>
      <w:outlineLvl w:val="1"/>
    </w:pPr>
    <w:rPr>
      <w:rFonts w:eastAsia="黑体"/>
      <w:kern w:val="0"/>
      <w:sz w:val="32"/>
      <w:szCs w:val="20"/>
      <w:lang w:val="zh-CN"/>
    </w:rPr>
  </w:style>
  <w:style w:type="character" w:customStyle="1" w:styleId="515">
    <w:name w:val="正文修改 Char14"/>
    <w:autoRedefine/>
    <w:qFormat/>
    <w:uiPriority w:val="0"/>
    <w:rPr>
      <w:rFonts w:ascii="宋体" w:cs="宋体"/>
      <w:sz w:val="24"/>
      <w:szCs w:val="24"/>
    </w:rPr>
  </w:style>
  <w:style w:type="character" w:customStyle="1" w:styleId="516">
    <w:name w:val="节 Char13"/>
    <w:autoRedefine/>
    <w:qFormat/>
    <w:uiPriority w:val="0"/>
    <w:rPr>
      <w:rFonts w:ascii="黑体" w:hAnsi="Arial" w:eastAsia="黑体"/>
      <w:bCs/>
      <w:kern w:val="2"/>
      <w:sz w:val="30"/>
      <w:szCs w:val="30"/>
      <w:lang w:val="en-US" w:eastAsia="zh-CN" w:bidi="ar-SA"/>
    </w:rPr>
  </w:style>
  <w:style w:type="character" w:customStyle="1" w:styleId="517">
    <w:name w:val="文档结构图 Char2"/>
    <w:autoRedefine/>
    <w:qFormat/>
    <w:uiPriority w:val="0"/>
    <w:rPr>
      <w:rFonts w:eastAsia="宋体"/>
      <w:kern w:val="2"/>
      <w:sz w:val="21"/>
      <w:szCs w:val="24"/>
      <w:shd w:val="clear" w:color="auto" w:fill="000080"/>
      <w:lang w:val="en-US" w:eastAsia="zh-CN" w:bidi="ar-SA"/>
    </w:rPr>
  </w:style>
  <w:style w:type="character" w:customStyle="1" w:styleId="518">
    <w:name w:val="正文缩进 Char41"/>
    <w:autoRedefine/>
    <w:qFormat/>
    <w:uiPriority w:val="0"/>
    <w:rPr>
      <w:rFonts w:ascii="宋体" w:hAnsi="宋体" w:eastAsia="宋体" w:cs="宋体"/>
      <w:color w:val="000000"/>
      <w:kern w:val="2"/>
      <w:sz w:val="24"/>
      <w:szCs w:val="24"/>
      <w:lang w:val="en-US" w:eastAsia="zh-CN" w:bidi="ar-SA"/>
    </w:rPr>
  </w:style>
  <w:style w:type="character" w:customStyle="1" w:styleId="519">
    <w:name w:val="Char Char45"/>
    <w:autoRedefine/>
    <w:qFormat/>
    <w:uiPriority w:val="0"/>
    <w:rPr>
      <w:rFonts w:ascii="仿宋_GB2312" w:eastAsia="仿宋_GB2312"/>
      <w:kern w:val="2"/>
      <w:sz w:val="18"/>
      <w:szCs w:val="18"/>
      <w:lang w:val="en-US" w:eastAsia="zh-CN" w:bidi="ar-SA"/>
    </w:rPr>
  </w:style>
  <w:style w:type="character" w:customStyle="1" w:styleId="520">
    <w:name w:val="td7"/>
    <w:autoRedefine/>
    <w:qFormat/>
    <w:uiPriority w:val="0"/>
    <w:rPr>
      <w:rFonts w:eastAsia="宋体"/>
      <w:kern w:val="2"/>
      <w:sz w:val="28"/>
      <w:szCs w:val="28"/>
      <w:lang w:val="en-US" w:eastAsia="zh-CN" w:bidi="ar-SA"/>
    </w:rPr>
  </w:style>
  <w:style w:type="character" w:customStyle="1" w:styleId="521">
    <w:name w:val="干标题(a) Char1"/>
    <w:autoRedefine/>
    <w:qFormat/>
    <w:locked/>
    <w:uiPriority w:val="0"/>
    <w:rPr>
      <w:rFonts w:ascii="Arial" w:hAnsi="Arial" w:eastAsia="黑体"/>
      <w:kern w:val="2"/>
      <w:sz w:val="24"/>
      <w:lang w:val="en-US" w:eastAsia="zh-CN" w:bidi="ar-SA"/>
    </w:rPr>
  </w:style>
  <w:style w:type="character" w:customStyle="1" w:styleId="522">
    <w:name w:val="未命名11"/>
    <w:autoRedefine/>
    <w:qFormat/>
    <w:uiPriority w:val="0"/>
    <w:rPr>
      <w:rFonts w:hint="eastAsia" w:ascii="宋体" w:hAnsi="宋体" w:eastAsia="宋体"/>
      <w:b/>
      <w:spacing w:val="10"/>
      <w:kern w:val="2"/>
      <w:sz w:val="18"/>
      <w:szCs w:val="18"/>
      <w:lang w:val="en-US" w:eastAsia="zh-CN" w:bidi="ar-SA"/>
    </w:rPr>
  </w:style>
  <w:style w:type="character" w:customStyle="1" w:styleId="523">
    <w:name w:val="高表单 Char Char"/>
    <w:autoRedefine/>
    <w:qFormat/>
    <w:uiPriority w:val="0"/>
    <w:rPr>
      <w:rFonts w:ascii="Arial" w:hAnsi="Arial" w:eastAsia="宋体"/>
      <w:kern w:val="2"/>
      <w:sz w:val="21"/>
      <w:szCs w:val="21"/>
      <w:lang w:val="en-US" w:eastAsia="zh-CN" w:bidi="ar-SA"/>
    </w:rPr>
  </w:style>
  <w:style w:type="character" w:customStyle="1" w:styleId="524">
    <w:name w:val="题注 Char21"/>
    <w:autoRedefine/>
    <w:qFormat/>
    <w:uiPriority w:val="0"/>
    <w:rPr>
      <w:rFonts w:ascii="黑体" w:hAnsi="Arial" w:eastAsia="黑体" w:cs="Arial"/>
      <w:b/>
      <w:spacing w:val="10"/>
      <w:sz w:val="24"/>
      <w:szCs w:val="24"/>
    </w:rPr>
  </w:style>
  <w:style w:type="character" w:customStyle="1" w:styleId="525">
    <w:name w:val="BOD 0 Char"/>
    <w:autoRedefine/>
    <w:qFormat/>
    <w:uiPriority w:val="0"/>
    <w:rPr>
      <w:rFonts w:eastAsia="宋体"/>
      <w:sz w:val="28"/>
      <w:lang w:val="en-US" w:eastAsia="zh-CN" w:bidi="ar-SA"/>
    </w:rPr>
  </w:style>
  <w:style w:type="character" w:customStyle="1" w:styleId="526">
    <w:name w:val="A2 Char"/>
    <w:link w:val="527"/>
    <w:autoRedefine/>
    <w:qFormat/>
    <w:uiPriority w:val="0"/>
    <w:rPr>
      <w:sz w:val="30"/>
      <w:szCs w:val="24"/>
    </w:rPr>
  </w:style>
  <w:style w:type="paragraph" w:customStyle="1" w:styleId="527">
    <w:name w:val="A2"/>
    <w:basedOn w:val="1"/>
    <w:link w:val="526"/>
    <w:autoRedefine/>
    <w:qFormat/>
    <w:uiPriority w:val="0"/>
    <w:pPr>
      <w:spacing w:line="360" w:lineRule="auto"/>
      <w:ind w:firstLine="570"/>
    </w:pPr>
    <w:rPr>
      <w:kern w:val="0"/>
      <w:sz w:val="30"/>
      <w:lang w:val="zh-CN"/>
    </w:rPr>
  </w:style>
  <w:style w:type="character" w:customStyle="1" w:styleId="528">
    <w:name w:val="HTS 1 Char"/>
    <w:autoRedefine/>
    <w:qFormat/>
    <w:uiPriority w:val="0"/>
    <w:rPr>
      <w:rFonts w:ascii="楷体_GB2312" w:eastAsia="楷体_GB2312"/>
      <w:b/>
      <w:kern w:val="44"/>
      <w:sz w:val="30"/>
      <w:lang w:val="en-US" w:eastAsia="zh-CN" w:bidi="ar-SA"/>
    </w:rPr>
  </w:style>
  <w:style w:type="character" w:customStyle="1" w:styleId="529">
    <w:name w:val="正文首行缩进 2 Char1"/>
    <w:autoRedefine/>
    <w:qFormat/>
    <w:uiPriority w:val="0"/>
    <w:rPr>
      <w:rFonts w:eastAsia="宋体"/>
      <w:kern w:val="2"/>
      <w:sz w:val="21"/>
      <w:szCs w:val="24"/>
      <w:lang w:val="en-US" w:eastAsia="zh-CN" w:bidi="ar-SA"/>
    </w:rPr>
  </w:style>
  <w:style w:type="character" w:customStyle="1" w:styleId="530">
    <w:name w:val="页码 Char"/>
    <w:autoRedefine/>
    <w:qFormat/>
    <w:uiPriority w:val="0"/>
    <w:rPr>
      <w:rFonts w:hint="eastAsia"/>
      <w:color w:val="000000"/>
      <w:sz w:val="21"/>
      <w:u w:color="000000"/>
      <w:lang w:val="en-US" w:eastAsia="zh-CN"/>
    </w:rPr>
  </w:style>
  <w:style w:type="character" w:customStyle="1" w:styleId="531">
    <w:name w:val="默认段落字体 Char"/>
    <w:autoRedefine/>
    <w:qFormat/>
    <w:uiPriority w:val="0"/>
    <w:rPr>
      <w:rFonts w:hint="eastAsia"/>
      <w:color w:val="000000"/>
      <w:sz w:val="21"/>
      <w:u w:color="000000"/>
      <w:lang w:val="en-US" w:eastAsia="zh-CN"/>
    </w:rPr>
  </w:style>
  <w:style w:type="character" w:customStyle="1" w:styleId="532">
    <w:name w:val="样式 标题 1h1H1PIM 1标书11.标题 1Section HeadHeader11st levell1...1 Char"/>
    <w:link w:val="533"/>
    <w:autoRedefine/>
    <w:qFormat/>
    <w:uiPriority w:val="0"/>
    <w:rPr>
      <w:rFonts w:eastAsia="黑体"/>
      <w:b/>
      <w:bCs/>
      <w:kern w:val="44"/>
      <w:sz w:val="30"/>
      <w:szCs w:val="44"/>
    </w:rPr>
  </w:style>
  <w:style w:type="paragraph" w:customStyle="1" w:styleId="533">
    <w:name w:val="样式 标题 1h1H1PIM 1标书11.标题 1Section HeadHeader11st levell1...1"/>
    <w:basedOn w:val="3"/>
    <w:link w:val="532"/>
    <w:autoRedefine/>
    <w:qFormat/>
    <w:uiPriority w:val="0"/>
    <w:pPr>
      <w:keepLines/>
      <w:overflowPunct/>
      <w:snapToGrid/>
      <w:spacing w:after="120" w:line="500" w:lineRule="exact"/>
      <w:ind w:left="0" w:firstLine="0"/>
    </w:pPr>
    <w:rPr>
      <w:color w:val="auto"/>
      <w:szCs w:val="44"/>
    </w:rPr>
  </w:style>
  <w:style w:type="character" w:customStyle="1" w:styleId="534">
    <w:name w:val="f_heading1"/>
    <w:basedOn w:val="90"/>
    <w:autoRedefine/>
    <w:qFormat/>
    <w:uiPriority w:val="0"/>
  </w:style>
  <w:style w:type="character" w:customStyle="1" w:styleId="535">
    <w:name w:val="正文修改 Char141"/>
    <w:autoRedefine/>
    <w:qFormat/>
    <w:uiPriority w:val="0"/>
    <w:rPr>
      <w:rFonts w:ascii="宋体" w:cs="宋体"/>
      <w:sz w:val="24"/>
      <w:szCs w:val="24"/>
    </w:rPr>
  </w:style>
  <w:style w:type="character" w:customStyle="1" w:styleId="536">
    <w:name w:val="第一层条 Char2"/>
    <w:autoRedefine/>
    <w:qFormat/>
    <w:uiPriority w:val="0"/>
    <w:rPr>
      <w:rFonts w:ascii="仿宋_GB2312" w:eastAsia="仿宋_GB2312"/>
      <w:b/>
      <w:kern w:val="2"/>
      <w:sz w:val="28"/>
      <w:lang w:val="en-US" w:eastAsia="zh-CN" w:bidi="ar-SA"/>
    </w:rPr>
  </w:style>
  <w:style w:type="character" w:customStyle="1" w:styleId="537">
    <w:name w:val="10f"/>
    <w:basedOn w:val="90"/>
    <w:autoRedefine/>
    <w:qFormat/>
    <w:uiPriority w:val="0"/>
  </w:style>
  <w:style w:type="character" w:customStyle="1" w:styleId="538">
    <w:name w:val="sfmq"/>
    <w:basedOn w:val="90"/>
    <w:autoRedefine/>
    <w:qFormat/>
    <w:uiPriority w:val="0"/>
  </w:style>
  <w:style w:type="character" w:customStyle="1" w:styleId="539">
    <w:name w:val="Char Char62"/>
    <w:link w:val="540"/>
    <w:autoRedefine/>
    <w:qFormat/>
    <w:locked/>
    <w:uiPriority w:val="0"/>
    <w:rPr>
      <w:rFonts w:ascii="Calibri" w:hAnsi="Calibri"/>
    </w:rPr>
  </w:style>
  <w:style w:type="paragraph" w:customStyle="1" w:styleId="540">
    <w:name w:val="Char5"/>
    <w:basedOn w:val="1"/>
    <w:link w:val="539"/>
    <w:autoRedefine/>
    <w:qFormat/>
    <w:uiPriority w:val="0"/>
    <w:pPr>
      <w:autoSpaceDE w:val="0"/>
      <w:autoSpaceDN w:val="0"/>
      <w:adjustRightInd w:val="0"/>
      <w:snapToGrid w:val="0"/>
      <w:spacing w:before="50" w:after="50" w:line="360" w:lineRule="auto"/>
      <w:ind w:firstLine="560" w:firstLineChars="200"/>
    </w:pPr>
    <w:rPr>
      <w:rFonts w:ascii="Calibri" w:hAnsi="Calibri"/>
      <w:kern w:val="0"/>
      <w:sz w:val="20"/>
      <w:szCs w:val="20"/>
      <w:lang w:val="zh-CN"/>
    </w:rPr>
  </w:style>
  <w:style w:type="character" w:customStyle="1" w:styleId="541">
    <w:name w:val="chen 正文字体 Char"/>
    <w:link w:val="542"/>
    <w:autoRedefine/>
    <w:qFormat/>
    <w:uiPriority w:val="0"/>
    <w:rPr>
      <w:rFonts w:ascii="宋体" w:hAnsi="宋体" w:cs="宋体"/>
      <w:b/>
      <w:color w:val="000000"/>
      <w:spacing w:val="10"/>
      <w:sz w:val="24"/>
      <w:szCs w:val="24"/>
    </w:rPr>
  </w:style>
  <w:style w:type="paragraph" w:customStyle="1" w:styleId="542">
    <w:name w:val="chen 正文字体"/>
    <w:basedOn w:val="1"/>
    <w:link w:val="541"/>
    <w:autoRedefine/>
    <w:qFormat/>
    <w:uiPriority w:val="0"/>
    <w:pPr>
      <w:spacing w:line="360" w:lineRule="auto"/>
      <w:ind w:firstLine="200" w:firstLineChars="200"/>
    </w:pPr>
    <w:rPr>
      <w:rFonts w:ascii="宋体" w:hAnsi="宋体"/>
      <w:b/>
      <w:color w:val="000000"/>
      <w:spacing w:val="10"/>
      <w:kern w:val="0"/>
      <w:sz w:val="24"/>
      <w:lang w:val="zh-CN"/>
    </w:rPr>
  </w:style>
  <w:style w:type="character" w:customStyle="1" w:styleId="543">
    <w:name w:val="表标题 Char"/>
    <w:link w:val="544"/>
    <w:autoRedefine/>
    <w:qFormat/>
    <w:locked/>
    <w:uiPriority w:val="0"/>
    <w:rPr>
      <w:rFonts w:ascii="仿宋_GB2312" w:eastAsia="仿宋_GB2312"/>
      <w:color w:val="000000"/>
      <w:sz w:val="24"/>
    </w:rPr>
  </w:style>
  <w:style w:type="paragraph" w:customStyle="1" w:styleId="544">
    <w:name w:val="表标题"/>
    <w:basedOn w:val="1"/>
    <w:link w:val="543"/>
    <w:autoRedefine/>
    <w:qFormat/>
    <w:uiPriority w:val="0"/>
    <w:pPr>
      <w:spacing w:line="312" w:lineRule="auto"/>
      <w:ind w:right="567"/>
      <w:jc w:val="center"/>
      <w:outlineLvl w:val="0"/>
    </w:pPr>
    <w:rPr>
      <w:rFonts w:ascii="仿宋_GB2312" w:eastAsia="仿宋_GB2312"/>
      <w:color w:val="000000"/>
      <w:kern w:val="0"/>
      <w:sz w:val="24"/>
      <w:szCs w:val="20"/>
      <w:lang w:val="zh-CN"/>
    </w:rPr>
  </w:style>
  <w:style w:type="character" w:customStyle="1" w:styleId="545">
    <w:name w:val="Char Char1121"/>
    <w:autoRedefine/>
    <w:qFormat/>
    <w:uiPriority w:val="0"/>
    <w:rPr>
      <w:rFonts w:ascii="黑体" w:hAnsi="Arial" w:eastAsia="黑体"/>
      <w:bCs/>
      <w:kern w:val="2"/>
      <w:sz w:val="30"/>
      <w:szCs w:val="30"/>
      <w:lang w:val="en-US" w:eastAsia="zh-CN" w:bidi="ar-SA"/>
    </w:rPr>
  </w:style>
  <w:style w:type="character" w:customStyle="1" w:styleId="546">
    <w:name w:val="标题 1 Char4"/>
    <w:autoRedefine/>
    <w:qFormat/>
    <w:uiPriority w:val="0"/>
    <w:rPr>
      <w:rFonts w:ascii="黑体" w:hAnsi="宋体" w:eastAsia="黑体"/>
      <w:b/>
      <w:bCs/>
      <w:kern w:val="44"/>
      <w:sz w:val="32"/>
      <w:szCs w:val="32"/>
      <w:lang w:val="en-US" w:eastAsia="zh-CN" w:bidi="ar-SA"/>
    </w:rPr>
  </w:style>
  <w:style w:type="character" w:customStyle="1" w:styleId="547">
    <w:name w:val="目标题 1) Char"/>
    <w:autoRedefine/>
    <w:qFormat/>
    <w:uiPriority w:val="0"/>
    <w:rPr>
      <w:rFonts w:ascii="Arial" w:hAnsi="Arial" w:eastAsia="黑体"/>
      <w:bCs/>
      <w:sz w:val="24"/>
      <w:lang w:val="en-US" w:eastAsia="zh-CN" w:bidi="ar-SA"/>
    </w:rPr>
  </w:style>
  <w:style w:type="character" w:customStyle="1" w:styleId="548">
    <w:name w:val="标题三 Char"/>
    <w:link w:val="549"/>
    <w:autoRedefine/>
    <w:qFormat/>
    <w:uiPriority w:val="0"/>
    <w:rPr>
      <w:b/>
      <w:sz w:val="30"/>
    </w:rPr>
  </w:style>
  <w:style w:type="paragraph" w:customStyle="1" w:styleId="549">
    <w:name w:val="标题三"/>
    <w:basedOn w:val="5"/>
    <w:link w:val="548"/>
    <w:autoRedefine/>
    <w:qFormat/>
    <w:uiPriority w:val="0"/>
    <w:pPr>
      <w:ind w:left="720" w:hanging="432"/>
    </w:pPr>
    <w:rPr>
      <w:bCs w:val="0"/>
      <w:kern w:val="0"/>
      <w:sz w:val="30"/>
      <w:szCs w:val="20"/>
    </w:rPr>
  </w:style>
  <w:style w:type="character" w:customStyle="1" w:styleId="550">
    <w:name w:val="标题 3 Char13"/>
    <w:autoRedefine/>
    <w:qFormat/>
    <w:uiPriority w:val="0"/>
    <w:rPr>
      <w:rFonts w:ascii="黑体" w:hAnsi="宋体" w:eastAsia="黑体"/>
      <w:b/>
      <w:bCs/>
      <w:kern w:val="2"/>
      <w:sz w:val="28"/>
      <w:szCs w:val="28"/>
      <w:lang w:val="en-US" w:eastAsia="zh-CN" w:bidi="ar-SA"/>
    </w:rPr>
  </w:style>
  <w:style w:type="character" w:customStyle="1" w:styleId="551">
    <w:name w:val="表题1 Char411"/>
    <w:autoRedefine/>
    <w:qFormat/>
    <w:uiPriority w:val="0"/>
    <w:rPr>
      <w:rFonts w:ascii="黑体" w:hAnsi="Arial" w:eastAsia="黑体" w:cs="Arial"/>
      <w:b/>
      <w:kern w:val="2"/>
      <w:sz w:val="24"/>
      <w:szCs w:val="24"/>
      <w:lang w:val="en-US" w:eastAsia="zh-CN" w:bidi="ar-SA"/>
    </w:rPr>
  </w:style>
  <w:style w:type="character" w:customStyle="1" w:styleId="552">
    <w:name w:val="图题 Char1"/>
    <w:autoRedefine/>
    <w:qFormat/>
    <w:uiPriority w:val="0"/>
    <w:rPr>
      <w:rFonts w:ascii="黑体" w:hAnsi="宋体" w:eastAsia="黑体" w:cs="宋体"/>
      <w:b/>
      <w:bCs/>
      <w:kern w:val="2"/>
      <w:sz w:val="24"/>
      <w:szCs w:val="24"/>
      <w:lang w:val="en-US" w:eastAsia="zh-CN" w:bidi="ar-SA"/>
    </w:rPr>
  </w:style>
  <w:style w:type="character" w:customStyle="1" w:styleId="553">
    <w:name w:val="正文  首行缩进: 2 字符 Char"/>
    <w:link w:val="554"/>
    <w:autoRedefine/>
    <w:qFormat/>
    <w:uiPriority w:val="0"/>
    <w:rPr>
      <w:rFonts w:ascii="Arial" w:hAnsi="Arial" w:cs="Arial"/>
      <w:sz w:val="24"/>
      <w:szCs w:val="24"/>
    </w:rPr>
  </w:style>
  <w:style w:type="paragraph" w:customStyle="1" w:styleId="554">
    <w:name w:val="正文  首行缩进: 2 字符"/>
    <w:basedOn w:val="1"/>
    <w:link w:val="553"/>
    <w:autoRedefine/>
    <w:qFormat/>
    <w:uiPriority w:val="0"/>
    <w:pPr>
      <w:snapToGrid w:val="0"/>
      <w:spacing w:line="360" w:lineRule="auto"/>
      <w:ind w:firstLine="480" w:firstLineChars="200"/>
    </w:pPr>
    <w:rPr>
      <w:rFonts w:ascii="Arial" w:hAnsi="Arial"/>
      <w:kern w:val="0"/>
      <w:sz w:val="24"/>
      <w:lang w:val="zh-CN"/>
    </w:rPr>
  </w:style>
  <w:style w:type="character" w:customStyle="1" w:styleId="555">
    <w:name w:val="Char Char5"/>
    <w:autoRedefine/>
    <w:qFormat/>
    <w:locked/>
    <w:uiPriority w:val="0"/>
    <w:rPr>
      <w:rFonts w:hint="eastAsia" w:ascii="仿宋_GB2312" w:hAnsi="Courier New" w:eastAsia="仿宋_GB2312"/>
      <w:b/>
      <w:bCs/>
      <w:sz w:val="28"/>
      <w:lang w:val="en-US" w:eastAsia="zh-CN" w:bidi="ar-SA"/>
    </w:rPr>
  </w:style>
  <w:style w:type="character" w:customStyle="1" w:styleId="556">
    <w:name w:val="hhcwt表头 Char Char"/>
    <w:link w:val="557"/>
    <w:autoRedefine/>
    <w:qFormat/>
    <w:uiPriority w:val="0"/>
    <w:rPr>
      <w:rFonts w:ascii="楷体_GB2312" w:eastAsia="楷体_GB2312" w:cs="宋体"/>
      <w:b/>
      <w:bCs/>
      <w:sz w:val="24"/>
    </w:rPr>
  </w:style>
  <w:style w:type="paragraph" w:customStyle="1" w:styleId="557">
    <w:name w:val="hhcwt表头"/>
    <w:basedOn w:val="1"/>
    <w:link w:val="556"/>
    <w:autoRedefine/>
    <w:qFormat/>
    <w:uiPriority w:val="0"/>
    <w:pPr>
      <w:spacing w:after="120" w:line="500" w:lineRule="exact"/>
      <w:jc w:val="center"/>
    </w:pPr>
    <w:rPr>
      <w:rFonts w:ascii="楷体_GB2312" w:eastAsia="楷体_GB2312"/>
      <w:b/>
      <w:bCs/>
      <w:kern w:val="0"/>
      <w:sz w:val="24"/>
      <w:szCs w:val="20"/>
      <w:lang w:val="zh-CN"/>
    </w:rPr>
  </w:style>
  <w:style w:type="character" w:customStyle="1" w:styleId="558">
    <w:name w:val="报告 Char Char Char Char"/>
    <w:link w:val="559"/>
    <w:autoRedefine/>
    <w:qFormat/>
    <w:uiPriority w:val="0"/>
    <w:rPr>
      <w:sz w:val="24"/>
      <w:szCs w:val="24"/>
    </w:rPr>
  </w:style>
  <w:style w:type="paragraph" w:customStyle="1" w:styleId="559">
    <w:name w:val="报告 Char Char Char"/>
    <w:basedOn w:val="1"/>
    <w:link w:val="558"/>
    <w:autoRedefine/>
    <w:qFormat/>
    <w:uiPriority w:val="0"/>
    <w:pPr>
      <w:adjustRightInd w:val="0"/>
      <w:spacing w:line="360" w:lineRule="auto"/>
      <w:ind w:firstLine="505"/>
      <w:textAlignment w:val="baseline"/>
    </w:pPr>
    <w:rPr>
      <w:kern w:val="0"/>
      <w:sz w:val="24"/>
      <w:lang w:val="zh-CN"/>
    </w:rPr>
  </w:style>
  <w:style w:type="character" w:customStyle="1" w:styleId="560">
    <w:name w:val="批注框文本 Char7"/>
    <w:autoRedefine/>
    <w:qFormat/>
    <w:uiPriority w:val="0"/>
    <w:rPr>
      <w:rFonts w:ascii="Times New Roman" w:hAnsi="Times New Roman" w:eastAsia="宋体" w:cs="Times New Roman"/>
      <w:kern w:val="2"/>
      <w:sz w:val="18"/>
      <w:szCs w:val="18"/>
      <w:lang w:val="en-US" w:eastAsia="zh-CN" w:bidi="ar-SA"/>
    </w:rPr>
  </w:style>
  <w:style w:type="character" w:customStyle="1" w:styleId="561">
    <w:name w:val="样式 报告书表格 + 字距调整二号 Char"/>
    <w:link w:val="562"/>
    <w:autoRedefine/>
    <w:qFormat/>
    <w:uiPriority w:val="0"/>
    <w:rPr>
      <w:rFonts w:eastAsia="仿宋_GB2312"/>
      <w:kern w:val="44"/>
      <w:szCs w:val="21"/>
    </w:rPr>
  </w:style>
  <w:style w:type="paragraph" w:customStyle="1" w:styleId="562">
    <w:name w:val="样式 报告书表格 + 字距调整二号"/>
    <w:basedOn w:val="321"/>
    <w:link w:val="561"/>
    <w:autoRedefine/>
    <w:qFormat/>
    <w:uiPriority w:val="0"/>
    <w:pPr>
      <w:spacing w:line="400" w:lineRule="exact"/>
    </w:pPr>
    <w:rPr>
      <w:rFonts w:eastAsia="仿宋_GB2312"/>
      <w:kern w:val="44"/>
      <w:szCs w:val="21"/>
      <w:lang w:val="zh-CN"/>
    </w:rPr>
  </w:style>
  <w:style w:type="character" w:customStyle="1" w:styleId="563">
    <w:name w:val="正文修改 Char121"/>
    <w:autoRedefine/>
    <w:qFormat/>
    <w:uiPriority w:val="0"/>
    <w:rPr>
      <w:rFonts w:ascii="宋体" w:hAnsi="宋体" w:eastAsia="宋体" w:cs="宋体"/>
      <w:color w:val="000000"/>
      <w:sz w:val="24"/>
      <w:szCs w:val="24"/>
    </w:rPr>
  </w:style>
  <w:style w:type="character" w:customStyle="1" w:styleId="564">
    <w:name w:val="表题 Char9"/>
    <w:autoRedefine/>
    <w:qFormat/>
    <w:uiPriority w:val="0"/>
    <w:rPr>
      <w:rFonts w:ascii="黑体" w:hAnsi="Arial" w:eastAsia="黑体" w:cs="Arial"/>
      <w:sz w:val="24"/>
      <w:szCs w:val="24"/>
    </w:rPr>
  </w:style>
  <w:style w:type="character" w:customStyle="1" w:styleId="565">
    <w:name w:val="font41"/>
    <w:autoRedefine/>
    <w:qFormat/>
    <w:uiPriority w:val="0"/>
    <w:rPr>
      <w:rFonts w:hint="default" w:ascii="Times New Roman" w:hAnsi="Times New Roman" w:cs="Times New Roman"/>
      <w:color w:val="000000"/>
      <w:sz w:val="21"/>
      <w:szCs w:val="21"/>
      <w:u w:val="none"/>
    </w:rPr>
  </w:style>
  <w:style w:type="character" w:customStyle="1" w:styleId="566">
    <w:name w:val="正文格式 Char21"/>
    <w:autoRedefine/>
    <w:qFormat/>
    <w:uiPriority w:val="0"/>
    <w:rPr>
      <w:rFonts w:ascii="宋体" w:hAnsi="宋体" w:eastAsia="宋体"/>
      <w:kern w:val="2"/>
      <w:sz w:val="24"/>
      <w:szCs w:val="24"/>
      <w:lang w:val="en-US" w:eastAsia="zh-CN" w:bidi="ar-SA"/>
    </w:rPr>
  </w:style>
  <w:style w:type="character" w:customStyle="1" w:styleId="567">
    <w:name w:val="Char Char621"/>
    <w:autoRedefine/>
    <w:qFormat/>
    <w:uiPriority w:val="0"/>
    <w:rPr>
      <w:rFonts w:ascii="黑体" w:eastAsia="黑体"/>
      <w:b/>
      <w:bCs/>
      <w:kern w:val="2"/>
      <w:sz w:val="28"/>
      <w:szCs w:val="28"/>
      <w:lang w:val="en-US" w:eastAsia="zh-CN" w:bidi="ar-SA"/>
    </w:rPr>
  </w:style>
  <w:style w:type="character" w:customStyle="1" w:styleId="568">
    <w:name w:val="批注主题 Char1"/>
    <w:autoRedefine/>
    <w:qFormat/>
    <w:locked/>
    <w:uiPriority w:val="0"/>
    <w:rPr>
      <w:rFonts w:ascii="Times New Roman" w:hAnsi="Times New Roman" w:cs="Times New Roman"/>
      <w:b/>
      <w:bCs/>
      <w:szCs w:val="24"/>
    </w:rPr>
  </w:style>
  <w:style w:type="character" w:customStyle="1" w:styleId="569">
    <w:name w:val="表题1 Char61"/>
    <w:autoRedefine/>
    <w:qFormat/>
    <w:uiPriority w:val="0"/>
    <w:rPr>
      <w:rFonts w:ascii="黑体" w:hAnsi="Arial" w:eastAsia="黑体" w:cs="Arial"/>
      <w:b/>
      <w:kern w:val="2"/>
      <w:sz w:val="24"/>
      <w:szCs w:val="24"/>
      <w:lang w:val="en-US" w:eastAsia="zh-CN" w:bidi="ar-SA"/>
    </w:rPr>
  </w:style>
  <w:style w:type="character" w:customStyle="1" w:styleId="570">
    <w:name w:val="a51"/>
    <w:autoRedefine/>
    <w:qFormat/>
    <w:uiPriority w:val="0"/>
    <w:rPr>
      <w:rFonts w:ascii="黑体" w:hAnsi="黑体" w:eastAsia="宋体"/>
      <w:b/>
      <w:color w:val="000000"/>
      <w:spacing w:val="10"/>
      <w:kern w:val="2"/>
      <w:sz w:val="21"/>
      <w:szCs w:val="21"/>
      <w:u w:val="none"/>
      <w:lang w:val="en-US" w:eastAsia="zh-CN" w:bidi="ar-SA"/>
    </w:rPr>
  </w:style>
  <w:style w:type="character" w:customStyle="1" w:styleId="571">
    <w:name w:val="common1"/>
    <w:autoRedefine/>
    <w:qFormat/>
    <w:uiPriority w:val="0"/>
    <w:rPr>
      <w:rFonts w:ascii="黑体" w:hAnsi="黑体" w:eastAsia="黑体"/>
      <w:b/>
      <w:spacing w:val="10"/>
      <w:kern w:val="44"/>
      <w:sz w:val="18"/>
      <w:szCs w:val="18"/>
      <w:lang w:val="en-US" w:eastAsia="zh-CN"/>
    </w:rPr>
  </w:style>
  <w:style w:type="character" w:customStyle="1" w:styleId="572">
    <w:name w:val="正文修改 Char1311"/>
    <w:autoRedefine/>
    <w:qFormat/>
    <w:uiPriority w:val="0"/>
    <w:rPr>
      <w:rFonts w:ascii="宋体" w:hAnsi="宋体" w:eastAsia="宋体" w:cs="宋体"/>
      <w:color w:val="000000"/>
      <w:sz w:val="24"/>
      <w:szCs w:val="24"/>
    </w:rPr>
  </w:style>
  <w:style w:type="character" w:customStyle="1" w:styleId="573">
    <w:name w:val="zhengwen1"/>
    <w:autoRedefine/>
    <w:qFormat/>
    <w:uiPriority w:val="0"/>
    <w:rPr>
      <w:rFonts w:eastAsia="宋体"/>
      <w:color w:val="333333"/>
      <w:kern w:val="2"/>
      <w:sz w:val="18"/>
      <w:szCs w:val="18"/>
      <w:u w:val="none"/>
      <w:lang w:val="en-US" w:eastAsia="zh-CN" w:bidi="ar-SA"/>
    </w:rPr>
  </w:style>
  <w:style w:type="character" w:customStyle="1" w:styleId="574">
    <w:name w:val="环评正文 Char3"/>
    <w:autoRedefine/>
    <w:qFormat/>
    <w:uiPriority w:val="0"/>
    <w:rPr>
      <w:rFonts w:ascii="Times New Roman" w:hAnsi="Times New Roman" w:eastAsia="宋体" w:cs="Times New Roman"/>
      <w:bCs/>
      <w:kern w:val="2"/>
      <w:sz w:val="24"/>
      <w:szCs w:val="24"/>
      <w:lang w:val="en-US" w:eastAsia="zh-CN" w:bidi="ar-SA"/>
    </w:rPr>
  </w:style>
  <w:style w:type="character" w:customStyle="1" w:styleId="575">
    <w:name w:val="环评正文 Char4"/>
    <w:autoRedefine/>
    <w:qFormat/>
    <w:uiPriority w:val="0"/>
    <w:rPr>
      <w:rFonts w:eastAsia="宋体"/>
      <w:bCs/>
      <w:kern w:val="2"/>
      <w:sz w:val="24"/>
      <w:szCs w:val="24"/>
      <w:lang w:val="en-US" w:eastAsia="zh-CN" w:bidi="ar-SA"/>
    </w:rPr>
  </w:style>
  <w:style w:type="character" w:customStyle="1" w:styleId="576">
    <w:name w:val="正文斜体 Char"/>
    <w:link w:val="577"/>
    <w:autoRedefine/>
    <w:qFormat/>
    <w:uiPriority w:val="0"/>
    <w:rPr>
      <w:rFonts w:ascii="宋体" w:hAnsi="宋体" w:cs="宋体"/>
      <w:b/>
      <w:i/>
      <w:iCs/>
      <w:spacing w:val="10"/>
      <w:sz w:val="24"/>
      <w:szCs w:val="24"/>
    </w:rPr>
  </w:style>
  <w:style w:type="paragraph" w:customStyle="1" w:styleId="577">
    <w:name w:val="正文斜体"/>
    <w:basedOn w:val="416"/>
    <w:next w:val="416"/>
    <w:link w:val="576"/>
    <w:autoRedefine/>
    <w:qFormat/>
    <w:uiPriority w:val="0"/>
    <w:rPr>
      <w:rFonts w:ascii="宋体" w:hAnsi="宋体"/>
      <w:i/>
      <w:iCs/>
      <w:sz w:val="24"/>
      <w:szCs w:val="24"/>
    </w:rPr>
  </w:style>
  <w:style w:type="character" w:customStyle="1" w:styleId="578">
    <w:name w:val="样式 标题 3标题 3 Char标题 3 Char Char Char Char Char Char Char Char C...5 Char Char"/>
    <w:autoRedefine/>
    <w:qFormat/>
    <w:uiPriority w:val="0"/>
    <w:rPr>
      <w:rFonts w:eastAsia="宋体"/>
      <w:kern w:val="2"/>
      <w:sz w:val="24"/>
      <w:szCs w:val="32"/>
      <w:lang w:val="en-US" w:eastAsia="zh-CN" w:bidi="ar-SA"/>
    </w:rPr>
  </w:style>
  <w:style w:type="character" w:customStyle="1" w:styleId="579">
    <w:name w:val="环表头 Char4"/>
    <w:autoRedefine/>
    <w:qFormat/>
    <w:uiPriority w:val="0"/>
    <w:rPr>
      <w:rFonts w:ascii="宋体" w:hAnsi="宋体" w:eastAsia="宋体" w:cs="Courier New"/>
      <w:b/>
      <w:color w:val="000000"/>
      <w:sz w:val="24"/>
      <w:lang w:val="en-US" w:eastAsia="zh-CN" w:bidi="ar-SA"/>
    </w:rPr>
  </w:style>
  <w:style w:type="character" w:customStyle="1" w:styleId="580">
    <w:name w:val="work4"/>
    <w:autoRedefine/>
    <w:qFormat/>
    <w:uiPriority w:val="0"/>
    <w:rPr>
      <w:sz w:val="18"/>
      <w:szCs w:val="18"/>
      <w:u w:val="none"/>
    </w:rPr>
  </w:style>
  <w:style w:type="character" w:customStyle="1" w:styleId="581">
    <w:name w:val="word2"/>
    <w:basedOn w:val="90"/>
    <w:autoRedefine/>
    <w:qFormat/>
    <w:uiPriority w:val="0"/>
  </w:style>
  <w:style w:type="character" w:customStyle="1" w:styleId="582">
    <w:name w:val="Char Char10"/>
    <w:autoRedefine/>
    <w:qFormat/>
    <w:uiPriority w:val="0"/>
    <w:rPr>
      <w:rFonts w:eastAsia="宋体"/>
      <w:kern w:val="2"/>
      <w:sz w:val="21"/>
      <w:lang w:val="en-US" w:eastAsia="zh-CN" w:bidi="ar-SA"/>
    </w:rPr>
  </w:style>
  <w:style w:type="character" w:customStyle="1" w:styleId="583">
    <w:name w:val="正文文本缩进 3 Char1"/>
    <w:autoRedefine/>
    <w:qFormat/>
    <w:uiPriority w:val="0"/>
    <w:rPr>
      <w:rFonts w:ascii="Times New Roman" w:hAnsi="Times New Roman"/>
      <w:kern w:val="2"/>
      <w:sz w:val="16"/>
      <w:szCs w:val="16"/>
    </w:rPr>
  </w:style>
  <w:style w:type="character" w:customStyle="1" w:styleId="584">
    <w:name w:val="llb11"/>
    <w:autoRedefine/>
    <w:qFormat/>
    <w:uiPriority w:val="0"/>
    <w:rPr>
      <w:color w:val="000000"/>
      <w:sz w:val="32"/>
      <w:szCs w:val="32"/>
      <w:u w:val="none"/>
    </w:rPr>
  </w:style>
  <w:style w:type="character" w:customStyle="1" w:styleId="585">
    <w:name w:val="searchlistcont1"/>
    <w:autoRedefine/>
    <w:qFormat/>
    <w:uiPriority w:val="0"/>
    <w:rPr>
      <w:rFonts w:hint="default" w:ascii="Arial" w:hAnsi="Arial" w:cs="Arial"/>
      <w:color w:val="000000"/>
      <w:spacing w:val="17"/>
      <w:sz w:val="20"/>
      <w:szCs w:val="20"/>
    </w:rPr>
  </w:style>
  <w:style w:type="character" w:customStyle="1" w:styleId="586">
    <w:name w:val="t150ab1"/>
    <w:autoRedefine/>
    <w:qFormat/>
    <w:uiPriority w:val="0"/>
    <w:rPr>
      <w:sz w:val="21"/>
    </w:rPr>
  </w:style>
  <w:style w:type="character" w:customStyle="1" w:styleId="587">
    <w:name w:val="正文文本缩进 2 Char2"/>
    <w:autoRedefine/>
    <w:qFormat/>
    <w:uiPriority w:val="0"/>
    <w:rPr>
      <w:rFonts w:ascii="Times New Roman" w:hAnsi="Times New Roman"/>
      <w:kern w:val="2"/>
      <w:sz w:val="21"/>
    </w:rPr>
  </w:style>
  <w:style w:type="character" w:customStyle="1" w:styleId="588">
    <w:name w:val="keyword1"/>
    <w:autoRedefine/>
    <w:qFormat/>
    <w:uiPriority w:val="0"/>
    <w:rPr>
      <w:color w:val="FF0000"/>
    </w:rPr>
  </w:style>
  <w:style w:type="character" w:customStyle="1" w:styleId="589">
    <w:name w:val="图表 Char"/>
    <w:link w:val="590"/>
    <w:autoRedefine/>
    <w:qFormat/>
    <w:uiPriority w:val="0"/>
    <w:rPr>
      <w:rFonts w:eastAsia="仿宋_GB2312"/>
      <w:b/>
      <w:kern w:val="2"/>
      <w:sz w:val="24"/>
      <w:szCs w:val="24"/>
      <w:lang w:val="en-US" w:eastAsia="zh-CN" w:bidi="ar-SA"/>
    </w:rPr>
  </w:style>
  <w:style w:type="paragraph" w:customStyle="1" w:styleId="590">
    <w:name w:val="图表"/>
    <w:link w:val="589"/>
    <w:autoRedefine/>
    <w:qFormat/>
    <w:uiPriority w:val="0"/>
    <w:pPr>
      <w:jc w:val="center"/>
    </w:pPr>
    <w:rPr>
      <w:rFonts w:ascii="Times New Roman" w:hAnsi="Times New Roman" w:eastAsia="仿宋_GB2312" w:cs="Times New Roman"/>
      <w:b/>
      <w:kern w:val="2"/>
      <w:sz w:val="24"/>
      <w:szCs w:val="24"/>
      <w:lang w:val="en-US" w:eastAsia="zh-CN" w:bidi="ar-SA"/>
    </w:rPr>
  </w:style>
  <w:style w:type="character" w:customStyle="1" w:styleId="591">
    <w:name w:val="s0s4w"/>
    <w:basedOn w:val="90"/>
    <w:autoRedefine/>
    <w:qFormat/>
    <w:uiPriority w:val="0"/>
  </w:style>
  <w:style w:type="character" w:customStyle="1" w:styleId="592">
    <w:name w:val="样式 (西文) 宋体 小四"/>
    <w:autoRedefine/>
    <w:qFormat/>
    <w:uiPriority w:val="0"/>
    <w:rPr>
      <w:rFonts w:ascii="宋体" w:hAnsi="宋体" w:eastAsia="宋体"/>
      <w:sz w:val="24"/>
      <w:szCs w:val="24"/>
    </w:rPr>
  </w:style>
  <w:style w:type="character" w:customStyle="1" w:styleId="593">
    <w:name w:val="正文修改 Char131"/>
    <w:autoRedefine/>
    <w:qFormat/>
    <w:uiPriority w:val="0"/>
    <w:rPr>
      <w:rFonts w:ascii="宋体" w:hAnsi="宋体" w:eastAsia="宋体" w:cs="宋体"/>
      <w:color w:val="000000"/>
      <w:sz w:val="24"/>
      <w:szCs w:val="24"/>
    </w:rPr>
  </w:style>
  <w:style w:type="character" w:customStyle="1" w:styleId="594">
    <w:name w:val="Char Char122"/>
    <w:autoRedefine/>
    <w:qFormat/>
    <w:uiPriority w:val="0"/>
    <w:rPr>
      <w:rFonts w:ascii="黑体" w:hAnsi="Arial" w:eastAsia="黑体"/>
      <w:b/>
      <w:bCs/>
      <w:kern w:val="2"/>
      <w:sz w:val="30"/>
      <w:szCs w:val="30"/>
      <w:lang w:val="en-US" w:eastAsia="zh-CN" w:bidi="ar-SA"/>
    </w:rPr>
  </w:style>
  <w:style w:type="character" w:customStyle="1" w:styleId="595">
    <w:name w:val="批注框文本 Char1"/>
    <w:autoRedefine/>
    <w:qFormat/>
    <w:uiPriority w:val="0"/>
    <w:rPr>
      <w:rFonts w:ascii="Calibri" w:hAnsi="Calibri" w:eastAsia="宋体" w:cs="Times New Roman"/>
      <w:sz w:val="18"/>
      <w:szCs w:val="18"/>
    </w:rPr>
  </w:style>
  <w:style w:type="character" w:customStyle="1" w:styleId="596">
    <w:name w:val="标题 3 Char15"/>
    <w:autoRedefine/>
    <w:qFormat/>
    <w:uiPriority w:val="0"/>
    <w:rPr>
      <w:rFonts w:hAnsi="宋体" w:eastAsia="宋体"/>
      <w:bCs/>
      <w:kern w:val="2"/>
      <w:sz w:val="28"/>
      <w:szCs w:val="28"/>
      <w:lang w:val="en-US" w:eastAsia="zh-CN" w:bidi="ar-SA"/>
    </w:rPr>
  </w:style>
  <w:style w:type="character" w:customStyle="1" w:styleId="597">
    <w:name w:val="31"/>
    <w:autoRedefine/>
    <w:qFormat/>
    <w:uiPriority w:val="0"/>
    <w:rPr>
      <w:color w:val="000000"/>
      <w:sz w:val="18"/>
      <w:szCs w:val="18"/>
      <w:u w:val="none"/>
    </w:rPr>
  </w:style>
  <w:style w:type="character" w:customStyle="1" w:styleId="598">
    <w:name w:val="正文斜体 Char11"/>
    <w:autoRedefine/>
    <w:qFormat/>
    <w:uiPriority w:val="0"/>
    <w:rPr>
      <w:rFonts w:ascii="宋体" w:hAnsi="宋体" w:cs="宋体"/>
      <w:b/>
      <w:i/>
      <w:iCs/>
      <w:spacing w:val="10"/>
      <w:sz w:val="24"/>
      <w:szCs w:val="24"/>
    </w:rPr>
  </w:style>
  <w:style w:type="character" w:customStyle="1" w:styleId="599">
    <w:name w:val="正文文本 3 Char2"/>
    <w:autoRedefine/>
    <w:qFormat/>
    <w:uiPriority w:val="0"/>
    <w:rPr>
      <w:rFonts w:eastAsia="宋体"/>
      <w:kern w:val="2"/>
      <w:sz w:val="16"/>
      <w:szCs w:val="16"/>
      <w:lang w:val="en-US" w:eastAsia="zh-CN" w:bidi="ar-SA"/>
    </w:rPr>
  </w:style>
  <w:style w:type="character" w:customStyle="1" w:styleId="600">
    <w:name w:val="正文格式 Char11"/>
    <w:autoRedefine/>
    <w:qFormat/>
    <w:uiPriority w:val="0"/>
    <w:rPr>
      <w:rFonts w:ascii="宋体" w:hAnsi="宋体" w:eastAsia="宋体"/>
      <w:kern w:val="2"/>
      <w:sz w:val="24"/>
      <w:szCs w:val="24"/>
      <w:lang w:val="en-US" w:eastAsia="zh-CN" w:bidi="ar-SA"/>
    </w:rPr>
  </w:style>
  <w:style w:type="character" w:customStyle="1" w:styleId="601">
    <w:name w:val="表格内容 Char2"/>
    <w:autoRedefine/>
    <w:qFormat/>
    <w:uiPriority w:val="0"/>
    <w:rPr>
      <w:rFonts w:eastAsia="宋体"/>
      <w:kern w:val="2"/>
      <w:sz w:val="21"/>
      <w:szCs w:val="21"/>
      <w:lang w:val="en-US" w:eastAsia="zh-CN" w:bidi="ar-SA"/>
    </w:rPr>
  </w:style>
  <w:style w:type="character" w:customStyle="1" w:styleId="602">
    <w:name w:val="正文B Char"/>
    <w:link w:val="603"/>
    <w:autoRedefine/>
    <w:qFormat/>
    <w:uiPriority w:val="0"/>
    <w:rPr>
      <w:rFonts w:ascii="宋体" w:hAnsi="宋体" w:eastAsia="楷体_GB2312"/>
      <w:spacing w:val="8"/>
      <w:sz w:val="28"/>
    </w:rPr>
  </w:style>
  <w:style w:type="paragraph" w:customStyle="1" w:styleId="603">
    <w:name w:val="正文B"/>
    <w:basedOn w:val="1"/>
    <w:link w:val="602"/>
    <w:autoRedefine/>
    <w:qFormat/>
    <w:uiPriority w:val="0"/>
    <w:pPr>
      <w:adjustRightInd w:val="0"/>
      <w:spacing w:line="390" w:lineRule="atLeast"/>
      <w:ind w:firstLine="601"/>
    </w:pPr>
    <w:rPr>
      <w:rFonts w:ascii="宋体" w:hAnsi="宋体" w:eastAsia="楷体_GB2312"/>
      <w:spacing w:val="8"/>
      <w:kern w:val="0"/>
      <w:sz w:val="28"/>
      <w:szCs w:val="20"/>
      <w:lang w:val="zh-CN"/>
    </w:rPr>
  </w:style>
  <w:style w:type="character" w:customStyle="1" w:styleId="604">
    <w:name w:val="环标2 Char1"/>
    <w:link w:val="605"/>
    <w:autoRedefine/>
    <w:qFormat/>
    <w:locked/>
    <w:uiPriority w:val="0"/>
    <w:rPr>
      <w:rFonts w:ascii="Cambria" w:hAnsi="Cambria"/>
      <w:b/>
      <w:bCs/>
      <w:sz w:val="32"/>
      <w:szCs w:val="32"/>
    </w:rPr>
  </w:style>
  <w:style w:type="paragraph" w:customStyle="1" w:styleId="605">
    <w:name w:val="环标2"/>
    <w:basedOn w:val="4"/>
    <w:link w:val="604"/>
    <w:autoRedefine/>
    <w:qFormat/>
    <w:uiPriority w:val="0"/>
  </w:style>
  <w:style w:type="character" w:customStyle="1" w:styleId="606">
    <w:name w:val="表格文本 Char Char"/>
    <w:link w:val="607"/>
    <w:autoRedefine/>
    <w:qFormat/>
    <w:uiPriority w:val="0"/>
    <w:rPr>
      <w:rFonts w:ascii="Arial" w:hAnsi="Arial"/>
      <w:szCs w:val="24"/>
    </w:rPr>
  </w:style>
  <w:style w:type="paragraph" w:customStyle="1" w:styleId="607">
    <w:name w:val="表格文本 Char"/>
    <w:basedOn w:val="1"/>
    <w:next w:val="1"/>
    <w:link w:val="606"/>
    <w:autoRedefine/>
    <w:qFormat/>
    <w:uiPriority w:val="0"/>
    <w:pPr>
      <w:spacing w:before="60" w:after="60" w:line="312" w:lineRule="auto"/>
      <w:jc w:val="center"/>
    </w:pPr>
    <w:rPr>
      <w:rFonts w:ascii="Arial" w:hAnsi="Arial"/>
      <w:kern w:val="0"/>
      <w:sz w:val="20"/>
      <w:lang w:val="zh-CN"/>
    </w:rPr>
  </w:style>
  <w:style w:type="character" w:customStyle="1" w:styleId="608">
    <w:name w:val="章节 Char5"/>
    <w:autoRedefine/>
    <w:qFormat/>
    <w:uiPriority w:val="0"/>
    <w:rPr>
      <w:rFonts w:ascii="楷体_GB2312" w:eastAsia="楷体_GB2312"/>
      <w:b/>
      <w:kern w:val="44"/>
      <w:sz w:val="30"/>
      <w:szCs w:val="24"/>
      <w:lang w:val="en-US" w:eastAsia="zh-CN" w:bidi="ar-SA"/>
    </w:rPr>
  </w:style>
  <w:style w:type="character" w:customStyle="1" w:styleId="609">
    <w:name w:val="Char Char4"/>
    <w:autoRedefine/>
    <w:qFormat/>
    <w:uiPriority w:val="0"/>
    <w:rPr>
      <w:rFonts w:ascii="仿宋_GB2312" w:eastAsia="仿宋_GB2312"/>
      <w:kern w:val="2"/>
      <w:sz w:val="18"/>
      <w:szCs w:val="18"/>
      <w:lang w:val="en-US" w:eastAsia="zh-CN" w:bidi="ar-SA"/>
    </w:rPr>
  </w:style>
  <w:style w:type="character" w:customStyle="1" w:styleId="610">
    <w:name w:val="paragragh1"/>
    <w:autoRedefine/>
    <w:qFormat/>
    <w:uiPriority w:val="0"/>
    <w:rPr>
      <w:color w:val="004040"/>
      <w:sz w:val="21"/>
      <w:szCs w:val="21"/>
    </w:rPr>
  </w:style>
  <w:style w:type="character" w:customStyle="1" w:styleId="611">
    <w:name w:val="表中文字 Char231"/>
    <w:autoRedefine/>
    <w:qFormat/>
    <w:uiPriority w:val="0"/>
    <w:rPr>
      <w:rFonts w:ascii="宋体" w:eastAsia="宋体"/>
      <w:kern w:val="2"/>
      <w:sz w:val="21"/>
      <w:szCs w:val="21"/>
      <w:lang w:val="en-US" w:eastAsia="zh-CN" w:bidi="ar-SA"/>
    </w:rPr>
  </w:style>
  <w:style w:type="character" w:customStyle="1" w:styleId="612">
    <w:name w:val="Char Char132"/>
    <w:autoRedefine/>
    <w:qFormat/>
    <w:uiPriority w:val="0"/>
    <w:rPr>
      <w:rFonts w:eastAsia="宋体"/>
      <w:kern w:val="2"/>
      <w:sz w:val="21"/>
      <w:lang w:val="en-US" w:eastAsia="zh-CN" w:bidi="ar-SA"/>
    </w:rPr>
  </w:style>
  <w:style w:type="character" w:customStyle="1" w:styleId="613">
    <w:name w:val="题注 Char52"/>
    <w:autoRedefine/>
    <w:qFormat/>
    <w:uiPriority w:val="0"/>
    <w:rPr>
      <w:rFonts w:ascii="黑体" w:hAnsi="Arial" w:eastAsia="黑体" w:cs="Arial"/>
      <w:b/>
      <w:spacing w:val="10"/>
      <w:sz w:val="24"/>
      <w:szCs w:val="24"/>
    </w:rPr>
  </w:style>
  <w:style w:type="character" w:customStyle="1" w:styleId="614">
    <w:name w:val="页脚 Char4"/>
    <w:autoRedefine/>
    <w:qFormat/>
    <w:uiPriority w:val="0"/>
    <w:rPr>
      <w:rFonts w:ascii="Times New Roman" w:hAnsi="Times New Roman" w:eastAsia="宋体" w:cs="Times New Roman"/>
      <w:kern w:val="2"/>
      <w:sz w:val="18"/>
      <w:szCs w:val="18"/>
      <w:lang w:val="en-US" w:eastAsia="zh-CN" w:bidi="ar-SA"/>
    </w:rPr>
  </w:style>
  <w:style w:type="character" w:customStyle="1" w:styleId="615">
    <w:name w:val="纯文本 Char3"/>
    <w:autoRedefine/>
    <w:qFormat/>
    <w:uiPriority w:val="0"/>
    <w:rPr>
      <w:rFonts w:ascii="宋体" w:hAnsi="Courier New" w:eastAsia="宋体" w:cs="Courier New"/>
      <w:kern w:val="2"/>
      <w:sz w:val="24"/>
      <w:szCs w:val="21"/>
      <w:lang w:val="en-US" w:eastAsia="zh-CN" w:bidi="ar-SA"/>
    </w:rPr>
  </w:style>
  <w:style w:type="character" w:customStyle="1" w:styleId="616">
    <w:name w:val="题注 Char41"/>
    <w:autoRedefine/>
    <w:qFormat/>
    <w:uiPriority w:val="0"/>
    <w:rPr>
      <w:rFonts w:ascii="黑体" w:hAnsi="Arial" w:eastAsia="黑体" w:cs="Arial"/>
      <w:b/>
      <w:kern w:val="2"/>
      <w:sz w:val="24"/>
      <w:szCs w:val="24"/>
      <w:lang w:val="en-US" w:eastAsia="zh-CN" w:bidi="ar-SA"/>
    </w:rPr>
  </w:style>
  <w:style w:type="character" w:customStyle="1" w:styleId="617">
    <w:name w:val="正文首行缩进 2 + Times New Roman Char"/>
    <w:autoRedefine/>
    <w:qFormat/>
    <w:locked/>
    <w:uiPriority w:val="0"/>
    <w:rPr>
      <w:rFonts w:ascii="黑体" w:hAnsi="宋体" w:eastAsia="宋体"/>
      <w:b/>
      <w:spacing w:val="10"/>
      <w:kern w:val="2"/>
      <w:sz w:val="24"/>
      <w:szCs w:val="24"/>
      <w:lang w:val="en-US" w:eastAsia="zh-CN" w:bidi="ar-SA"/>
    </w:rPr>
  </w:style>
  <w:style w:type="character" w:customStyle="1" w:styleId="618">
    <w:name w:val="font21"/>
    <w:autoRedefine/>
    <w:qFormat/>
    <w:uiPriority w:val="0"/>
    <w:rPr>
      <w:rFonts w:hint="default" w:ascii="Times New Roman" w:hAnsi="Times New Roman" w:cs="Times New Roman"/>
      <w:color w:val="000000"/>
      <w:sz w:val="21"/>
      <w:szCs w:val="21"/>
      <w:u w:val="none"/>
    </w:rPr>
  </w:style>
  <w:style w:type="character" w:customStyle="1" w:styleId="619">
    <w:name w:val="大纲正文 Char"/>
    <w:link w:val="620"/>
    <w:autoRedefine/>
    <w:qFormat/>
    <w:uiPriority w:val="0"/>
    <w:rPr>
      <w:sz w:val="24"/>
      <w:szCs w:val="24"/>
    </w:rPr>
  </w:style>
  <w:style w:type="paragraph" w:customStyle="1" w:styleId="620">
    <w:name w:val="大纲正文"/>
    <w:basedOn w:val="1"/>
    <w:link w:val="619"/>
    <w:autoRedefine/>
    <w:qFormat/>
    <w:uiPriority w:val="0"/>
    <w:pPr>
      <w:widowControl/>
      <w:adjustRightInd w:val="0"/>
      <w:snapToGrid w:val="0"/>
      <w:spacing w:afterLines="50" w:line="300" w:lineRule="auto"/>
      <w:ind w:firstLine="480" w:firstLineChars="200"/>
    </w:pPr>
    <w:rPr>
      <w:kern w:val="0"/>
      <w:sz w:val="24"/>
      <w:lang w:val="zh-CN"/>
    </w:rPr>
  </w:style>
  <w:style w:type="character" w:customStyle="1" w:styleId="621">
    <w:name w:val="河石1 Char14"/>
    <w:autoRedefine/>
    <w:qFormat/>
    <w:uiPriority w:val="0"/>
    <w:rPr>
      <w:rFonts w:ascii="黑体" w:hAnsi="宋体" w:eastAsia="黑体"/>
      <w:bCs/>
      <w:kern w:val="44"/>
      <w:sz w:val="32"/>
      <w:szCs w:val="32"/>
      <w:lang w:val="en-US" w:eastAsia="zh-CN" w:bidi="ar-SA"/>
    </w:rPr>
  </w:style>
  <w:style w:type="character" w:customStyle="1" w:styleId="622">
    <w:name w:val="标题1新 Char"/>
    <w:link w:val="623"/>
    <w:autoRedefine/>
    <w:qFormat/>
    <w:locked/>
    <w:uiPriority w:val="0"/>
    <w:rPr>
      <w:rFonts w:eastAsia="黑体"/>
      <w:sz w:val="32"/>
    </w:rPr>
  </w:style>
  <w:style w:type="paragraph" w:customStyle="1" w:styleId="623">
    <w:name w:val="标题1新"/>
    <w:basedOn w:val="1"/>
    <w:link w:val="622"/>
    <w:autoRedefine/>
    <w:qFormat/>
    <w:uiPriority w:val="0"/>
    <w:pPr>
      <w:spacing w:line="900" w:lineRule="exact"/>
      <w:jc w:val="center"/>
      <w:outlineLvl w:val="0"/>
    </w:pPr>
    <w:rPr>
      <w:rFonts w:eastAsia="黑体"/>
      <w:kern w:val="0"/>
      <w:sz w:val="32"/>
      <w:szCs w:val="20"/>
      <w:lang w:val="zh-CN"/>
    </w:rPr>
  </w:style>
  <w:style w:type="character" w:customStyle="1" w:styleId="624">
    <w:name w:val="标题 5 Char1"/>
    <w:autoRedefine/>
    <w:qFormat/>
    <w:uiPriority w:val="0"/>
    <w:rPr>
      <w:b/>
      <w:bCs/>
      <w:kern w:val="2"/>
      <w:sz w:val="28"/>
      <w:szCs w:val="28"/>
    </w:rPr>
  </w:style>
  <w:style w:type="character" w:customStyle="1" w:styleId="625">
    <w:name w:val="Char Char93"/>
    <w:autoRedefine/>
    <w:qFormat/>
    <w:uiPriority w:val="0"/>
    <w:rPr>
      <w:rFonts w:eastAsia="宋体"/>
      <w:kern w:val="2"/>
      <w:sz w:val="18"/>
      <w:szCs w:val="18"/>
      <w:lang w:val="en-US" w:eastAsia="zh-CN" w:bidi="ar-SA"/>
    </w:rPr>
  </w:style>
  <w:style w:type="character" w:customStyle="1" w:styleId="626">
    <w:name w:val="search_content1"/>
    <w:autoRedefine/>
    <w:qFormat/>
    <w:uiPriority w:val="0"/>
    <w:rPr>
      <w:sz w:val="20"/>
      <w:szCs w:val="20"/>
    </w:rPr>
  </w:style>
  <w:style w:type="character" w:customStyle="1" w:styleId="627">
    <w:name w:val="特点标题 Char Char"/>
    <w:autoRedefine/>
    <w:qFormat/>
    <w:uiPriority w:val="0"/>
    <w:rPr>
      <w:rFonts w:ascii="仿宋_GB2312" w:hAnsi="Courier New" w:eastAsia="仿宋_GB2312"/>
      <w:sz w:val="28"/>
      <w:lang w:val="en-US" w:eastAsia="zh-CN" w:bidi="ar-SA"/>
    </w:rPr>
  </w:style>
  <w:style w:type="character" w:customStyle="1" w:styleId="628">
    <w:name w:val="表题1 Char31"/>
    <w:autoRedefine/>
    <w:qFormat/>
    <w:uiPriority w:val="0"/>
    <w:rPr>
      <w:rFonts w:ascii="黑体" w:hAnsi="Arial" w:eastAsia="黑体" w:cs="Arial"/>
      <w:b/>
      <w:kern w:val="2"/>
      <w:sz w:val="24"/>
      <w:szCs w:val="24"/>
      <w:lang w:val="en-US" w:eastAsia="zh-CN" w:bidi="ar-SA"/>
    </w:rPr>
  </w:style>
  <w:style w:type="character" w:customStyle="1" w:styleId="629">
    <w:name w:val="Char Char24"/>
    <w:autoRedefine/>
    <w:qFormat/>
    <w:uiPriority w:val="0"/>
    <w:rPr>
      <w:rFonts w:ascii="Arial" w:hAnsi="Arial" w:eastAsia="宋体" w:cs="Arial"/>
      <w:b/>
      <w:bCs/>
      <w:kern w:val="2"/>
      <w:sz w:val="36"/>
      <w:szCs w:val="32"/>
      <w:lang w:val="en-US" w:eastAsia="zh-CN" w:bidi="ar-SA"/>
    </w:rPr>
  </w:style>
  <w:style w:type="character" w:customStyle="1" w:styleId="630">
    <w:name w:val="正文修改 Char124"/>
    <w:autoRedefine/>
    <w:qFormat/>
    <w:uiPriority w:val="0"/>
    <w:rPr>
      <w:rFonts w:hAnsi="宋体"/>
      <w:color w:val="000000"/>
    </w:rPr>
  </w:style>
  <w:style w:type="character" w:customStyle="1" w:styleId="631">
    <w:name w:val="正文修改 Char1211"/>
    <w:autoRedefine/>
    <w:qFormat/>
    <w:uiPriority w:val="0"/>
    <w:rPr>
      <w:rFonts w:ascii="宋体" w:hAnsi="宋体" w:eastAsia="宋体" w:cs="宋体"/>
      <w:color w:val="000000"/>
      <w:sz w:val="24"/>
      <w:szCs w:val="24"/>
    </w:rPr>
  </w:style>
  <w:style w:type="character" w:customStyle="1" w:styleId="632">
    <w:name w:val="标题 3 Char3"/>
    <w:autoRedefine/>
    <w:qFormat/>
    <w:uiPriority w:val="0"/>
    <w:rPr>
      <w:rFonts w:ascii="黑体" w:hAnsi="宋体" w:eastAsia="黑体"/>
      <w:b/>
      <w:bCs/>
      <w:kern w:val="2"/>
      <w:sz w:val="28"/>
      <w:szCs w:val="28"/>
      <w:lang w:val="en-US" w:eastAsia="zh-CN" w:bidi="ar-SA"/>
    </w:rPr>
  </w:style>
  <w:style w:type="character" w:customStyle="1" w:styleId="633">
    <w:name w:val="表中文字 Char28"/>
    <w:autoRedefine/>
    <w:qFormat/>
    <w:uiPriority w:val="0"/>
    <w:rPr>
      <w:rFonts w:ascii="宋体" w:eastAsia="宋体"/>
      <w:kern w:val="2"/>
      <w:sz w:val="21"/>
      <w:szCs w:val="21"/>
      <w:lang w:val="en-US" w:eastAsia="zh-CN" w:bidi="ar-SA"/>
    </w:rPr>
  </w:style>
  <w:style w:type="character" w:customStyle="1" w:styleId="634">
    <w:name w:val="标题正文黑 Char11"/>
    <w:autoRedefine/>
    <w:qFormat/>
    <w:uiPriority w:val="0"/>
    <w:rPr>
      <w:rFonts w:ascii="黑体" w:eastAsia="黑体"/>
      <w:kern w:val="2"/>
      <w:sz w:val="28"/>
      <w:szCs w:val="28"/>
      <w:lang w:val="en-US" w:eastAsia="zh-CN" w:bidi="ar-SA"/>
    </w:rPr>
  </w:style>
  <w:style w:type="character" w:customStyle="1" w:styleId="635">
    <w:name w:val="标题 2 Char31"/>
    <w:autoRedefine/>
    <w:qFormat/>
    <w:uiPriority w:val="0"/>
    <w:rPr>
      <w:rFonts w:ascii="黑体" w:hAnsi="Arial" w:eastAsia="黑体"/>
      <w:bCs/>
      <w:kern w:val="2"/>
      <w:sz w:val="30"/>
      <w:szCs w:val="30"/>
      <w:lang w:val="en-US" w:eastAsia="zh-CN" w:bidi="ar-SA"/>
    </w:rPr>
  </w:style>
  <w:style w:type="character" w:customStyle="1" w:styleId="636">
    <w:name w:val="样式 表格内字体 + Char4"/>
    <w:autoRedefine/>
    <w:qFormat/>
    <w:uiPriority w:val="0"/>
    <w:rPr>
      <w:rFonts w:ascii="宋体" w:hAnsi="宋体"/>
      <w:szCs w:val="24"/>
    </w:rPr>
  </w:style>
  <w:style w:type="character" w:customStyle="1" w:styleId="637">
    <w:name w:val="福建正文缩进 Char2"/>
    <w:autoRedefine/>
    <w:qFormat/>
    <w:uiPriority w:val="0"/>
    <w:rPr>
      <w:rFonts w:ascii="宋体" w:hAnsi="宋体" w:eastAsia="宋体" w:cs="宋体"/>
      <w:color w:val="000000"/>
      <w:kern w:val="2"/>
      <w:sz w:val="24"/>
      <w:szCs w:val="24"/>
      <w:lang w:val="en-US" w:eastAsia="zh-CN" w:bidi="ar-SA"/>
    </w:rPr>
  </w:style>
  <w:style w:type="character" w:customStyle="1" w:styleId="638">
    <w:name w:val="正文缩进4"/>
    <w:autoRedefine/>
    <w:qFormat/>
    <w:uiPriority w:val="0"/>
    <w:rPr>
      <w:rFonts w:ascii="仿宋_GB2312" w:eastAsia="仿宋_GB2312"/>
      <w:kern w:val="2"/>
      <w:sz w:val="28"/>
      <w:lang w:val="en-US" w:eastAsia="zh-CN"/>
    </w:rPr>
  </w:style>
  <w:style w:type="character" w:customStyle="1" w:styleId="639">
    <w:name w:val="soqzabs"/>
    <w:basedOn w:val="90"/>
    <w:autoRedefine/>
    <w:qFormat/>
    <w:uiPriority w:val="0"/>
  </w:style>
  <w:style w:type="character" w:customStyle="1" w:styleId="640">
    <w:name w:val="燕山正文 Char111"/>
    <w:autoRedefine/>
    <w:qFormat/>
    <w:uiPriority w:val="0"/>
    <w:rPr>
      <w:rFonts w:ascii="宋体" w:eastAsia="宋体" w:cs="宋体"/>
      <w:kern w:val="2"/>
      <w:sz w:val="24"/>
      <w:szCs w:val="24"/>
      <w:lang w:val="en-US" w:eastAsia="zh-CN" w:bidi="ar-SA"/>
    </w:rPr>
  </w:style>
  <w:style w:type="character" w:customStyle="1" w:styleId="641">
    <w:name w:val="表格1 Char"/>
    <w:link w:val="642"/>
    <w:autoRedefine/>
    <w:qFormat/>
    <w:uiPriority w:val="0"/>
    <w:rPr>
      <w:rFonts w:ascii="仿宋_GB2312" w:eastAsia="仿宋_GB2312"/>
      <w:sz w:val="24"/>
    </w:rPr>
  </w:style>
  <w:style w:type="paragraph" w:customStyle="1" w:styleId="642">
    <w:name w:val="表格1"/>
    <w:basedOn w:val="1"/>
    <w:link w:val="641"/>
    <w:autoRedefine/>
    <w:qFormat/>
    <w:uiPriority w:val="0"/>
    <w:pPr>
      <w:snapToGrid w:val="0"/>
      <w:spacing w:line="320" w:lineRule="atLeast"/>
      <w:jc w:val="center"/>
    </w:pPr>
    <w:rPr>
      <w:rFonts w:ascii="仿宋_GB2312" w:eastAsia="仿宋_GB2312"/>
      <w:kern w:val="0"/>
      <w:sz w:val="24"/>
      <w:szCs w:val="20"/>
      <w:lang w:val="zh-CN"/>
    </w:rPr>
  </w:style>
  <w:style w:type="character" w:customStyle="1" w:styleId="643">
    <w:name w:val="表中文字 Char5"/>
    <w:autoRedefine/>
    <w:qFormat/>
    <w:uiPriority w:val="0"/>
    <w:rPr>
      <w:rFonts w:ascii="Arial" w:hAnsi="Arial" w:eastAsia="宋体"/>
      <w:kern w:val="2"/>
      <w:sz w:val="24"/>
      <w:szCs w:val="24"/>
      <w:lang w:val="en-US" w:eastAsia="zh-TW" w:bidi="ar-SA"/>
    </w:rPr>
  </w:style>
  <w:style w:type="character" w:customStyle="1" w:styleId="644">
    <w:name w:val="正文文本缩进 2 Char3"/>
    <w:autoRedefine/>
    <w:qFormat/>
    <w:uiPriority w:val="0"/>
    <w:rPr>
      <w:rFonts w:ascii="Times New Roman" w:hAnsi="Times New Roman" w:eastAsia="宋体" w:cs="Times New Roman"/>
      <w:kern w:val="2"/>
      <w:sz w:val="24"/>
      <w:szCs w:val="24"/>
      <w:lang w:val="en-US" w:eastAsia="zh-CN" w:bidi="ar-SA"/>
    </w:rPr>
  </w:style>
  <w:style w:type="character" w:customStyle="1" w:styleId="645">
    <w:name w:val="正文缩进 Char7"/>
    <w:autoRedefine/>
    <w:qFormat/>
    <w:uiPriority w:val="0"/>
    <w:rPr>
      <w:rFonts w:ascii="宋体" w:hAnsi="宋体" w:eastAsia="宋体"/>
      <w:kern w:val="2"/>
      <w:sz w:val="24"/>
      <w:szCs w:val="24"/>
      <w:lang w:val="en-US" w:eastAsia="zh-CN" w:bidi="ar-SA"/>
    </w:rPr>
  </w:style>
  <w:style w:type="character" w:customStyle="1" w:styleId="646">
    <w:name w:val="s8h0t"/>
    <w:basedOn w:val="90"/>
    <w:autoRedefine/>
    <w:qFormat/>
    <w:uiPriority w:val="0"/>
  </w:style>
  <w:style w:type="character" w:customStyle="1" w:styleId="647">
    <w:name w:val="注 Char3"/>
    <w:autoRedefine/>
    <w:qFormat/>
    <w:uiPriority w:val="0"/>
    <w:rPr>
      <w:rFonts w:ascii="Arial" w:hAnsi="Arial" w:eastAsia="黑体"/>
      <w:kern w:val="2"/>
      <w:sz w:val="24"/>
      <w:szCs w:val="24"/>
      <w:lang w:val="en-US" w:eastAsia="zh-CN" w:bidi="ar-SA"/>
    </w:rPr>
  </w:style>
  <w:style w:type="character" w:customStyle="1" w:styleId="648">
    <w:name w:val="正文格式 Char9"/>
    <w:autoRedefine/>
    <w:qFormat/>
    <w:uiPriority w:val="0"/>
    <w:rPr>
      <w:rFonts w:ascii="宋体" w:hAnsi="宋体" w:eastAsia="宋体"/>
      <w:kern w:val="2"/>
      <w:sz w:val="24"/>
      <w:szCs w:val="24"/>
      <w:lang w:val="en-US" w:eastAsia="zh-CN" w:bidi="ar-SA"/>
    </w:rPr>
  </w:style>
  <w:style w:type="character" w:customStyle="1" w:styleId="649">
    <w:name w:val="正文（首行缩进两字） Char Char1 Char Char Char Cha"/>
    <w:autoRedefine/>
    <w:qFormat/>
    <w:uiPriority w:val="0"/>
    <w:rPr>
      <w:rFonts w:ascii="仿宋_GB2312" w:eastAsia="仿宋_GB2312"/>
      <w:color w:val="000000"/>
      <w:kern w:val="2"/>
      <w:sz w:val="28"/>
      <w:szCs w:val="24"/>
      <w:lang w:val="en-US" w:eastAsia="zh-CN" w:bidi="ar-SA"/>
    </w:rPr>
  </w:style>
  <w:style w:type="character" w:customStyle="1" w:styleId="650">
    <w:name w:val="main14"/>
    <w:basedOn w:val="90"/>
    <w:autoRedefine/>
    <w:qFormat/>
    <w:uiPriority w:val="0"/>
  </w:style>
  <w:style w:type="character" w:customStyle="1" w:styleId="651">
    <w:name w:val="Char Char1111"/>
    <w:autoRedefine/>
    <w:qFormat/>
    <w:uiPriority w:val="0"/>
    <w:rPr>
      <w:rFonts w:ascii="黑体" w:hAnsi="Arial" w:eastAsia="黑体"/>
      <w:bCs/>
      <w:kern w:val="2"/>
      <w:sz w:val="30"/>
      <w:szCs w:val="30"/>
      <w:lang w:val="en-US" w:eastAsia="zh-CN" w:bidi="ar-SA"/>
    </w:rPr>
  </w:style>
  <w:style w:type="character" w:customStyle="1" w:styleId="652">
    <w:name w:val="正文格式 Char10"/>
    <w:autoRedefine/>
    <w:qFormat/>
    <w:uiPriority w:val="0"/>
    <w:rPr>
      <w:rFonts w:ascii="宋体" w:hAnsi="宋体" w:eastAsia="宋体"/>
      <w:kern w:val="2"/>
      <w:sz w:val="24"/>
      <w:szCs w:val="24"/>
      <w:lang w:val="en-US" w:eastAsia="zh-CN" w:bidi="ar-SA"/>
    </w:rPr>
  </w:style>
  <w:style w:type="character" w:customStyle="1" w:styleId="653">
    <w:name w:val="批注框文本 Char3"/>
    <w:autoRedefine/>
    <w:qFormat/>
    <w:uiPriority w:val="0"/>
    <w:rPr>
      <w:rFonts w:ascii="Times New Roman" w:hAnsi="Times New Roman" w:eastAsia="宋体" w:cs="Times New Roman"/>
      <w:kern w:val="2"/>
      <w:sz w:val="18"/>
      <w:szCs w:val="18"/>
      <w:lang w:val="en-US" w:eastAsia="zh-CN" w:bidi="ar-SA"/>
    </w:rPr>
  </w:style>
  <w:style w:type="character" w:customStyle="1" w:styleId="654">
    <w:name w:val="章节 Char4"/>
    <w:autoRedefine/>
    <w:qFormat/>
    <w:uiPriority w:val="0"/>
    <w:rPr>
      <w:rFonts w:ascii="楷体_GB2312" w:eastAsia="楷体_GB2312"/>
      <w:b/>
      <w:kern w:val="44"/>
      <w:sz w:val="30"/>
      <w:lang w:val="en-US" w:eastAsia="zh-CN" w:bidi="ar-SA"/>
    </w:rPr>
  </w:style>
  <w:style w:type="character" w:customStyle="1" w:styleId="655">
    <w:name w:val="st1"/>
    <w:basedOn w:val="90"/>
    <w:autoRedefine/>
    <w:qFormat/>
    <w:uiPriority w:val="0"/>
  </w:style>
  <w:style w:type="character" w:customStyle="1" w:styleId="656">
    <w:name w:val="newstxt"/>
    <w:basedOn w:val="90"/>
    <w:autoRedefine/>
    <w:qFormat/>
    <w:uiPriority w:val="0"/>
  </w:style>
  <w:style w:type="character" w:customStyle="1" w:styleId="657">
    <w:name w:val="s11"/>
    <w:autoRedefine/>
    <w:qFormat/>
    <w:uiPriority w:val="0"/>
    <w:rPr>
      <w:color w:val="000000"/>
      <w:sz w:val="20"/>
      <w:szCs w:val="20"/>
      <w:u w:val="none"/>
    </w:rPr>
  </w:style>
  <w:style w:type="character" w:customStyle="1" w:styleId="658">
    <w:name w:val="hhcwt表格内文字 Char"/>
    <w:link w:val="659"/>
    <w:autoRedefine/>
    <w:qFormat/>
    <w:uiPriority w:val="0"/>
    <w:rPr>
      <w:rFonts w:eastAsia="仿宋_GB2312" w:cs="宋体"/>
      <w:szCs w:val="21"/>
    </w:rPr>
  </w:style>
  <w:style w:type="paragraph" w:customStyle="1" w:styleId="659">
    <w:name w:val="hhcwt表格内文字"/>
    <w:basedOn w:val="1"/>
    <w:link w:val="658"/>
    <w:autoRedefine/>
    <w:qFormat/>
    <w:uiPriority w:val="0"/>
    <w:pPr>
      <w:jc w:val="center"/>
    </w:pPr>
    <w:rPr>
      <w:rFonts w:eastAsia="仿宋_GB2312"/>
      <w:kern w:val="0"/>
      <w:sz w:val="20"/>
      <w:szCs w:val="21"/>
      <w:lang w:val="zh-CN"/>
    </w:rPr>
  </w:style>
  <w:style w:type="character" w:customStyle="1" w:styleId="660">
    <w:name w:val="正文修改 Char1"/>
    <w:link w:val="661"/>
    <w:autoRedefine/>
    <w:qFormat/>
    <w:uiPriority w:val="0"/>
    <w:rPr>
      <w:rFonts w:ascii="宋体" w:hAnsi="宋体" w:cs="宋体"/>
      <w:color w:val="000000"/>
      <w:sz w:val="24"/>
      <w:szCs w:val="24"/>
    </w:rPr>
  </w:style>
  <w:style w:type="paragraph" w:customStyle="1" w:styleId="661">
    <w:name w:val="正文修改"/>
    <w:basedOn w:val="192"/>
    <w:link w:val="660"/>
    <w:autoRedefine/>
    <w:qFormat/>
    <w:uiPriority w:val="0"/>
    <w:rPr>
      <w:rFonts w:hAnsi="宋体"/>
      <w:color w:val="000000"/>
    </w:rPr>
  </w:style>
  <w:style w:type="character" w:customStyle="1" w:styleId="662">
    <w:name w:val="样式 表内小5 + 黑体 加粗 倾斜 下划线 Char5"/>
    <w:autoRedefine/>
    <w:qFormat/>
    <w:uiPriority w:val="0"/>
    <w:rPr>
      <w:rFonts w:ascii="黑体" w:hAnsi="黑体" w:eastAsia="黑体"/>
      <w:b/>
      <w:bCs/>
      <w:i/>
      <w:iCs/>
      <w:kern w:val="2"/>
      <w:sz w:val="18"/>
      <w:szCs w:val="24"/>
      <w:u w:val="single"/>
      <w:lang w:val="en-US" w:eastAsia="zh-CN" w:bidi="ar-SA"/>
    </w:rPr>
  </w:style>
  <w:style w:type="character" w:customStyle="1" w:styleId="663">
    <w:name w:val="环表头 Char1"/>
    <w:autoRedefine/>
    <w:qFormat/>
    <w:uiPriority w:val="0"/>
    <w:rPr>
      <w:rFonts w:ascii="黑体" w:hAnsi="宋体" w:eastAsia="黑体" w:cs="Courier New"/>
      <w:color w:val="000000"/>
      <w:sz w:val="24"/>
      <w:szCs w:val="24"/>
      <w:lang w:val="en-US" w:eastAsia="zh-CN" w:bidi="ar-SA"/>
    </w:rPr>
  </w:style>
  <w:style w:type="character" w:customStyle="1" w:styleId="664">
    <w:name w:val="style11"/>
    <w:autoRedefine/>
    <w:qFormat/>
    <w:uiPriority w:val="0"/>
    <w:rPr>
      <w:b/>
      <w:bCs/>
      <w:color w:val="000080"/>
      <w:sz w:val="30"/>
      <w:szCs w:val="30"/>
    </w:rPr>
  </w:style>
  <w:style w:type="character" w:customStyle="1" w:styleId="665">
    <w:name w:val="样式 表内小5 + 黑体 加粗 倾斜 下划线 Char51"/>
    <w:autoRedefine/>
    <w:qFormat/>
    <w:uiPriority w:val="0"/>
    <w:rPr>
      <w:rFonts w:ascii="黑体" w:hAnsi="黑体" w:eastAsia="黑体"/>
      <w:b/>
      <w:bCs/>
      <w:i/>
      <w:iCs/>
      <w:kern w:val="2"/>
      <w:sz w:val="18"/>
      <w:szCs w:val="24"/>
      <w:u w:val="single"/>
      <w:lang w:val="en-US" w:eastAsia="zh-CN" w:bidi="ar-SA"/>
    </w:rPr>
  </w:style>
  <w:style w:type="character" w:customStyle="1" w:styleId="666">
    <w:name w:val="正文修改 Char13"/>
    <w:autoRedefine/>
    <w:qFormat/>
    <w:uiPriority w:val="0"/>
    <w:rPr>
      <w:rFonts w:ascii="宋体" w:hAnsi="宋体" w:eastAsia="宋体" w:cs="宋体"/>
      <w:color w:val="000000"/>
      <w:sz w:val="24"/>
      <w:szCs w:val="24"/>
    </w:rPr>
  </w:style>
  <w:style w:type="character" w:customStyle="1" w:styleId="667">
    <w:name w:val="td11"/>
    <w:autoRedefine/>
    <w:qFormat/>
    <w:uiPriority w:val="0"/>
    <w:rPr>
      <w:sz w:val="20"/>
      <w:szCs w:val="20"/>
    </w:rPr>
  </w:style>
  <w:style w:type="character" w:customStyle="1" w:styleId="668">
    <w:name w:val="正文格式 Char7"/>
    <w:autoRedefine/>
    <w:qFormat/>
    <w:uiPriority w:val="0"/>
    <w:rPr>
      <w:rFonts w:ascii="宋体" w:hAnsi="宋体" w:eastAsia="宋体"/>
      <w:kern w:val="2"/>
      <w:sz w:val="24"/>
      <w:szCs w:val="24"/>
      <w:lang w:val="en-US" w:eastAsia="zh-CN" w:bidi="ar-SA"/>
    </w:rPr>
  </w:style>
  <w:style w:type="character" w:customStyle="1" w:styleId="669">
    <w:name w:val="sppkvsc"/>
    <w:basedOn w:val="90"/>
    <w:autoRedefine/>
    <w:qFormat/>
    <w:uiPriority w:val="0"/>
  </w:style>
  <w:style w:type="character" w:customStyle="1" w:styleId="670">
    <w:name w:val="正文文本缩进 Char3"/>
    <w:autoRedefine/>
    <w:qFormat/>
    <w:uiPriority w:val="0"/>
    <w:rPr>
      <w:rFonts w:ascii="宋体" w:hAnsi="宋体" w:eastAsia="宋体" w:cs="宋体"/>
      <w:color w:val="000000"/>
      <w:kern w:val="2"/>
      <w:sz w:val="24"/>
      <w:szCs w:val="24"/>
      <w:lang w:val="en-US" w:eastAsia="zh-CN" w:bidi="ar-SA"/>
    </w:rPr>
  </w:style>
  <w:style w:type="character" w:customStyle="1" w:styleId="671">
    <w:name w:val="页眉 Char1"/>
    <w:autoRedefine/>
    <w:qFormat/>
    <w:uiPriority w:val="0"/>
    <w:rPr>
      <w:rFonts w:ascii="Calibri" w:hAnsi="Calibri" w:eastAsia="宋体" w:cs="Times New Roman"/>
      <w:sz w:val="18"/>
      <w:szCs w:val="18"/>
    </w:rPr>
  </w:style>
  <w:style w:type="character" w:customStyle="1" w:styleId="672">
    <w:name w:val="正文文字缩进 Char"/>
    <w:autoRedefine/>
    <w:qFormat/>
    <w:uiPriority w:val="0"/>
    <w:rPr>
      <w:rFonts w:eastAsia="宋体"/>
      <w:kern w:val="2"/>
      <w:sz w:val="28"/>
      <w:lang w:val="en-US" w:eastAsia="zh-CN"/>
    </w:rPr>
  </w:style>
  <w:style w:type="character" w:customStyle="1" w:styleId="673">
    <w:name w:val="Char Char21"/>
    <w:autoRedefine/>
    <w:qFormat/>
    <w:uiPriority w:val="0"/>
    <w:rPr>
      <w:rFonts w:hint="default" w:ascii="Arial" w:hAnsi="Arial" w:eastAsia="黑体" w:cs="Arial"/>
      <w:kern w:val="2"/>
      <w:sz w:val="21"/>
      <w:szCs w:val="21"/>
      <w:lang w:val="en-US" w:eastAsia="zh-CN" w:bidi="ar-SA"/>
    </w:rPr>
  </w:style>
  <w:style w:type="character" w:customStyle="1" w:styleId="674">
    <w:name w:val="表中文字 Char4"/>
    <w:autoRedefine/>
    <w:qFormat/>
    <w:uiPriority w:val="0"/>
    <w:rPr>
      <w:rFonts w:ascii="Arial" w:hAnsi="Arial" w:eastAsia="宋体" w:cs="Times New Roman"/>
      <w:kern w:val="0"/>
      <w:sz w:val="20"/>
      <w:szCs w:val="24"/>
      <w:lang w:val="en-US" w:eastAsia="zh-TW" w:bidi="ar-SA"/>
    </w:rPr>
  </w:style>
  <w:style w:type="character" w:customStyle="1" w:styleId="675">
    <w:name w:val="zisiblack2"/>
    <w:basedOn w:val="90"/>
    <w:autoRedefine/>
    <w:qFormat/>
    <w:uiPriority w:val="0"/>
  </w:style>
  <w:style w:type="character" w:customStyle="1" w:styleId="676">
    <w:name w:val="si16"/>
    <w:basedOn w:val="90"/>
    <w:autoRedefine/>
    <w:qFormat/>
    <w:uiPriority w:val="0"/>
  </w:style>
  <w:style w:type="character" w:customStyle="1" w:styleId="677">
    <w:name w:val="msonormal"/>
    <w:basedOn w:val="90"/>
    <w:autoRedefine/>
    <w:qFormat/>
    <w:uiPriority w:val="0"/>
  </w:style>
  <w:style w:type="character" w:customStyle="1" w:styleId="678">
    <w:name w:val="题注 Char511"/>
    <w:autoRedefine/>
    <w:qFormat/>
    <w:uiPriority w:val="0"/>
    <w:rPr>
      <w:rFonts w:ascii="黑体" w:hAnsi="Arial" w:eastAsia="黑体" w:cs="Arial"/>
      <w:b/>
      <w:spacing w:val="10"/>
      <w:sz w:val="24"/>
      <w:szCs w:val="24"/>
    </w:rPr>
  </w:style>
  <w:style w:type="character" w:customStyle="1" w:styleId="679">
    <w:name w:val="question-title2"/>
    <w:basedOn w:val="90"/>
    <w:autoRedefine/>
    <w:qFormat/>
    <w:uiPriority w:val="0"/>
  </w:style>
  <w:style w:type="character" w:customStyle="1" w:styleId="680">
    <w:name w:val="正文修改 Char142"/>
    <w:autoRedefine/>
    <w:qFormat/>
    <w:uiPriority w:val="0"/>
    <w:rPr>
      <w:rFonts w:ascii="宋体" w:cs="宋体"/>
      <w:sz w:val="24"/>
      <w:szCs w:val="24"/>
    </w:rPr>
  </w:style>
  <w:style w:type="character" w:customStyle="1" w:styleId="681">
    <w:name w:val="gb21"/>
    <w:autoRedefine/>
    <w:qFormat/>
    <w:uiPriority w:val="0"/>
    <w:rPr>
      <w:spacing w:val="360"/>
      <w:sz w:val="18"/>
      <w:szCs w:val="18"/>
    </w:rPr>
  </w:style>
  <w:style w:type="character" w:customStyle="1" w:styleId="682">
    <w:name w:val="题注 Char311"/>
    <w:autoRedefine/>
    <w:qFormat/>
    <w:uiPriority w:val="0"/>
    <w:rPr>
      <w:rFonts w:ascii="黑体" w:hAnsi="Arial" w:eastAsia="黑体" w:cs="Arial"/>
      <w:b/>
      <w:spacing w:val="10"/>
      <w:sz w:val="24"/>
      <w:szCs w:val="24"/>
    </w:rPr>
  </w:style>
  <w:style w:type="character" w:customStyle="1" w:styleId="683">
    <w:name w:val="标题 3 Char14"/>
    <w:autoRedefine/>
    <w:qFormat/>
    <w:uiPriority w:val="0"/>
    <w:rPr>
      <w:rFonts w:ascii="黑体" w:hAnsi="宋体" w:eastAsia="黑体" w:cs="Times New Roman"/>
      <w:b/>
      <w:bCs/>
      <w:kern w:val="2"/>
      <w:sz w:val="28"/>
      <w:szCs w:val="28"/>
      <w:lang w:val="en-US" w:eastAsia="zh-CN" w:bidi="ar-SA"/>
    </w:rPr>
  </w:style>
  <w:style w:type="character" w:customStyle="1" w:styleId="684">
    <w:name w:val="sgiivq"/>
    <w:basedOn w:val="90"/>
    <w:autoRedefine/>
    <w:qFormat/>
    <w:uiPriority w:val="0"/>
  </w:style>
  <w:style w:type="character" w:customStyle="1" w:styleId="685">
    <w:name w:val="正文修改 Char152"/>
    <w:autoRedefine/>
    <w:qFormat/>
    <w:uiPriority w:val="0"/>
    <w:rPr>
      <w:rFonts w:ascii="宋体" w:hAnsi="宋体" w:eastAsia="宋体" w:cs="宋体"/>
      <w:color w:val="000000"/>
      <w:sz w:val="24"/>
      <w:szCs w:val="24"/>
    </w:rPr>
  </w:style>
  <w:style w:type="character" w:customStyle="1" w:styleId="686">
    <w:name w:val="12"/>
    <w:basedOn w:val="90"/>
    <w:autoRedefine/>
    <w:qFormat/>
    <w:uiPriority w:val="0"/>
  </w:style>
  <w:style w:type="character" w:customStyle="1" w:styleId="687">
    <w:name w:val="表中文字 Char27"/>
    <w:autoRedefine/>
    <w:qFormat/>
    <w:uiPriority w:val="0"/>
    <w:rPr>
      <w:rFonts w:ascii="宋体" w:hAnsi="Times New Roman" w:eastAsia="宋体" w:cs="Times New Roman"/>
      <w:kern w:val="0"/>
      <w:sz w:val="24"/>
      <w:szCs w:val="21"/>
      <w:lang w:val="en-US" w:eastAsia="zh-CN" w:bidi="ar-SA"/>
    </w:rPr>
  </w:style>
  <w:style w:type="character" w:customStyle="1" w:styleId="688">
    <w:name w:val="正文文本 3 Char3"/>
    <w:autoRedefine/>
    <w:qFormat/>
    <w:uiPriority w:val="0"/>
    <w:rPr>
      <w:rFonts w:ascii="Times New Roman" w:hAnsi="Times New Roman" w:eastAsia="宋体" w:cs="Times New Roman"/>
      <w:kern w:val="2"/>
      <w:sz w:val="16"/>
      <w:szCs w:val="16"/>
      <w:lang w:val="en-US" w:eastAsia="zh-CN" w:bidi="ar-SA"/>
    </w:rPr>
  </w:style>
  <w:style w:type="character" w:customStyle="1" w:styleId="689">
    <w:name w:val="word131"/>
    <w:autoRedefine/>
    <w:qFormat/>
    <w:uiPriority w:val="0"/>
    <w:rPr>
      <w:rFonts w:hint="default" w:ascii="ˎ̥" w:hAnsi="ˎ̥"/>
      <w:color w:val="000000"/>
      <w:sz w:val="20"/>
      <w:szCs w:val="20"/>
      <w:u w:val="none"/>
    </w:rPr>
  </w:style>
  <w:style w:type="character" w:customStyle="1" w:styleId="690">
    <w:name w:val="表蕊 Char1"/>
    <w:link w:val="691"/>
    <w:autoRedefine/>
    <w:qFormat/>
    <w:uiPriority w:val="0"/>
    <w:rPr>
      <w:spacing w:val="8"/>
      <w:szCs w:val="24"/>
    </w:rPr>
  </w:style>
  <w:style w:type="paragraph" w:customStyle="1" w:styleId="691">
    <w:name w:val="表蕊"/>
    <w:basedOn w:val="1"/>
    <w:link w:val="690"/>
    <w:autoRedefine/>
    <w:qFormat/>
    <w:uiPriority w:val="0"/>
    <w:pPr>
      <w:spacing w:line="320" w:lineRule="exact"/>
      <w:jc w:val="center"/>
    </w:pPr>
    <w:rPr>
      <w:spacing w:val="8"/>
      <w:kern w:val="0"/>
      <w:sz w:val="20"/>
      <w:lang w:val="zh-CN"/>
    </w:rPr>
  </w:style>
  <w:style w:type="character" w:customStyle="1" w:styleId="692">
    <w:name w:val="Char Char611"/>
    <w:autoRedefine/>
    <w:qFormat/>
    <w:uiPriority w:val="0"/>
    <w:rPr>
      <w:rFonts w:ascii="黑体" w:eastAsia="黑体"/>
      <w:b/>
      <w:bCs/>
      <w:kern w:val="2"/>
      <w:sz w:val="28"/>
      <w:szCs w:val="28"/>
      <w:lang w:val="en-US" w:eastAsia="zh-CN" w:bidi="ar-SA"/>
    </w:rPr>
  </w:style>
  <w:style w:type="character" w:customStyle="1" w:styleId="693">
    <w:name w:val="标题 3 Char91"/>
    <w:autoRedefine/>
    <w:qFormat/>
    <w:uiPriority w:val="0"/>
    <w:rPr>
      <w:rFonts w:ascii="黑体" w:hAnsi="宋体" w:eastAsia="黑体" w:cs="Times New Roman"/>
      <w:b/>
      <w:bCs/>
      <w:kern w:val="2"/>
      <w:sz w:val="28"/>
      <w:szCs w:val="28"/>
      <w:lang w:val="en-US" w:eastAsia="zh-CN" w:bidi="ar-SA"/>
    </w:rPr>
  </w:style>
  <w:style w:type="character" w:customStyle="1" w:styleId="694">
    <w:name w:val="环表头 Char6"/>
    <w:autoRedefine/>
    <w:qFormat/>
    <w:uiPriority w:val="0"/>
    <w:rPr>
      <w:rFonts w:ascii="宋体" w:hAnsi="宋体" w:eastAsia="宋体" w:cs="Courier New"/>
      <w:b/>
      <w:color w:val="000000"/>
      <w:kern w:val="2"/>
      <w:sz w:val="24"/>
      <w:szCs w:val="21"/>
      <w:lang w:val="en-US" w:eastAsia="zh-CN" w:bidi="ar-SA"/>
    </w:rPr>
  </w:style>
  <w:style w:type="character" w:customStyle="1" w:styleId="695">
    <w:name w:val="样式 标题 4 + 图案: 清除 (白色)1 Char"/>
    <w:autoRedefine/>
    <w:qFormat/>
    <w:uiPriority w:val="0"/>
    <w:rPr>
      <w:rFonts w:ascii="Arial Narrow" w:hAnsi="Arial Narrow" w:eastAsia="仿宋_GB2312"/>
      <w:kern w:val="2"/>
      <w:sz w:val="24"/>
      <w:szCs w:val="28"/>
      <w:shd w:val="clear" w:color="auto" w:fill="FFFFFF"/>
      <w:lang w:val="en-US" w:eastAsia="zh-CN" w:bidi="ar-SA"/>
    </w:rPr>
  </w:style>
  <w:style w:type="character" w:customStyle="1" w:styleId="696">
    <w:name w:val="表格标题新 Char Char"/>
    <w:autoRedefine/>
    <w:qFormat/>
    <w:uiPriority w:val="0"/>
    <w:rPr>
      <w:rFonts w:ascii="宋体" w:hAnsi="宋体" w:eastAsia="宋体"/>
      <w:b/>
      <w:snapToGrid w:val="0"/>
      <w:spacing w:val="10"/>
      <w:sz w:val="24"/>
      <w:szCs w:val="24"/>
    </w:rPr>
  </w:style>
  <w:style w:type="character" w:customStyle="1" w:styleId="697">
    <w:name w:val="环评正文 Char2"/>
    <w:autoRedefine/>
    <w:qFormat/>
    <w:uiPriority w:val="0"/>
    <w:rPr>
      <w:rFonts w:eastAsia="宋体"/>
      <w:bCs/>
      <w:kern w:val="2"/>
      <w:sz w:val="24"/>
      <w:szCs w:val="24"/>
      <w:lang w:val="en-US" w:eastAsia="zh-CN" w:bidi="ar-SA"/>
    </w:rPr>
  </w:style>
  <w:style w:type="character" w:customStyle="1" w:styleId="698">
    <w:name w:val="款标题1.1.1.1 Char Char"/>
    <w:autoRedefine/>
    <w:qFormat/>
    <w:uiPriority w:val="0"/>
    <w:rPr>
      <w:rFonts w:ascii="Arial" w:hAnsi="Arial" w:eastAsia="黑体"/>
      <w:b/>
      <w:bCs/>
      <w:sz w:val="28"/>
      <w:szCs w:val="28"/>
      <w:lang w:val="en-US" w:eastAsia="zh-CN" w:bidi="ar-SA"/>
    </w:rPr>
  </w:style>
  <w:style w:type="character" w:customStyle="1" w:styleId="699">
    <w:name w:val="样式 样式 宋体 小四 行距: 多倍行距 1.4 字行2 + 黑色 Char"/>
    <w:link w:val="700"/>
    <w:autoRedefine/>
    <w:qFormat/>
    <w:uiPriority w:val="0"/>
    <w:rPr>
      <w:rFonts w:cs="宋体"/>
      <w:b/>
      <w:color w:val="000000"/>
      <w:spacing w:val="10"/>
    </w:rPr>
  </w:style>
  <w:style w:type="paragraph" w:customStyle="1" w:styleId="700">
    <w:name w:val="样式 样式 宋体 小四 行距: 多倍行距 1.4 字行2 + 黑色"/>
    <w:basedOn w:val="1"/>
    <w:link w:val="699"/>
    <w:autoRedefine/>
    <w:qFormat/>
    <w:uiPriority w:val="0"/>
    <w:pPr>
      <w:spacing w:line="336" w:lineRule="auto"/>
      <w:ind w:firstLine="480" w:firstLineChars="200"/>
    </w:pPr>
    <w:rPr>
      <w:b/>
      <w:color w:val="000000"/>
      <w:spacing w:val="10"/>
      <w:kern w:val="0"/>
      <w:sz w:val="20"/>
      <w:szCs w:val="20"/>
      <w:lang w:val="zh-CN"/>
    </w:rPr>
  </w:style>
  <w:style w:type="character" w:customStyle="1" w:styleId="701">
    <w:name w:val="black1"/>
    <w:autoRedefine/>
    <w:qFormat/>
    <w:uiPriority w:val="0"/>
    <w:rPr>
      <w:rFonts w:ascii="黑体" w:hAnsi="黑体" w:eastAsia="宋体"/>
      <w:b/>
      <w:color w:val="000000"/>
      <w:spacing w:val="10"/>
      <w:kern w:val="2"/>
      <w:sz w:val="18"/>
      <w:szCs w:val="18"/>
      <w:u w:val="none"/>
      <w:lang w:val="en-US" w:eastAsia="zh-CN" w:bidi="ar-SA"/>
    </w:rPr>
  </w:style>
  <w:style w:type="character" w:customStyle="1" w:styleId="702">
    <w:name w:val="样式 表格内字体 + Char11"/>
    <w:autoRedefine/>
    <w:qFormat/>
    <w:uiPriority w:val="0"/>
    <w:rPr>
      <w:rFonts w:ascii="宋体" w:hAnsi="宋体"/>
      <w:szCs w:val="24"/>
    </w:rPr>
  </w:style>
  <w:style w:type="character" w:customStyle="1" w:styleId="703">
    <w:name w:val="txt21"/>
    <w:autoRedefine/>
    <w:qFormat/>
    <w:uiPriority w:val="0"/>
    <w:rPr>
      <w:color w:val="000066"/>
      <w:sz w:val="18"/>
      <w:szCs w:val="18"/>
    </w:rPr>
  </w:style>
  <w:style w:type="character" w:customStyle="1" w:styleId="704">
    <w:name w:val="表中文字 Char3"/>
    <w:autoRedefine/>
    <w:qFormat/>
    <w:uiPriority w:val="0"/>
    <w:rPr>
      <w:rFonts w:ascii="Arial" w:hAnsi="Arial" w:eastAsia="宋体"/>
      <w:kern w:val="2"/>
      <w:sz w:val="24"/>
      <w:szCs w:val="24"/>
      <w:lang w:val="en-US" w:eastAsia="zh-TW" w:bidi="ar-SA"/>
    </w:rPr>
  </w:style>
  <w:style w:type="character" w:customStyle="1" w:styleId="705">
    <w:name w:val="A正文 Char1"/>
    <w:autoRedefine/>
    <w:qFormat/>
    <w:uiPriority w:val="0"/>
    <w:rPr>
      <w:rFonts w:eastAsia="仿宋_GB2312"/>
      <w:kern w:val="2"/>
      <w:sz w:val="24"/>
      <w:szCs w:val="24"/>
      <w:lang w:val="en-US" w:eastAsia="zh-CN" w:bidi="ar-SA"/>
    </w:rPr>
  </w:style>
  <w:style w:type="character" w:customStyle="1" w:styleId="706">
    <w:name w:val="Char Char115"/>
    <w:autoRedefine/>
    <w:qFormat/>
    <w:uiPriority w:val="0"/>
    <w:rPr>
      <w:rFonts w:ascii="黑体" w:hAnsi="Arial" w:eastAsia="黑体"/>
      <w:bCs/>
      <w:kern w:val="2"/>
      <w:sz w:val="30"/>
      <w:szCs w:val="30"/>
      <w:lang w:val="en-US" w:eastAsia="zh-CN" w:bidi="ar-SA"/>
    </w:rPr>
  </w:style>
  <w:style w:type="character" w:customStyle="1" w:styleId="707">
    <w:name w:val="news_c_da1"/>
    <w:autoRedefine/>
    <w:qFormat/>
    <w:uiPriority w:val="0"/>
    <w:rPr>
      <w:rFonts w:hint="default" w:ascii="ˎ̥" w:hAnsi="ˎ̥"/>
      <w:b/>
      <w:bCs/>
      <w:color w:val="000000"/>
      <w:sz w:val="24"/>
      <w:szCs w:val="24"/>
    </w:rPr>
  </w:style>
  <w:style w:type="character" w:customStyle="1" w:styleId="708">
    <w:name w:val="表题1 Char43"/>
    <w:autoRedefine/>
    <w:qFormat/>
    <w:uiPriority w:val="0"/>
    <w:rPr>
      <w:rFonts w:ascii="黑体" w:hAnsi="Arial" w:eastAsia="黑体" w:cs="Arial"/>
      <w:b/>
      <w:kern w:val="2"/>
      <w:sz w:val="24"/>
      <w:szCs w:val="24"/>
      <w:lang w:val="en-US" w:eastAsia="zh-CN" w:bidi="ar-SA"/>
    </w:rPr>
  </w:style>
  <w:style w:type="character" w:customStyle="1" w:styleId="709">
    <w:name w:val="newstitle1"/>
    <w:autoRedefine/>
    <w:qFormat/>
    <w:uiPriority w:val="0"/>
    <w:rPr>
      <w:b/>
      <w:bCs/>
      <w:color w:val="444444"/>
      <w:sz w:val="24"/>
      <w:szCs w:val="24"/>
    </w:rPr>
  </w:style>
  <w:style w:type="character" w:customStyle="1" w:styleId="710">
    <w:name w:val="表格 Char1"/>
    <w:autoRedefine/>
    <w:qFormat/>
    <w:uiPriority w:val="0"/>
    <w:rPr>
      <w:rFonts w:eastAsia="仿宋_GB2312"/>
      <w:kern w:val="2"/>
      <w:sz w:val="21"/>
      <w:szCs w:val="24"/>
    </w:rPr>
  </w:style>
  <w:style w:type="character" w:customStyle="1" w:styleId="711">
    <w:name w:val="Char Char16"/>
    <w:autoRedefine/>
    <w:qFormat/>
    <w:locked/>
    <w:uiPriority w:val="0"/>
    <w:rPr>
      <w:rFonts w:ascii="Times New Roman" w:hAnsi="Times New Roman" w:cs="Times New Roman"/>
      <w:szCs w:val="24"/>
    </w:rPr>
  </w:style>
  <w:style w:type="character" w:customStyle="1" w:styleId="712">
    <w:name w:val="表头 Char Char"/>
    <w:autoRedefine/>
    <w:qFormat/>
    <w:uiPriority w:val="0"/>
    <w:rPr>
      <w:rFonts w:eastAsia="黑体"/>
      <w:spacing w:val="-10"/>
    </w:rPr>
  </w:style>
  <w:style w:type="character" w:customStyle="1" w:styleId="713">
    <w:name w:val="环正文 Char Char"/>
    <w:autoRedefine/>
    <w:qFormat/>
    <w:uiPriority w:val="0"/>
    <w:rPr>
      <w:rFonts w:ascii="宋体" w:hAnsi="宋体" w:eastAsia="宋体"/>
      <w:sz w:val="24"/>
      <w:lang w:val="en-US" w:eastAsia="zh-CN" w:bidi="ar-SA"/>
    </w:rPr>
  </w:style>
  <w:style w:type="character" w:customStyle="1" w:styleId="714">
    <w:name w:val="Char Char82"/>
    <w:autoRedefine/>
    <w:qFormat/>
    <w:uiPriority w:val="0"/>
    <w:rPr>
      <w:rFonts w:hint="eastAsia" w:ascii="仿宋_GB2312" w:eastAsia="仿宋_GB2312"/>
      <w:kern w:val="2"/>
      <w:sz w:val="28"/>
      <w:lang w:val="en-US" w:eastAsia="zh-CN" w:bidi="ar-SA"/>
    </w:rPr>
  </w:style>
  <w:style w:type="character" w:customStyle="1" w:styleId="715">
    <w:name w:val="环表头 Char3"/>
    <w:link w:val="716"/>
    <w:autoRedefine/>
    <w:qFormat/>
    <w:uiPriority w:val="0"/>
    <w:rPr>
      <w:rFonts w:ascii="仿宋_GB2312" w:hAnsi="宋体" w:eastAsia="仿宋_GB2312"/>
      <w:sz w:val="24"/>
    </w:rPr>
  </w:style>
  <w:style w:type="paragraph" w:customStyle="1" w:styleId="716">
    <w:name w:val="环表头"/>
    <w:basedOn w:val="315"/>
    <w:next w:val="1"/>
    <w:link w:val="715"/>
    <w:autoRedefine/>
    <w:qFormat/>
    <w:uiPriority w:val="0"/>
    <w:pPr>
      <w:tabs>
        <w:tab w:val="left" w:pos="283"/>
      </w:tabs>
      <w:suppressAutoHyphens w:val="0"/>
      <w:spacing w:beforeLines="20" w:afterLines="10" w:line="312" w:lineRule="atLeast"/>
      <w:ind w:right="28" w:firstLine="0" w:firstLineChars="0"/>
      <w:jc w:val="center"/>
    </w:pPr>
    <w:rPr>
      <w:rFonts w:ascii="仿宋_GB2312" w:eastAsia="仿宋_GB2312"/>
    </w:rPr>
  </w:style>
  <w:style w:type="character" w:customStyle="1" w:styleId="717">
    <w:name w:val="小五 Char Char Char1"/>
    <w:autoRedefine/>
    <w:qFormat/>
    <w:uiPriority w:val="0"/>
    <w:rPr>
      <w:rFonts w:ascii="宋体" w:hAnsi="宋体" w:eastAsia="宋体"/>
      <w:kern w:val="2"/>
      <w:sz w:val="21"/>
      <w:szCs w:val="21"/>
      <w:lang w:val="en-US" w:eastAsia="zh-CN" w:bidi="ar-SA"/>
    </w:rPr>
  </w:style>
  <w:style w:type="character" w:customStyle="1" w:styleId="718">
    <w:name w:val="Char Char67"/>
    <w:autoRedefine/>
    <w:qFormat/>
    <w:uiPriority w:val="0"/>
    <w:rPr>
      <w:rFonts w:eastAsia="宋体"/>
      <w:b/>
      <w:bCs/>
      <w:kern w:val="2"/>
      <w:sz w:val="28"/>
      <w:szCs w:val="28"/>
      <w:lang w:val="en-US" w:eastAsia="zh-CN" w:bidi="ar-SA"/>
    </w:rPr>
  </w:style>
  <w:style w:type="character" w:customStyle="1" w:styleId="719">
    <w:name w:val="下标 Char"/>
    <w:link w:val="720"/>
    <w:autoRedefine/>
    <w:qFormat/>
    <w:uiPriority w:val="0"/>
    <w:rPr>
      <w:rFonts w:ascii="仿宋_GB2312" w:eastAsia="仿宋_GB2312"/>
      <w:kern w:val="2"/>
      <w:sz w:val="28"/>
      <w:szCs w:val="28"/>
      <w:vertAlign w:val="subscript"/>
    </w:rPr>
  </w:style>
  <w:style w:type="paragraph" w:customStyle="1" w:styleId="720">
    <w:name w:val="下标"/>
    <w:basedOn w:val="721"/>
    <w:link w:val="719"/>
    <w:autoRedefine/>
    <w:qFormat/>
    <w:uiPriority w:val="0"/>
    <w:pPr>
      <w:ind w:firstLine="1200" w:firstLineChars="500"/>
    </w:pPr>
    <w:rPr>
      <w:vertAlign w:val="subscript"/>
    </w:rPr>
  </w:style>
  <w:style w:type="paragraph" w:customStyle="1" w:styleId="721">
    <w:name w:val="正文小四"/>
    <w:link w:val="722"/>
    <w:autoRedefine/>
    <w:qFormat/>
    <w:uiPriority w:val="0"/>
    <w:pPr>
      <w:adjustRightInd w:val="0"/>
      <w:snapToGrid w:val="0"/>
      <w:spacing w:line="360" w:lineRule="auto"/>
      <w:ind w:firstLine="560" w:firstLineChars="200"/>
      <w:jc w:val="both"/>
    </w:pPr>
    <w:rPr>
      <w:rFonts w:ascii="仿宋_GB2312" w:hAnsi="Times New Roman" w:eastAsia="仿宋_GB2312" w:cs="Times New Roman"/>
      <w:kern w:val="2"/>
      <w:sz w:val="28"/>
      <w:szCs w:val="28"/>
      <w:lang w:val="en-US" w:eastAsia="zh-CN" w:bidi="ar-SA"/>
    </w:rPr>
  </w:style>
  <w:style w:type="character" w:customStyle="1" w:styleId="722">
    <w:name w:val="正文小四 Char"/>
    <w:link w:val="721"/>
    <w:autoRedefine/>
    <w:qFormat/>
    <w:uiPriority w:val="0"/>
    <w:rPr>
      <w:rFonts w:ascii="仿宋_GB2312" w:eastAsia="仿宋_GB2312"/>
      <w:kern w:val="2"/>
      <w:sz w:val="28"/>
      <w:szCs w:val="28"/>
      <w:lang w:bidi="ar-SA"/>
    </w:rPr>
  </w:style>
  <w:style w:type="character" w:customStyle="1" w:styleId="723">
    <w:name w:val="样式 黑色1"/>
    <w:autoRedefine/>
    <w:qFormat/>
    <w:uiPriority w:val="0"/>
    <w:rPr>
      <w:rFonts w:eastAsia="宋体"/>
      <w:color w:val="auto"/>
      <w:kern w:val="2"/>
      <w:sz w:val="24"/>
      <w:szCs w:val="24"/>
      <w:lang w:val="en-US" w:eastAsia="zh-CN" w:bidi="ar-SA"/>
    </w:rPr>
  </w:style>
  <w:style w:type="character" w:customStyle="1" w:styleId="724">
    <w:name w:val="Char Char8"/>
    <w:autoRedefine/>
    <w:qFormat/>
    <w:uiPriority w:val="0"/>
    <w:rPr>
      <w:rFonts w:ascii="宋体" w:hAnsi="Courier New" w:eastAsia="宋体"/>
      <w:sz w:val="21"/>
      <w:lang w:val="en-US" w:eastAsia="zh-CN" w:bidi="ar-SA"/>
    </w:rPr>
  </w:style>
  <w:style w:type="character" w:customStyle="1" w:styleId="725">
    <w:name w:val="txt11"/>
    <w:autoRedefine/>
    <w:qFormat/>
    <w:uiPriority w:val="0"/>
    <w:rPr>
      <w:sz w:val="18"/>
      <w:szCs w:val="18"/>
    </w:rPr>
  </w:style>
  <w:style w:type="character" w:customStyle="1" w:styleId="726">
    <w:name w:val="样式 表格内字体 + Char12"/>
    <w:autoRedefine/>
    <w:qFormat/>
    <w:uiPriority w:val="0"/>
    <w:rPr>
      <w:rFonts w:cs="Times New Roman"/>
    </w:rPr>
  </w:style>
  <w:style w:type="character" w:customStyle="1" w:styleId="727">
    <w:name w:val="标题 5 Char2"/>
    <w:autoRedefine/>
    <w:qFormat/>
    <w:uiPriority w:val="0"/>
    <w:rPr>
      <w:rFonts w:ascii="Times New Roman" w:hAnsi="Times New Roman" w:eastAsia="宋体" w:cs="Times New Roman"/>
      <w:b/>
      <w:bCs/>
      <w:kern w:val="2"/>
      <w:sz w:val="28"/>
      <w:szCs w:val="28"/>
      <w:lang w:val="en-US" w:eastAsia="zh-CN" w:bidi="ar-SA"/>
    </w:rPr>
  </w:style>
  <w:style w:type="character" w:customStyle="1" w:styleId="728">
    <w:name w:val="正文格式 Char Char Char2 Char"/>
    <w:link w:val="729"/>
    <w:autoRedefine/>
    <w:qFormat/>
    <w:uiPriority w:val="0"/>
    <w:rPr>
      <w:rFonts w:ascii="宋体" w:cs="宋体"/>
      <w:sz w:val="24"/>
      <w:szCs w:val="24"/>
    </w:rPr>
  </w:style>
  <w:style w:type="paragraph" w:customStyle="1" w:styleId="729">
    <w:name w:val="正文格式 Char Char Char2"/>
    <w:basedOn w:val="1"/>
    <w:link w:val="728"/>
    <w:autoRedefine/>
    <w:qFormat/>
    <w:uiPriority w:val="0"/>
    <w:pPr>
      <w:spacing w:line="360" w:lineRule="auto"/>
      <w:ind w:firstLine="482"/>
    </w:pPr>
    <w:rPr>
      <w:rFonts w:ascii="宋体"/>
      <w:kern w:val="0"/>
      <w:sz w:val="24"/>
      <w:lang w:val="zh-CN"/>
    </w:rPr>
  </w:style>
  <w:style w:type="character" w:customStyle="1" w:styleId="730">
    <w:name w:val="Char Char66"/>
    <w:autoRedefine/>
    <w:qFormat/>
    <w:uiPriority w:val="0"/>
    <w:rPr>
      <w:rFonts w:ascii="黑体" w:eastAsia="黑体"/>
      <w:b/>
      <w:bCs/>
      <w:kern w:val="2"/>
      <w:sz w:val="28"/>
      <w:szCs w:val="28"/>
      <w:lang w:val="en-US" w:eastAsia="zh-CN" w:bidi="ar-SA"/>
    </w:rPr>
  </w:style>
  <w:style w:type="character" w:customStyle="1" w:styleId="731">
    <w:name w:val="样式 表格文字 + (中文) 宋体 Char"/>
    <w:link w:val="732"/>
    <w:autoRedefine/>
    <w:qFormat/>
    <w:uiPriority w:val="0"/>
    <w:rPr>
      <w:sz w:val="24"/>
      <w:szCs w:val="21"/>
    </w:rPr>
  </w:style>
  <w:style w:type="paragraph" w:customStyle="1" w:styleId="732">
    <w:name w:val="样式 表格文字 + (中文) 宋体"/>
    <w:basedOn w:val="148"/>
    <w:link w:val="731"/>
    <w:autoRedefine/>
    <w:qFormat/>
    <w:uiPriority w:val="0"/>
    <w:pPr>
      <w:widowControl w:val="0"/>
      <w:tabs>
        <w:tab w:val="left" w:pos="-66"/>
        <w:tab w:val="left" w:pos="425"/>
        <w:tab w:val="left" w:pos="600"/>
        <w:tab w:val="left" w:pos="2100"/>
      </w:tabs>
      <w:adjustRightInd w:val="0"/>
      <w:spacing w:line="400" w:lineRule="exact"/>
      <w:textAlignment w:val="baseline"/>
    </w:pPr>
    <w:rPr>
      <w:rFonts w:ascii="Times New Roman" w:hAnsi="Times New Roman" w:eastAsia="宋体"/>
      <w:kern w:val="0"/>
      <w:szCs w:val="21"/>
    </w:rPr>
  </w:style>
  <w:style w:type="character" w:customStyle="1" w:styleId="733">
    <w:name w:val="s5y7c"/>
    <w:basedOn w:val="90"/>
    <w:autoRedefine/>
    <w:qFormat/>
    <w:uiPriority w:val="0"/>
  </w:style>
  <w:style w:type="character" w:customStyle="1" w:styleId="734">
    <w:name w:val="sovnn"/>
    <w:basedOn w:val="90"/>
    <w:autoRedefine/>
    <w:qFormat/>
    <w:uiPriority w:val="0"/>
  </w:style>
  <w:style w:type="character" w:customStyle="1" w:styleId="735">
    <w:name w:val="sxuoj4"/>
    <w:basedOn w:val="90"/>
    <w:autoRedefine/>
    <w:qFormat/>
    <w:uiPriority w:val="0"/>
  </w:style>
  <w:style w:type="character" w:customStyle="1" w:styleId="736">
    <w:name w:val="scu4wkd"/>
    <w:basedOn w:val="90"/>
    <w:autoRedefine/>
    <w:qFormat/>
    <w:uiPriority w:val="0"/>
  </w:style>
  <w:style w:type="character" w:customStyle="1" w:styleId="737">
    <w:name w:val="infodetail1"/>
    <w:autoRedefine/>
    <w:qFormat/>
    <w:uiPriority w:val="0"/>
    <w:rPr>
      <w:rFonts w:hint="default" w:ascii="ˎ̥" w:hAnsi="ˎ̥" w:eastAsia="黑体"/>
      <w:b/>
      <w:color w:val="000000"/>
      <w:spacing w:val="10"/>
      <w:kern w:val="44"/>
      <w:sz w:val="24"/>
      <w:u w:val="none"/>
      <w:lang w:val="en-US" w:eastAsia="zh-CN"/>
    </w:rPr>
  </w:style>
  <w:style w:type="character" w:customStyle="1" w:styleId="738">
    <w:name w:val="表题1 Char42"/>
    <w:autoRedefine/>
    <w:qFormat/>
    <w:uiPriority w:val="0"/>
    <w:rPr>
      <w:rFonts w:ascii="黑体" w:hAnsi="Arial" w:eastAsia="黑体" w:cs="Arial"/>
      <w:b/>
      <w:kern w:val="2"/>
      <w:sz w:val="24"/>
      <w:szCs w:val="24"/>
      <w:lang w:val="en-US" w:eastAsia="zh-CN" w:bidi="ar-SA"/>
    </w:rPr>
  </w:style>
  <w:style w:type="character" w:customStyle="1" w:styleId="739">
    <w:name w:val="正文文本缩进 3 Char4"/>
    <w:autoRedefine/>
    <w:qFormat/>
    <w:uiPriority w:val="0"/>
    <w:rPr>
      <w:rFonts w:eastAsia="宋体"/>
      <w:kern w:val="2"/>
      <w:sz w:val="16"/>
      <w:szCs w:val="16"/>
      <w:lang w:val="en-US" w:eastAsia="zh-CN" w:bidi="ar-SA"/>
    </w:rPr>
  </w:style>
  <w:style w:type="character" w:customStyle="1" w:styleId="740">
    <w:name w:val="Char Char121"/>
    <w:autoRedefine/>
    <w:qFormat/>
    <w:uiPriority w:val="0"/>
    <w:rPr>
      <w:rFonts w:ascii="黑体" w:hAnsi="Arial" w:eastAsia="黑体"/>
      <w:b/>
      <w:bCs/>
      <w:kern w:val="2"/>
      <w:sz w:val="30"/>
      <w:szCs w:val="30"/>
      <w:lang w:val="en-US" w:eastAsia="zh-CN" w:bidi="ar-SA"/>
    </w:rPr>
  </w:style>
  <w:style w:type="character" w:customStyle="1" w:styleId="741">
    <w:name w:val="标题 3 Char21"/>
    <w:autoRedefine/>
    <w:qFormat/>
    <w:uiPriority w:val="0"/>
    <w:rPr>
      <w:rFonts w:ascii="黑体" w:hAnsi="宋体" w:eastAsia="黑体"/>
      <w:b/>
      <w:bCs/>
      <w:kern w:val="2"/>
      <w:sz w:val="28"/>
      <w:szCs w:val="28"/>
      <w:lang w:val="en-US" w:eastAsia="zh-CN" w:bidi="ar-SA"/>
    </w:rPr>
  </w:style>
  <w:style w:type="character" w:customStyle="1" w:styleId="742">
    <w:name w:val="题注 Char312"/>
    <w:autoRedefine/>
    <w:qFormat/>
    <w:uiPriority w:val="0"/>
    <w:rPr>
      <w:rFonts w:ascii="黑体" w:hAnsi="Arial" w:eastAsia="黑体" w:cs="Arial"/>
      <w:sz w:val="24"/>
      <w:szCs w:val="24"/>
    </w:rPr>
  </w:style>
  <w:style w:type="character" w:customStyle="1" w:styleId="743">
    <w:name w:val="ny_black2"/>
    <w:autoRedefine/>
    <w:qFormat/>
    <w:uiPriority w:val="0"/>
    <w:rPr>
      <w:color w:val="000000"/>
    </w:rPr>
  </w:style>
  <w:style w:type="character" w:customStyle="1" w:styleId="744">
    <w:name w:val="一级标题 Char"/>
    <w:link w:val="745"/>
    <w:autoRedefine/>
    <w:qFormat/>
    <w:locked/>
    <w:uiPriority w:val="0"/>
    <w:rPr>
      <w:rFonts w:eastAsia="黑体"/>
      <w:b/>
      <w:bCs/>
      <w:sz w:val="30"/>
      <w:szCs w:val="30"/>
    </w:rPr>
  </w:style>
  <w:style w:type="paragraph" w:customStyle="1" w:styleId="745">
    <w:name w:val="一级标题"/>
    <w:basedOn w:val="4"/>
    <w:next w:val="86"/>
    <w:link w:val="744"/>
    <w:autoRedefine/>
    <w:qFormat/>
    <w:uiPriority w:val="0"/>
    <w:pPr>
      <w:adjustRightInd w:val="0"/>
      <w:snapToGrid w:val="0"/>
      <w:spacing w:before="0" w:after="0" w:line="360" w:lineRule="auto"/>
    </w:pPr>
    <w:rPr>
      <w:rFonts w:ascii="Times New Roman" w:hAnsi="Times New Roman" w:eastAsia="黑体"/>
      <w:sz w:val="30"/>
      <w:szCs w:val="30"/>
    </w:rPr>
  </w:style>
  <w:style w:type="character" w:customStyle="1" w:styleId="746">
    <w:name w:val="A正文 Char2"/>
    <w:autoRedefine/>
    <w:qFormat/>
    <w:uiPriority w:val="0"/>
    <w:rPr>
      <w:rFonts w:eastAsia="仿宋_GB2312"/>
      <w:kern w:val="2"/>
      <w:sz w:val="24"/>
      <w:szCs w:val="24"/>
      <w:lang w:val="en-US" w:eastAsia="zh-CN" w:bidi="ar-SA"/>
    </w:rPr>
  </w:style>
  <w:style w:type="character" w:customStyle="1" w:styleId="747">
    <w:name w:val="Char Char6"/>
    <w:autoRedefine/>
    <w:qFormat/>
    <w:uiPriority w:val="0"/>
    <w:rPr>
      <w:rFonts w:ascii="Times New Roman" w:hAnsi="Times New Roman" w:eastAsia="仿宋_GB2312"/>
      <w:color w:val="000000"/>
      <w:kern w:val="2"/>
      <w:sz w:val="24"/>
    </w:rPr>
  </w:style>
  <w:style w:type="character" w:customStyle="1" w:styleId="748">
    <w:name w:val="页脚 Char3"/>
    <w:autoRedefine/>
    <w:qFormat/>
    <w:uiPriority w:val="0"/>
    <w:rPr>
      <w:rFonts w:eastAsia="宋体"/>
      <w:kern w:val="2"/>
      <w:sz w:val="18"/>
      <w:szCs w:val="18"/>
      <w:lang w:val="en-US" w:eastAsia="zh-CN" w:bidi="ar-SA"/>
    </w:rPr>
  </w:style>
  <w:style w:type="character" w:customStyle="1" w:styleId="749">
    <w:name w:val="无节 Char"/>
    <w:autoRedefine/>
    <w:qFormat/>
    <w:uiPriority w:val="0"/>
    <w:rPr>
      <w:rFonts w:ascii="Arial" w:hAnsi="Arial" w:eastAsia="黑体"/>
      <w:b/>
      <w:kern w:val="2"/>
      <w:sz w:val="24"/>
      <w:lang w:val="en-US" w:eastAsia="zh-CN" w:bidi="ar-SA"/>
    </w:rPr>
  </w:style>
  <w:style w:type="character" w:customStyle="1" w:styleId="750">
    <w:name w:val="样式 表内小5 + 黑体 加粗 倾斜 下划线 Char1"/>
    <w:autoRedefine/>
    <w:qFormat/>
    <w:uiPriority w:val="0"/>
    <w:rPr>
      <w:rFonts w:ascii="黑体" w:hAnsi="黑体" w:eastAsia="黑体"/>
      <w:b/>
      <w:bCs/>
      <w:i/>
      <w:iCs/>
      <w:kern w:val="2"/>
      <w:sz w:val="18"/>
      <w:szCs w:val="24"/>
      <w:u w:val="single"/>
      <w:lang w:val="en-US" w:eastAsia="zh-CN" w:bidi="ar-SA"/>
    </w:rPr>
  </w:style>
  <w:style w:type="character" w:customStyle="1" w:styleId="751">
    <w:name w:val="text31"/>
    <w:autoRedefine/>
    <w:qFormat/>
    <w:uiPriority w:val="0"/>
    <w:rPr>
      <w:rFonts w:hint="eastAsia" w:ascii="宋体" w:hAnsi="宋体" w:eastAsia="宋体"/>
      <w:color w:val="673434"/>
      <w:kern w:val="2"/>
      <w:sz w:val="22"/>
      <w:szCs w:val="22"/>
      <w:u w:val="none"/>
      <w:lang w:val="en-US" w:eastAsia="zh-CN" w:bidi="ar-SA"/>
    </w:rPr>
  </w:style>
  <w:style w:type="character" w:customStyle="1" w:styleId="752">
    <w:name w:val="河石1 Char21"/>
    <w:autoRedefine/>
    <w:qFormat/>
    <w:uiPriority w:val="0"/>
    <w:rPr>
      <w:rFonts w:ascii="黑体" w:hAnsi="宋体" w:eastAsia="黑体" w:cs="Times New Roman"/>
      <w:bCs/>
      <w:kern w:val="44"/>
      <w:sz w:val="32"/>
      <w:szCs w:val="32"/>
      <w:lang w:val="en-US" w:eastAsia="zh-CN" w:bidi="ar-SA"/>
    </w:rPr>
  </w:style>
  <w:style w:type="character" w:customStyle="1" w:styleId="753">
    <w:name w:val="H23 Char1"/>
    <w:autoRedefine/>
    <w:qFormat/>
    <w:uiPriority w:val="0"/>
    <w:rPr>
      <w:rFonts w:ascii="仿宋_GB2312" w:eastAsia="仿宋_GB2312"/>
      <w:b/>
      <w:kern w:val="2"/>
      <w:sz w:val="28"/>
      <w:lang w:val="en-US" w:eastAsia="zh-CN" w:bidi="ar-SA"/>
    </w:rPr>
  </w:style>
  <w:style w:type="character" w:customStyle="1" w:styleId="754">
    <w:name w:val="detailinfo1"/>
    <w:basedOn w:val="90"/>
    <w:autoRedefine/>
    <w:qFormat/>
    <w:uiPriority w:val="0"/>
  </w:style>
  <w:style w:type="character" w:customStyle="1" w:styleId="755">
    <w:name w:val="正文图 Char Char1"/>
    <w:autoRedefine/>
    <w:qFormat/>
    <w:uiPriority w:val="0"/>
    <w:rPr>
      <w:rFonts w:ascii="宋体" w:eastAsia="宋体"/>
      <w:sz w:val="24"/>
      <w:lang w:val="en-US" w:eastAsia="zh-CN" w:bidi="ar-SA"/>
    </w:rPr>
  </w:style>
  <w:style w:type="character" w:customStyle="1" w:styleId="756">
    <w:name w:val="s"/>
    <w:basedOn w:val="90"/>
    <w:autoRedefine/>
    <w:qFormat/>
    <w:uiPriority w:val="0"/>
  </w:style>
  <w:style w:type="character" w:customStyle="1" w:styleId="757">
    <w:name w:val="正文格式 Char4"/>
    <w:autoRedefine/>
    <w:qFormat/>
    <w:uiPriority w:val="0"/>
    <w:rPr>
      <w:rFonts w:ascii="宋体" w:hAnsi="宋体" w:eastAsia="宋体"/>
      <w:kern w:val="2"/>
      <w:sz w:val="24"/>
      <w:szCs w:val="24"/>
      <w:lang w:val="en-US" w:eastAsia="zh-CN" w:bidi="ar-SA"/>
    </w:rPr>
  </w:style>
  <w:style w:type="character" w:customStyle="1" w:styleId="758">
    <w:name w:val="正文文本 3 Char1"/>
    <w:autoRedefine/>
    <w:qFormat/>
    <w:uiPriority w:val="0"/>
    <w:rPr>
      <w:rFonts w:eastAsia="宋体"/>
      <w:kern w:val="2"/>
      <w:sz w:val="16"/>
      <w:szCs w:val="16"/>
      <w:lang w:val="en-US" w:eastAsia="zh-CN" w:bidi="ar-SA"/>
    </w:rPr>
  </w:style>
  <w:style w:type="character" w:customStyle="1" w:styleId="759">
    <w:name w:val="环表头 Char"/>
    <w:autoRedefine/>
    <w:qFormat/>
    <w:uiPriority w:val="0"/>
    <w:rPr>
      <w:rFonts w:ascii="黑体" w:hAnsi="宋体" w:eastAsia="黑体" w:cs="Courier New"/>
      <w:color w:val="000000"/>
      <w:sz w:val="24"/>
      <w:szCs w:val="24"/>
      <w:lang w:val="en-US" w:eastAsia="zh-CN" w:bidi="ar-SA"/>
    </w:rPr>
  </w:style>
  <w:style w:type="character" w:customStyle="1" w:styleId="760">
    <w:name w:val="样式 标题 2 + (西文) Times New Roman (中文) 宋体 Char"/>
    <w:link w:val="761"/>
    <w:autoRedefine/>
    <w:qFormat/>
    <w:uiPriority w:val="0"/>
    <w:rPr>
      <w:rFonts w:ascii="Cambria" w:hAnsi="Cambria"/>
      <w:b/>
      <w:bCs/>
      <w:sz w:val="32"/>
      <w:szCs w:val="32"/>
    </w:rPr>
  </w:style>
  <w:style w:type="paragraph" w:customStyle="1" w:styleId="761">
    <w:name w:val="样式 标题 2 + (西文) Times New Roman (中文) 宋体"/>
    <w:basedOn w:val="4"/>
    <w:link w:val="760"/>
    <w:autoRedefine/>
    <w:qFormat/>
    <w:uiPriority w:val="0"/>
  </w:style>
  <w:style w:type="character" w:customStyle="1" w:styleId="762">
    <w:name w:val="p3"/>
    <w:basedOn w:val="90"/>
    <w:autoRedefine/>
    <w:qFormat/>
    <w:uiPriority w:val="0"/>
  </w:style>
  <w:style w:type="character" w:customStyle="1" w:styleId="763">
    <w:name w:val="sz3evj"/>
    <w:basedOn w:val="90"/>
    <w:autoRedefine/>
    <w:qFormat/>
    <w:uiPriority w:val="0"/>
  </w:style>
  <w:style w:type="character" w:customStyle="1" w:styleId="764">
    <w:name w:val="正文1 Char"/>
    <w:autoRedefine/>
    <w:qFormat/>
    <w:uiPriority w:val="0"/>
    <w:rPr>
      <w:rFonts w:eastAsia="楷体_GB2312"/>
      <w:kern w:val="2"/>
      <w:sz w:val="24"/>
      <w:szCs w:val="24"/>
      <w:lang w:val="en-US" w:eastAsia="zh-CN" w:bidi="ar-SA"/>
    </w:rPr>
  </w:style>
  <w:style w:type="character" w:customStyle="1" w:styleId="765">
    <w:name w:val="博泵正文"/>
    <w:autoRedefine/>
    <w:qFormat/>
    <w:uiPriority w:val="0"/>
    <w:rPr>
      <w:rFonts w:eastAsia="宋体"/>
      <w:spacing w:val="-25"/>
      <w:sz w:val="24"/>
    </w:rPr>
  </w:style>
  <w:style w:type="character" w:customStyle="1" w:styleId="766">
    <w:name w:val="表题1 Char11"/>
    <w:autoRedefine/>
    <w:qFormat/>
    <w:uiPriority w:val="0"/>
    <w:rPr>
      <w:rFonts w:hAnsi="Arial" w:eastAsia="宋体" w:cs="Arial"/>
      <w:kern w:val="2"/>
      <w:sz w:val="24"/>
      <w:szCs w:val="24"/>
      <w:lang w:val="en-US" w:eastAsia="zh-CN" w:bidi="ar-SA"/>
    </w:rPr>
  </w:style>
  <w:style w:type="character" w:customStyle="1" w:styleId="767">
    <w:name w:val="正文修改 Char1411"/>
    <w:autoRedefine/>
    <w:qFormat/>
    <w:uiPriority w:val="0"/>
    <w:rPr>
      <w:rFonts w:ascii="宋体" w:cs="宋体"/>
      <w:sz w:val="24"/>
      <w:szCs w:val="24"/>
    </w:rPr>
  </w:style>
  <w:style w:type="character" w:customStyle="1" w:styleId="768">
    <w:name w:val="javascript"/>
    <w:autoRedefine/>
    <w:qFormat/>
    <w:uiPriority w:val="0"/>
    <w:rPr>
      <w:rFonts w:ascii="黑体" w:hAnsi="黑体" w:eastAsia="宋体"/>
      <w:b/>
      <w:spacing w:val="10"/>
      <w:kern w:val="2"/>
      <w:sz w:val="28"/>
      <w:szCs w:val="28"/>
      <w:lang w:val="en-US" w:eastAsia="zh-CN" w:bidi="ar-SA"/>
    </w:rPr>
  </w:style>
  <w:style w:type="character" w:customStyle="1" w:styleId="769">
    <w:name w:val="Char Char7"/>
    <w:autoRedefine/>
    <w:qFormat/>
    <w:locked/>
    <w:uiPriority w:val="0"/>
    <w:rPr>
      <w:rFonts w:hint="eastAsia" w:ascii="仿宋_GB2312" w:hAnsi="Courier New" w:eastAsia="仿宋_GB2312"/>
      <w:sz w:val="28"/>
      <w:lang w:val="en-US" w:eastAsia="zh-CN" w:bidi="ar-SA"/>
    </w:rPr>
  </w:style>
  <w:style w:type="character" w:customStyle="1" w:styleId="770">
    <w:name w:val="题注 Char212"/>
    <w:autoRedefine/>
    <w:qFormat/>
    <w:uiPriority w:val="0"/>
    <w:rPr>
      <w:rFonts w:ascii="黑体" w:hAnsi="Arial" w:eastAsia="黑体" w:cs="Arial"/>
      <w:b/>
      <w:spacing w:val="10"/>
      <w:sz w:val="24"/>
      <w:szCs w:val="24"/>
    </w:rPr>
  </w:style>
  <w:style w:type="character" w:customStyle="1" w:styleId="771">
    <w:name w:val="图题 Char"/>
    <w:link w:val="772"/>
    <w:autoRedefine/>
    <w:qFormat/>
    <w:uiPriority w:val="0"/>
    <w:rPr>
      <w:rFonts w:ascii="黑体" w:hAnsi="宋体" w:eastAsia="黑体" w:cs="宋体"/>
      <w:b/>
      <w:bCs/>
      <w:sz w:val="24"/>
      <w:szCs w:val="24"/>
    </w:rPr>
  </w:style>
  <w:style w:type="paragraph" w:customStyle="1" w:styleId="772">
    <w:name w:val="图题6"/>
    <w:basedOn w:val="416"/>
    <w:next w:val="416"/>
    <w:link w:val="771"/>
    <w:autoRedefine/>
    <w:qFormat/>
    <w:uiPriority w:val="0"/>
    <w:pPr>
      <w:ind w:firstLine="0"/>
      <w:jc w:val="center"/>
    </w:pPr>
    <w:rPr>
      <w:rFonts w:ascii="黑体" w:hAnsi="宋体" w:eastAsia="黑体"/>
      <w:bCs/>
      <w:spacing w:val="0"/>
      <w:sz w:val="24"/>
      <w:szCs w:val="24"/>
    </w:rPr>
  </w:style>
  <w:style w:type="character" w:customStyle="1" w:styleId="773">
    <w:name w:val="标题2新 Char"/>
    <w:link w:val="774"/>
    <w:autoRedefine/>
    <w:qFormat/>
    <w:locked/>
    <w:uiPriority w:val="0"/>
    <w:rPr>
      <w:rFonts w:ascii="楷体" w:hAnsi="楷体" w:eastAsia="楷体"/>
      <w:bCs/>
      <w:sz w:val="32"/>
      <w:szCs w:val="32"/>
    </w:rPr>
  </w:style>
  <w:style w:type="paragraph" w:customStyle="1" w:styleId="774">
    <w:name w:val="标题2新"/>
    <w:basedOn w:val="4"/>
    <w:link w:val="773"/>
    <w:autoRedefine/>
    <w:qFormat/>
    <w:uiPriority w:val="0"/>
    <w:pPr>
      <w:spacing w:before="0" w:after="0" w:line="560" w:lineRule="exact"/>
      <w:jc w:val="center"/>
    </w:pPr>
    <w:rPr>
      <w:rFonts w:ascii="楷体" w:hAnsi="楷体" w:eastAsia="楷体"/>
      <w:b w:val="0"/>
    </w:rPr>
  </w:style>
  <w:style w:type="character" w:customStyle="1" w:styleId="775">
    <w:name w:val="unnamed111"/>
    <w:autoRedefine/>
    <w:qFormat/>
    <w:uiPriority w:val="0"/>
    <w:rPr>
      <w:color w:val="003366"/>
      <w:sz w:val="24"/>
      <w:szCs w:val="24"/>
      <w:u w:val="none"/>
    </w:rPr>
  </w:style>
  <w:style w:type="character" w:customStyle="1" w:styleId="776">
    <w:name w:val="td71"/>
    <w:autoRedefine/>
    <w:qFormat/>
    <w:uiPriority w:val="0"/>
    <w:rPr>
      <w:rFonts w:eastAsia="宋体"/>
      <w:color w:val="3B3B3B"/>
      <w:kern w:val="2"/>
      <w:sz w:val="18"/>
      <w:szCs w:val="18"/>
      <w:lang w:val="en-US" w:eastAsia="zh-CN" w:bidi="ar-SA"/>
    </w:rPr>
  </w:style>
  <w:style w:type="character" w:customStyle="1" w:styleId="777">
    <w:name w:val="tpc_content"/>
    <w:basedOn w:val="90"/>
    <w:autoRedefine/>
    <w:qFormat/>
    <w:uiPriority w:val="0"/>
  </w:style>
  <w:style w:type="character" w:customStyle="1" w:styleId="778">
    <w:name w:val="题注 Char512"/>
    <w:autoRedefine/>
    <w:qFormat/>
    <w:uiPriority w:val="0"/>
    <w:rPr>
      <w:rFonts w:ascii="黑体" w:hAnsi="Arial" w:eastAsia="黑体" w:cs="Arial"/>
      <w:sz w:val="24"/>
      <w:szCs w:val="24"/>
    </w:rPr>
  </w:style>
  <w:style w:type="character" w:customStyle="1" w:styleId="779">
    <w:name w:val="样式 表内小5 + 黑体 加粗 倾斜 下划线 Char"/>
    <w:link w:val="780"/>
    <w:autoRedefine/>
    <w:qFormat/>
    <w:uiPriority w:val="0"/>
    <w:rPr>
      <w:rFonts w:ascii="黑体" w:hAnsi="黑体" w:eastAsia="黑体"/>
      <w:b/>
      <w:bCs/>
      <w:i/>
      <w:iCs/>
      <w:sz w:val="18"/>
      <w:szCs w:val="24"/>
      <w:u w:val="single"/>
    </w:rPr>
  </w:style>
  <w:style w:type="paragraph" w:customStyle="1" w:styleId="780">
    <w:name w:val="样式 表内小5 + 黑体 加粗 倾斜 下划线"/>
    <w:basedOn w:val="1"/>
    <w:link w:val="779"/>
    <w:autoRedefine/>
    <w:qFormat/>
    <w:uiPriority w:val="0"/>
    <w:pPr>
      <w:adjustRightInd w:val="0"/>
      <w:snapToGrid w:val="0"/>
      <w:spacing w:line="300" w:lineRule="auto"/>
      <w:jc w:val="left"/>
    </w:pPr>
    <w:rPr>
      <w:rFonts w:ascii="黑体" w:hAnsi="黑体" w:eastAsia="黑体"/>
      <w:b/>
      <w:bCs/>
      <w:i/>
      <w:iCs/>
      <w:kern w:val="0"/>
      <w:sz w:val="18"/>
      <w:u w:val="single"/>
      <w:lang w:val="zh-CN"/>
    </w:rPr>
  </w:style>
  <w:style w:type="character" w:customStyle="1" w:styleId="781">
    <w:name w:val="texhtml"/>
    <w:basedOn w:val="90"/>
    <w:autoRedefine/>
    <w:qFormat/>
    <w:uiPriority w:val="0"/>
  </w:style>
  <w:style w:type="character" w:customStyle="1" w:styleId="782">
    <w:name w:val="标题 3 Char11"/>
    <w:autoRedefine/>
    <w:qFormat/>
    <w:uiPriority w:val="0"/>
    <w:rPr>
      <w:rFonts w:ascii="黑体" w:hAnsi="宋体" w:eastAsia="黑体"/>
      <w:b/>
      <w:bCs/>
      <w:kern w:val="2"/>
      <w:sz w:val="28"/>
      <w:szCs w:val="28"/>
      <w:lang w:val="en-US" w:eastAsia="zh-CN" w:bidi="ar-SA"/>
    </w:rPr>
  </w:style>
  <w:style w:type="character" w:customStyle="1" w:styleId="783">
    <w:name w:val="图题 Char3"/>
    <w:autoRedefine/>
    <w:qFormat/>
    <w:uiPriority w:val="0"/>
    <w:rPr>
      <w:rFonts w:ascii="黑体" w:hAnsi="宋体" w:eastAsia="黑体" w:cs="宋体"/>
      <w:b/>
      <w:bCs/>
      <w:kern w:val="2"/>
      <w:sz w:val="24"/>
      <w:szCs w:val="24"/>
      <w:lang w:val="en-US" w:eastAsia="zh-CN" w:bidi="ar-SA"/>
    </w:rPr>
  </w:style>
  <w:style w:type="character" w:customStyle="1" w:styleId="784">
    <w:name w:val="l12"/>
    <w:autoRedefine/>
    <w:qFormat/>
    <w:uiPriority w:val="0"/>
    <w:rPr>
      <w:rFonts w:eastAsia="宋体"/>
      <w:kern w:val="2"/>
      <w:sz w:val="28"/>
      <w:szCs w:val="28"/>
      <w:lang w:val="en-US" w:eastAsia="zh-CN" w:bidi="ar-SA"/>
    </w:rPr>
  </w:style>
  <w:style w:type="character" w:customStyle="1" w:styleId="785">
    <w:name w:val="gray s"/>
    <w:basedOn w:val="90"/>
    <w:autoRedefine/>
    <w:qFormat/>
    <w:uiPriority w:val="0"/>
  </w:style>
  <w:style w:type="character" w:customStyle="1" w:styleId="786">
    <w:name w:val="标题4改 Char"/>
    <w:link w:val="787"/>
    <w:autoRedefine/>
    <w:qFormat/>
    <w:locked/>
    <w:uiPriority w:val="0"/>
    <w:rPr>
      <w:rFonts w:ascii="黑体" w:hAnsi="黑体" w:eastAsia="黑体"/>
      <w:sz w:val="28"/>
      <w:szCs w:val="28"/>
    </w:rPr>
  </w:style>
  <w:style w:type="paragraph" w:customStyle="1" w:styleId="787">
    <w:name w:val="标题4改"/>
    <w:basedOn w:val="1"/>
    <w:link w:val="786"/>
    <w:autoRedefine/>
    <w:qFormat/>
    <w:uiPriority w:val="0"/>
    <w:pPr>
      <w:spacing w:line="560" w:lineRule="exact"/>
      <w:ind w:firstLine="200" w:firstLineChars="200"/>
      <w:outlineLvl w:val="3"/>
    </w:pPr>
    <w:rPr>
      <w:rFonts w:ascii="黑体" w:hAnsi="黑体" w:eastAsia="黑体"/>
      <w:kern w:val="0"/>
      <w:sz w:val="28"/>
      <w:szCs w:val="28"/>
      <w:lang w:val="zh-CN"/>
    </w:rPr>
  </w:style>
  <w:style w:type="character" w:customStyle="1" w:styleId="788">
    <w:name w:val="font01"/>
    <w:autoRedefine/>
    <w:qFormat/>
    <w:uiPriority w:val="0"/>
    <w:rPr>
      <w:rFonts w:hint="eastAsia" w:ascii="宋体" w:hAnsi="宋体" w:eastAsia="宋体" w:cs="宋体"/>
      <w:color w:val="000000"/>
      <w:sz w:val="21"/>
      <w:szCs w:val="21"/>
      <w:u w:val="none"/>
      <w:vertAlign w:val="superscript"/>
    </w:rPr>
  </w:style>
  <w:style w:type="character" w:customStyle="1" w:styleId="789">
    <w:name w:val="表内5 Char1"/>
    <w:autoRedefine/>
    <w:qFormat/>
    <w:uiPriority w:val="0"/>
    <w:rPr>
      <w:rFonts w:ascii="宋体" w:hAnsi="宋体" w:eastAsia="宋体" w:cs="Times New Roman"/>
      <w:kern w:val="2"/>
      <w:sz w:val="24"/>
      <w:szCs w:val="24"/>
      <w:lang w:val="en-US" w:eastAsia="zh-CN" w:bidi="ar-SA"/>
    </w:rPr>
  </w:style>
  <w:style w:type="character" w:customStyle="1" w:styleId="790">
    <w:name w:val="Char Char65"/>
    <w:autoRedefine/>
    <w:qFormat/>
    <w:uiPriority w:val="0"/>
    <w:rPr>
      <w:rFonts w:ascii="黑体" w:eastAsia="黑体"/>
      <w:b/>
      <w:bCs/>
      <w:kern w:val="2"/>
      <w:sz w:val="28"/>
      <w:szCs w:val="28"/>
      <w:lang w:val="en-US" w:eastAsia="zh-CN" w:bidi="ar-SA"/>
    </w:rPr>
  </w:style>
  <w:style w:type="character" w:customStyle="1" w:styleId="791">
    <w:name w:val="正文修改 Char143"/>
    <w:autoRedefine/>
    <w:qFormat/>
    <w:uiPriority w:val="0"/>
    <w:rPr>
      <w:rFonts w:ascii="宋体" w:cs="宋体"/>
      <w:sz w:val="24"/>
      <w:szCs w:val="24"/>
    </w:rPr>
  </w:style>
  <w:style w:type="character" w:customStyle="1" w:styleId="792">
    <w:name w:val="detail_style1"/>
    <w:autoRedefine/>
    <w:qFormat/>
    <w:uiPriority w:val="0"/>
    <w:rPr>
      <w:sz w:val="26"/>
      <w:szCs w:val="26"/>
      <w:u w:val="none"/>
    </w:rPr>
  </w:style>
  <w:style w:type="character" w:customStyle="1" w:styleId="793">
    <w:name w:val="小四+首行缩进 Char2"/>
    <w:link w:val="794"/>
    <w:autoRedefine/>
    <w:qFormat/>
    <w:locked/>
    <w:uiPriority w:val="0"/>
    <w:rPr>
      <w:rFonts w:cs="宋体"/>
    </w:rPr>
  </w:style>
  <w:style w:type="paragraph" w:customStyle="1" w:styleId="794">
    <w:name w:val="小四+首行缩进"/>
    <w:basedOn w:val="1"/>
    <w:link w:val="793"/>
    <w:autoRedefine/>
    <w:qFormat/>
    <w:uiPriority w:val="0"/>
    <w:pPr>
      <w:spacing w:line="360" w:lineRule="auto"/>
      <w:ind w:firstLine="482"/>
    </w:pPr>
    <w:rPr>
      <w:kern w:val="0"/>
      <w:sz w:val="20"/>
      <w:szCs w:val="20"/>
      <w:lang w:val="zh-CN"/>
    </w:rPr>
  </w:style>
  <w:style w:type="character" w:customStyle="1" w:styleId="795">
    <w:name w:val="样式 标题 2 + Times New Roman 加粗 Char"/>
    <w:link w:val="796"/>
    <w:autoRedefine/>
    <w:qFormat/>
    <w:uiPriority w:val="0"/>
    <w:rPr>
      <w:bCs/>
      <w:kern w:val="44"/>
      <w:sz w:val="28"/>
      <w:szCs w:val="32"/>
    </w:rPr>
  </w:style>
  <w:style w:type="paragraph" w:customStyle="1" w:styleId="796">
    <w:name w:val="样式 标题 2 + Times New Roman 加粗"/>
    <w:basedOn w:val="4"/>
    <w:link w:val="795"/>
    <w:autoRedefine/>
    <w:qFormat/>
    <w:uiPriority w:val="0"/>
    <w:pPr>
      <w:spacing w:before="0" w:after="0" w:line="240" w:lineRule="auto"/>
    </w:pPr>
    <w:rPr>
      <w:rFonts w:ascii="Times New Roman" w:hAnsi="Times New Roman"/>
      <w:b w:val="0"/>
      <w:kern w:val="44"/>
      <w:sz w:val="28"/>
    </w:rPr>
  </w:style>
  <w:style w:type="character" w:customStyle="1" w:styleId="797">
    <w:name w:val="第一层条 Char3"/>
    <w:autoRedefine/>
    <w:qFormat/>
    <w:uiPriority w:val="0"/>
    <w:rPr>
      <w:rFonts w:ascii="仿宋_GB2312" w:eastAsia="仿宋_GB2312"/>
      <w:b/>
      <w:kern w:val="2"/>
      <w:sz w:val="28"/>
      <w:lang w:val="en-US" w:eastAsia="zh-CN" w:bidi="ar-SA"/>
    </w:rPr>
  </w:style>
  <w:style w:type="character" w:customStyle="1" w:styleId="798">
    <w:name w:val="节标题 1.1 Char Char"/>
    <w:autoRedefine/>
    <w:qFormat/>
    <w:uiPriority w:val="0"/>
    <w:rPr>
      <w:rFonts w:ascii="仿宋_GB2312" w:hAnsi="Arial" w:eastAsia="仿宋_GB2312"/>
      <w:b/>
      <w:bCs/>
      <w:kern w:val="2"/>
      <w:sz w:val="32"/>
      <w:szCs w:val="32"/>
      <w:lang w:val="en-US" w:eastAsia="zh-CN" w:bidi="ar-SA"/>
    </w:rPr>
  </w:style>
  <w:style w:type="character" w:customStyle="1" w:styleId="799">
    <w:name w:val="style191"/>
    <w:autoRedefine/>
    <w:qFormat/>
    <w:uiPriority w:val="0"/>
    <w:rPr>
      <w:b/>
      <w:bCs/>
      <w:color w:val="FF0000"/>
    </w:rPr>
  </w:style>
  <w:style w:type="character" w:customStyle="1" w:styleId="800">
    <w:name w:val="参加人员 Char"/>
    <w:link w:val="801"/>
    <w:autoRedefine/>
    <w:qFormat/>
    <w:uiPriority w:val="0"/>
    <w:rPr>
      <w:sz w:val="24"/>
    </w:rPr>
  </w:style>
  <w:style w:type="paragraph" w:customStyle="1" w:styleId="801">
    <w:name w:val="参加人员"/>
    <w:basedOn w:val="1"/>
    <w:link w:val="800"/>
    <w:autoRedefine/>
    <w:qFormat/>
    <w:uiPriority w:val="0"/>
    <w:rPr>
      <w:kern w:val="0"/>
      <w:sz w:val="24"/>
      <w:szCs w:val="20"/>
      <w:lang w:val="zh-CN"/>
    </w:rPr>
  </w:style>
  <w:style w:type="character" w:customStyle="1" w:styleId="802">
    <w:name w:val="正文改 Char"/>
    <w:link w:val="803"/>
    <w:autoRedefine/>
    <w:qFormat/>
    <w:locked/>
    <w:uiPriority w:val="0"/>
    <w:rPr>
      <w:sz w:val="28"/>
    </w:rPr>
  </w:style>
  <w:style w:type="paragraph" w:customStyle="1" w:styleId="803">
    <w:name w:val="正文改"/>
    <w:basedOn w:val="1"/>
    <w:link w:val="802"/>
    <w:autoRedefine/>
    <w:qFormat/>
    <w:uiPriority w:val="0"/>
    <w:pPr>
      <w:spacing w:line="560" w:lineRule="exact"/>
      <w:ind w:firstLine="200" w:firstLineChars="200"/>
      <w:jc w:val="left"/>
    </w:pPr>
    <w:rPr>
      <w:kern w:val="0"/>
      <w:sz w:val="28"/>
      <w:szCs w:val="20"/>
      <w:lang w:val="zh-CN"/>
    </w:rPr>
  </w:style>
  <w:style w:type="character" w:customStyle="1" w:styleId="804">
    <w:name w:val="f141"/>
    <w:autoRedefine/>
    <w:qFormat/>
    <w:uiPriority w:val="0"/>
    <w:rPr>
      <w:sz w:val="21"/>
      <w:szCs w:val="21"/>
    </w:rPr>
  </w:style>
  <w:style w:type="character" w:customStyle="1" w:styleId="805">
    <w:name w:val="content1"/>
    <w:autoRedefine/>
    <w:qFormat/>
    <w:uiPriority w:val="0"/>
    <w:rPr>
      <w:sz w:val="20"/>
      <w:szCs w:val="20"/>
    </w:rPr>
  </w:style>
  <w:style w:type="character" w:customStyle="1" w:styleId="806">
    <w:name w:val="宋体四号 Char"/>
    <w:link w:val="807"/>
    <w:autoRedefine/>
    <w:qFormat/>
    <w:uiPriority w:val="0"/>
    <w:rPr>
      <w:sz w:val="28"/>
      <w:szCs w:val="28"/>
    </w:rPr>
  </w:style>
  <w:style w:type="paragraph" w:customStyle="1" w:styleId="807">
    <w:name w:val="宋体四号"/>
    <w:basedOn w:val="1"/>
    <w:link w:val="806"/>
    <w:autoRedefine/>
    <w:qFormat/>
    <w:uiPriority w:val="0"/>
    <w:pPr>
      <w:spacing w:line="360" w:lineRule="auto"/>
      <w:ind w:firstLine="200" w:firstLineChars="200"/>
    </w:pPr>
    <w:rPr>
      <w:kern w:val="0"/>
      <w:sz w:val="28"/>
      <w:szCs w:val="28"/>
      <w:lang w:val="zh-CN"/>
    </w:rPr>
  </w:style>
  <w:style w:type="character" w:customStyle="1" w:styleId="808">
    <w:name w:val="正文文字 3 Char Char"/>
    <w:autoRedefine/>
    <w:qFormat/>
    <w:uiPriority w:val="0"/>
    <w:rPr>
      <w:rFonts w:eastAsia="宋体"/>
      <w:kern w:val="2"/>
      <w:sz w:val="16"/>
      <w:szCs w:val="16"/>
      <w:lang w:val="en-US" w:eastAsia="zh-CN" w:bidi="ar-SA"/>
    </w:rPr>
  </w:style>
  <w:style w:type="character" w:customStyle="1" w:styleId="809">
    <w:name w:val="样式 表格文字 + (中文) 仿宋_GB23121 Char"/>
    <w:autoRedefine/>
    <w:qFormat/>
    <w:uiPriority w:val="0"/>
    <w:rPr>
      <w:rFonts w:ascii="仿宋_GB2312" w:hAnsi="仿宋_GB2312" w:eastAsia="仿宋_GB2312" w:cs="Times New Roman"/>
      <w:spacing w:val="10"/>
      <w:kern w:val="44"/>
      <w:sz w:val="24"/>
      <w:szCs w:val="24"/>
      <w:lang w:val="zh-CN"/>
    </w:rPr>
  </w:style>
  <w:style w:type="character" w:customStyle="1" w:styleId="810">
    <w:name w:val="正文(首行缩进)宋旭峰 Char Char"/>
    <w:link w:val="811"/>
    <w:autoRedefine/>
    <w:qFormat/>
    <w:uiPriority w:val="0"/>
    <w:rPr>
      <w:rFonts w:ascii="楷体_GB2312" w:hAnsi="宋体" w:eastAsia="楷体_GB2312" w:cs="Arial"/>
      <w:snapToGrid w:val="0"/>
      <w:sz w:val="28"/>
      <w:szCs w:val="28"/>
    </w:rPr>
  </w:style>
  <w:style w:type="paragraph" w:customStyle="1" w:styleId="811">
    <w:name w:val="正文(首行缩进)宋旭峰"/>
    <w:basedOn w:val="9"/>
    <w:link w:val="810"/>
    <w:autoRedefine/>
    <w:qFormat/>
    <w:uiPriority w:val="0"/>
    <w:pPr>
      <w:spacing w:line="500" w:lineRule="exact"/>
      <w:ind w:firstLine="560"/>
      <w:contextualSpacing/>
    </w:pPr>
    <w:rPr>
      <w:rFonts w:ascii="楷体_GB2312" w:hAnsi="宋体" w:eastAsia="楷体_GB2312"/>
      <w:snapToGrid w:val="0"/>
      <w:kern w:val="0"/>
      <w:sz w:val="28"/>
      <w:szCs w:val="28"/>
    </w:rPr>
  </w:style>
  <w:style w:type="character" w:customStyle="1" w:styleId="812">
    <w:name w:val="正文修改 Char112"/>
    <w:autoRedefine/>
    <w:qFormat/>
    <w:uiPriority w:val="0"/>
    <w:rPr>
      <w:rFonts w:ascii="宋体" w:hAnsi="宋体" w:eastAsia="宋体" w:cs="宋体"/>
      <w:color w:val="000000"/>
      <w:sz w:val="24"/>
      <w:szCs w:val="24"/>
    </w:rPr>
  </w:style>
  <w:style w:type="character" w:customStyle="1" w:styleId="813">
    <w:name w:val="正文修改 Char16"/>
    <w:autoRedefine/>
    <w:qFormat/>
    <w:uiPriority w:val="0"/>
    <w:rPr>
      <w:rFonts w:ascii="宋体" w:hAnsi="宋体" w:eastAsia="宋体" w:cs="宋体"/>
      <w:color w:val="000000"/>
      <w:sz w:val="24"/>
      <w:szCs w:val="24"/>
    </w:rPr>
  </w:style>
  <w:style w:type="character" w:customStyle="1" w:styleId="814">
    <w:name w:val="题注 Char31"/>
    <w:autoRedefine/>
    <w:qFormat/>
    <w:uiPriority w:val="0"/>
    <w:rPr>
      <w:rFonts w:ascii="黑体" w:hAnsi="Arial" w:eastAsia="黑体" w:cs="Arial"/>
      <w:b/>
      <w:spacing w:val="10"/>
      <w:sz w:val="24"/>
      <w:szCs w:val="24"/>
    </w:rPr>
  </w:style>
  <w:style w:type="character" w:customStyle="1" w:styleId="815">
    <w:name w:val="chen正文字体11 Char"/>
    <w:link w:val="816"/>
    <w:autoRedefine/>
    <w:qFormat/>
    <w:uiPriority w:val="0"/>
    <w:rPr>
      <w:rFonts w:cs="宋体"/>
      <w:color w:val="000000"/>
      <w:sz w:val="24"/>
      <w:szCs w:val="24"/>
    </w:rPr>
  </w:style>
  <w:style w:type="paragraph" w:customStyle="1" w:styleId="816">
    <w:name w:val="chen正文字体11"/>
    <w:basedOn w:val="1"/>
    <w:link w:val="815"/>
    <w:autoRedefine/>
    <w:qFormat/>
    <w:uiPriority w:val="0"/>
    <w:pPr>
      <w:spacing w:line="360" w:lineRule="auto"/>
      <w:ind w:firstLine="480" w:firstLineChars="200"/>
    </w:pPr>
    <w:rPr>
      <w:color w:val="000000"/>
      <w:kern w:val="0"/>
      <w:sz w:val="24"/>
      <w:lang w:val="zh-CN"/>
    </w:rPr>
  </w:style>
  <w:style w:type="character" w:customStyle="1" w:styleId="817">
    <w:name w:val="批注文字 Char1"/>
    <w:autoRedefine/>
    <w:qFormat/>
    <w:uiPriority w:val="0"/>
    <w:rPr>
      <w:rFonts w:ascii="Calibri" w:hAnsi="Calibri" w:eastAsia="宋体" w:cs="Times New Roman"/>
    </w:rPr>
  </w:style>
  <w:style w:type="character" w:customStyle="1" w:styleId="818">
    <w:name w:val="页脚 Char2"/>
    <w:autoRedefine/>
    <w:qFormat/>
    <w:locked/>
    <w:uiPriority w:val="0"/>
    <w:rPr>
      <w:rFonts w:eastAsia="宋体"/>
      <w:kern w:val="2"/>
      <w:sz w:val="18"/>
      <w:lang w:val="en-US" w:eastAsia="zh-CN" w:bidi="ar-SA"/>
    </w:rPr>
  </w:style>
  <w:style w:type="character" w:customStyle="1" w:styleId="819">
    <w:name w:val="正文斜体 Char2"/>
    <w:autoRedefine/>
    <w:qFormat/>
    <w:uiPriority w:val="0"/>
    <w:rPr>
      <w:rFonts w:ascii="宋体" w:hAnsi="宋体" w:cs="宋体"/>
      <w:b/>
      <w:i/>
      <w:iCs/>
      <w:spacing w:val="10"/>
      <w:sz w:val="24"/>
      <w:szCs w:val="24"/>
    </w:rPr>
  </w:style>
  <w:style w:type="character" w:customStyle="1" w:styleId="820">
    <w:name w:val="Char Char631"/>
    <w:autoRedefine/>
    <w:qFormat/>
    <w:uiPriority w:val="0"/>
    <w:rPr>
      <w:rFonts w:ascii="黑体" w:eastAsia="黑体"/>
      <w:b/>
      <w:bCs/>
      <w:kern w:val="2"/>
      <w:sz w:val="28"/>
      <w:szCs w:val="28"/>
      <w:lang w:val="en-US" w:eastAsia="zh-CN" w:bidi="ar-SA"/>
    </w:rPr>
  </w:style>
  <w:style w:type="character" w:customStyle="1" w:styleId="821">
    <w:name w:val="标题 6 Char1"/>
    <w:autoRedefine/>
    <w:qFormat/>
    <w:uiPriority w:val="0"/>
    <w:rPr>
      <w:rFonts w:ascii="Arial" w:hAnsi="Arial" w:eastAsia="黑体"/>
      <w:b/>
      <w:sz w:val="24"/>
    </w:rPr>
  </w:style>
  <w:style w:type="character" w:customStyle="1" w:styleId="822">
    <w:name w:val="页脚 Char1"/>
    <w:autoRedefine/>
    <w:qFormat/>
    <w:uiPriority w:val="0"/>
    <w:rPr>
      <w:rFonts w:ascii="Calibri" w:hAnsi="Calibri" w:eastAsia="宋体" w:cs="Times New Roman"/>
      <w:sz w:val="18"/>
      <w:szCs w:val="18"/>
    </w:rPr>
  </w:style>
  <w:style w:type="character" w:customStyle="1" w:styleId="823">
    <w:name w:val="标题 7 Char1"/>
    <w:autoRedefine/>
    <w:qFormat/>
    <w:uiPriority w:val="0"/>
    <w:rPr>
      <w:b/>
      <w:bCs/>
      <w:kern w:val="2"/>
      <w:sz w:val="24"/>
      <w:szCs w:val="24"/>
    </w:rPr>
  </w:style>
  <w:style w:type="character" w:customStyle="1" w:styleId="824">
    <w:name w:val="正文首行缩进 2 Char3"/>
    <w:autoRedefine/>
    <w:qFormat/>
    <w:uiPriority w:val="0"/>
    <w:rPr>
      <w:rFonts w:ascii="Times New Roman" w:hAnsi="Times New Roman" w:eastAsia="宋体" w:cs="Times New Roman"/>
      <w:kern w:val="2"/>
      <w:sz w:val="21"/>
      <w:szCs w:val="24"/>
      <w:lang w:val="en-US" w:eastAsia="zh-CN" w:bidi="ar-SA"/>
    </w:rPr>
  </w:style>
  <w:style w:type="character" w:customStyle="1" w:styleId="825">
    <w:name w:val="text_green_bold1"/>
    <w:autoRedefine/>
    <w:qFormat/>
    <w:uiPriority w:val="0"/>
    <w:rPr>
      <w:b/>
      <w:bCs/>
      <w:color w:val="056E7B"/>
      <w:sz w:val="18"/>
      <w:szCs w:val="18"/>
    </w:rPr>
  </w:style>
  <w:style w:type="character" w:customStyle="1" w:styleId="826">
    <w:name w:val="表题1 Char9"/>
    <w:autoRedefine/>
    <w:qFormat/>
    <w:uiPriority w:val="0"/>
    <w:rPr>
      <w:rFonts w:ascii="黑体" w:hAnsi="Arial" w:eastAsia="黑体" w:cs="Arial"/>
      <w:b/>
      <w:kern w:val="2"/>
      <w:sz w:val="24"/>
      <w:szCs w:val="24"/>
      <w:lang w:val="en-US" w:eastAsia="zh-CN" w:bidi="ar-SA"/>
    </w:rPr>
  </w:style>
  <w:style w:type="character" w:customStyle="1" w:styleId="827">
    <w:name w:val="article1"/>
    <w:autoRedefine/>
    <w:qFormat/>
    <w:uiPriority w:val="0"/>
    <w:rPr>
      <w:color w:val="000000"/>
      <w:spacing w:val="600"/>
      <w:sz w:val="18"/>
      <w:szCs w:val="18"/>
    </w:rPr>
  </w:style>
  <w:style w:type="character" w:customStyle="1" w:styleId="828">
    <w:name w:val="标题 8 Char1"/>
    <w:autoRedefine/>
    <w:qFormat/>
    <w:uiPriority w:val="0"/>
    <w:rPr>
      <w:rFonts w:ascii="Cambria" w:hAnsi="Cambria" w:eastAsia="宋体" w:cs="Times New Roman"/>
      <w:kern w:val="2"/>
      <w:sz w:val="24"/>
      <w:szCs w:val="24"/>
    </w:rPr>
  </w:style>
  <w:style w:type="character" w:customStyle="1" w:styleId="829">
    <w:name w:val="m"/>
    <w:basedOn w:val="90"/>
    <w:autoRedefine/>
    <w:qFormat/>
    <w:uiPriority w:val="0"/>
  </w:style>
  <w:style w:type="character" w:customStyle="1" w:styleId="830">
    <w:name w:val="样式 表内小5 + 黑体 加粗 倾斜 下划线 Char3"/>
    <w:autoRedefine/>
    <w:qFormat/>
    <w:uiPriority w:val="0"/>
    <w:rPr>
      <w:rFonts w:ascii="黑体" w:hAnsi="黑体" w:eastAsia="黑体" w:cs="Times New Roman"/>
      <w:b/>
      <w:bCs/>
      <w:i/>
      <w:iCs/>
      <w:kern w:val="2"/>
      <w:sz w:val="18"/>
      <w:szCs w:val="24"/>
      <w:u w:val="single"/>
      <w:lang w:val="en-US" w:eastAsia="zh-CN" w:bidi="ar-SA"/>
    </w:rPr>
  </w:style>
  <w:style w:type="character" w:customStyle="1" w:styleId="831">
    <w:name w:val="正文文本缩进 3 Char5"/>
    <w:autoRedefine/>
    <w:qFormat/>
    <w:uiPriority w:val="0"/>
    <w:rPr>
      <w:rFonts w:ascii="Times New Roman" w:hAnsi="Times New Roman" w:eastAsia="宋体" w:cs="Times New Roman"/>
      <w:kern w:val="2"/>
      <w:sz w:val="16"/>
      <w:szCs w:val="16"/>
      <w:lang w:val="en-US" w:eastAsia="zh-CN" w:bidi="ar-SA"/>
    </w:rPr>
  </w:style>
  <w:style w:type="character" w:customStyle="1" w:styleId="832">
    <w:name w:val="Char Char61"/>
    <w:autoRedefine/>
    <w:qFormat/>
    <w:locked/>
    <w:uiPriority w:val="0"/>
    <w:rPr>
      <w:rFonts w:hint="eastAsia" w:ascii="宋体" w:hAnsi="宋体" w:eastAsia="宋体"/>
      <w:kern w:val="2"/>
      <w:sz w:val="21"/>
      <w:lang w:val="en-US" w:eastAsia="zh-CN" w:bidi="ar-SA"/>
    </w:rPr>
  </w:style>
  <w:style w:type="character" w:customStyle="1" w:styleId="833">
    <w:name w:val="Char Char153"/>
    <w:basedOn w:val="90"/>
    <w:autoRedefine/>
    <w:qFormat/>
    <w:locked/>
    <w:uiPriority w:val="0"/>
  </w:style>
  <w:style w:type="character" w:customStyle="1" w:styleId="834">
    <w:name w:val="表格内文字 Char Char"/>
    <w:autoRedefine/>
    <w:qFormat/>
    <w:uiPriority w:val="0"/>
    <w:rPr>
      <w:rFonts w:eastAsia="仿宋_GB2312"/>
      <w:sz w:val="24"/>
      <w:szCs w:val="24"/>
    </w:rPr>
  </w:style>
  <w:style w:type="character" w:customStyle="1" w:styleId="835">
    <w:name w:val="样式 表头 + 黑色 Char"/>
    <w:link w:val="836"/>
    <w:autoRedefine/>
    <w:qFormat/>
    <w:uiPriority w:val="0"/>
    <w:rPr>
      <w:b/>
      <w:bCs/>
      <w:snapToGrid w:val="0"/>
      <w:color w:val="000000"/>
      <w:spacing w:val="-4"/>
      <w:sz w:val="24"/>
      <w:szCs w:val="24"/>
    </w:rPr>
  </w:style>
  <w:style w:type="paragraph" w:customStyle="1" w:styleId="836">
    <w:name w:val="样式 表头 + 黑色"/>
    <w:basedOn w:val="219"/>
    <w:link w:val="835"/>
    <w:autoRedefine/>
    <w:qFormat/>
    <w:uiPriority w:val="0"/>
    <w:pPr>
      <w:adjustRightInd w:val="0"/>
      <w:snapToGrid w:val="0"/>
      <w:spacing w:line="360" w:lineRule="auto"/>
    </w:pPr>
    <w:rPr>
      <w:rFonts w:eastAsia="宋体"/>
      <w:b/>
      <w:bCs/>
      <w:snapToGrid w:val="0"/>
      <w:color w:val="000000"/>
      <w:spacing w:val="-4"/>
      <w:sz w:val="24"/>
    </w:rPr>
  </w:style>
  <w:style w:type="character" w:customStyle="1" w:styleId="837">
    <w:name w:val="正文文字 Char Char Char Char Char3"/>
    <w:autoRedefine/>
    <w:qFormat/>
    <w:uiPriority w:val="0"/>
    <w:rPr>
      <w:rFonts w:eastAsia="宋体"/>
      <w:kern w:val="2"/>
      <w:sz w:val="21"/>
      <w:szCs w:val="24"/>
      <w:lang w:val="en-US" w:eastAsia="zh-CN" w:bidi="ar-SA"/>
    </w:rPr>
  </w:style>
  <w:style w:type="character" w:customStyle="1" w:styleId="838">
    <w:name w:val="标题4 Char3"/>
    <w:autoRedefine/>
    <w:qFormat/>
    <w:uiPriority w:val="0"/>
    <w:rPr>
      <w:rFonts w:ascii="黑体" w:hAnsi="Arial" w:eastAsia="黑体" w:cs="Times New Roman"/>
      <w:b/>
      <w:bCs/>
      <w:kern w:val="2"/>
      <w:sz w:val="24"/>
      <w:szCs w:val="28"/>
      <w:lang w:val="en-US" w:eastAsia="zh-CN" w:bidi="ar-SA"/>
    </w:rPr>
  </w:style>
  <w:style w:type="character" w:customStyle="1" w:styleId="839">
    <w:name w:val="Char Char142"/>
    <w:autoRedefine/>
    <w:qFormat/>
    <w:locked/>
    <w:uiPriority w:val="0"/>
    <w:rPr>
      <w:rFonts w:ascii="Times New Roman" w:hAnsi="Times New Roman" w:eastAsia="宋体" w:cs="宋体"/>
      <w:kern w:val="2"/>
      <w:szCs w:val="24"/>
      <w:lang w:val="en-US" w:eastAsia="zh-CN" w:bidi="ar-SA"/>
    </w:rPr>
  </w:style>
  <w:style w:type="character" w:customStyle="1" w:styleId="840">
    <w:name w:val="14p1"/>
    <w:autoRedefine/>
    <w:qFormat/>
    <w:uiPriority w:val="0"/>
    <w:rPr>
      <w:sz w:val="21"/>
      <w:szCs w:val="21"/>
    </w:rPr>
  </w:style>
  <w:style w:type="character" w:customStyle="1" w:styleId="841">
    <w:name w:val="text_edit editable-title"/>
    <w:basedOn w:val="90"/>
    <w:autoRedefine/>
    <w:qFormat/>
    <w:uiPriority w:val="0"/>
  </w:style>
  <w:style w:type="character" w:customStyle="1" w:styleId="842">
    <w:name w:val="scs62"/>
    <w:basedOn w:val="90"/>
    <w:autoRedefine/>
    <w:qFormat/>
    <w:uiPriority w:val="0"/>
  </w:style>
  <w:style w:type="character" w:customStyle="1" w:styleId="843">
    <w:name w:val="sfrxxz"/>
    <w:basedOn w:val="90"/>
    <w:autoRedefine/>
    <w:qFormat/>
    <w:uiPriority w:val="0"/>
  </w:style>
  <w:style w:type="character" w:customStyle="1" w:styleId="844">
    <w:name w:val="apple-style-span"/>
    <w:basedOn w:val="90"/>
    <w:autoRedefine/>
    <w:qFormat/>
    <w:uiPriority w:val="0"/>
  </w:style>
  <w:style w:type="character" w:customStyle="1" w:styleId="845">
    <w:name w:val="正文格式 Char8"/>
    <w:autoRedefine/>
    <w:qFormat/>
    <w:uiPriority w:val="0"/>
    <w:rPr>
      <w:rFonts w:ascii="宋体" w:hAnsi="宋体" w:eastAsia="宋体"/>
      <w:kern w:val="2"/>
      <w:sz w:val="24"/>
      <w:szCs w:val="24"/>
      <w:lang w:val="en-US" w:eastAsia="zh-CN" w:bidi="ar-SA"/>
    </w:rPr>
  </w:style>
  <w:style w:type="character" w:customStyle="1" w:styleId="846">
    <w:name w:val="表头1 Char"/>
    <w:link w:val="847"/>
    <w:autoRedefine/>
    <w:qFormat/>
    <w:uiPriority w:val="0"/>
    <w:rPr>
      <w:rFonts w:cs="Courier New"/>
      <w:color w:val="0000FF"/>
      <w:szCs w:val="21"/>
    </w:rPr>
  </w:style>
  <w:style w:type="paragraph" w:customStyle="1" w:styleId="847">
    <w:name w:val="表头1"/>
    <w:basedOn w:val="45"/>
    <w:link w:val="846"/>
    <w:autoRedefine/>
    <w:qFormat/>
    <w:uiPriority w:val="0"/>
    <w:pPr>
      <w:spacing w:line="240" w:lineRule="exact"/>
      <w:jc w:val="center"/>
    </w:pPr>
    <w:rPr>
      <w:rFonts w:ascii="Times New Roman" w:hAnsi="Times New Roman"/>
      <w:color w:val="0000FF"/>
    </w:rPr>
  </w:style>
  <w:style w:type="character" w:customStyle="1" w:styleId="848">
    <w:name w:val="题注 Char33"/>
    <w:autoRedefine/>
    <w:qFormat/>
    <w:uiPriority w:val="0"/>
    <w:rPr>
      <w:rFonts w:ascii="黑体" w:hAnsi="Arial" w:eastAsia="黑体" w:cs="Arial"/>
      <w:b/>
      <w:spacing w:val="10"/>
      <w:sz w:val="24"/>
      <w:szCs w:val="24"/>
    </w:rPr>
  </w:style>
  <w:style w:type="character" w:customStyle="1" w:styleId="849">
    <w:name w:val="fsl1"/>
    <w:autoRedefine/>
    <w:qFormat/>
    <w:uiPriority w:val="0"/>
    <w:rPr>
      <w:rFonts w:ascii="黑体" w:hAnsi="黑体" w:eastAsia="黑体"/>
      <w:b/>
      <w:color w:val="0082C6"/>
      <w:spacing w:val="10"/>
      <w:kern w:val="44"/>
      <w:sz w:val="21"/>
      <w:lang w:val="en-US" w:eastAsia="zh-CN"/>
    </w:rPr>
  </w:style>
  <w:style w:type="character" w:customStyle="1" w:styleId="850">
    <w:name w:val="表题1 Char612"/>
    <w:autoRedefine/>
    <w:qFormat/>
    <w:uiPriority w:val="0"/>
    <w:rPr>
      <w:rFonts w:ascii="黑体" w:hAnsi="Arial" w:eastAsia="黑体" w:cs="Arial"/>
      <w:b/>
      <w:kern w:val="2"/>
      <w:sz w:val="24"/>
      <w:szCs w:val="24"/>
      <w:lang w:val="en-US" w:eastAsia="zh-CN" w:bidi="ar-SA"/>
    </w:rPr>
  </w:style>
  <w:style w:type="character" w:customStyle="1" w:styleId="851">
    <w:name w:val="链接"/>
    <w:autoRedefine/>
    <w:qFormat/>
    <w:uiPriority w:val="0"/>
    <w:rPr>
      <w:rFonts w:ascii="Times New Roman" w:eastAsia="宋体"/>
      <w:color w:val="0000FF"/>
      <w:sz w:val="21"/>
      <w:u w:val="single" w:color="0000FF"/>
      <w:vertAlign w:val="baseline"/>
      <w:lang w:val="en-US" w:eastAsia="zh-CN"/>
    </w:rPr>
  </w:style>
  <w:style w:type="character" w:customStyle="1" w:styleId="852">
    <w:name w:val="3zw1"/>
    <w:autoRedefine/>
    <w:qFormat/>
    <w:uiPriority w:val="0"/>
    <w:rPr>
      <w:color w:val="000000"/>
      <w:sz w:val="28"/>
      <w:szCs w:val="28"/>
      <w:u w:val="none"/>
    </w:rPr>
  </w:style>
  <w:style w:type="character" w:customStyle="1" w:styleId="853">
    <w:name w:val="表题2 Char"/>
    <w:autoRedefine/>
    <w:qFormat/>
    <w:uiPriority w:val="0"/>
    <w:rPr>
      <w:rFonts w:ascii="Arial" w:hAnsi="Arial" w:eastAsia="黑体" w:cs="Times New Roman"/>
      <w:sz w:val="20"/>
      <w:szCs w:val="20"/>
    </w:rPr>
  </w:style>
  <w:style w:type="character" w:customStyle="1" w:styleId="854">
    <w:name w:val="seecix"/>
    <w:basedOn w:val="90"/>
    <w:autoRedefine/>
    <w:qFormat/>
    <w:uiPriority w:val="0"/>
  </w:style>
  <w:style w:type="character" w:customStyle="1" w:styleId="855">
    <w:name w:val="篇号"/>
    <w:autoRedefine/>
    <w:qFormat/>
    <w:uiPriority w:val="0"/>
    <w:rPr>
      <w:rFonts w:eastAsia="宋体"/>
    </w:rPr>
  </w:style>
  <w:style w:type="character" w:customStyle="1" w:styleId="856">
    <w:name w:val="题注 Char51"/>
    <w:autoRedefine/>
    <w:qFormat/>
    <w:uiPriority w:val="0"/>
    <w:rPr>
      <w:rFonts w:ascii="黑体" w:hAnsi="Arial" w:eastAsia="黑体" w:cs="Arial"/>
      <w:b/>
      <w:spacing w:val="10"/>
      <w:sz w:val="24"/>
      <w:szCs w:val="24"/>
    </w:rPr>
  </w:style>
  <w:style w:type="character" w:customStyle="1" w:styleId="857">
    <w:name w:val="表题1 Char10"/>
    <w:autoRedefine/>
    <w:qFormat/>
    <w:uiPriority w:val="0"/>
    <w:rPr>
      <w:rFonts w:hAnsi="Arial" w:eastAsia="宋体" w:cs="Arial"/>
      <w:kern w:val="2"/>
      <w:sz w:val="24"/>
      <w:szCs w:val="24"/>
      <w:lang w:val="en-US" w:eastAsia="zh-CN" w:bidi="ar-SA"/>
    </w:rPr>
  </w:style>
  <w:style w:type="character" w:customStyle="1" w:styleId="858">
    <w:name w:val="样式 标题 3 + 黑色 Char Char Char Char Char"/>
    <w:link w:val="859"/>
    <w:autoRedefine/>
    <w:qFormat/>
    <w:uiPriority w:val="0"/>
    <w:rPr>
      <w:b/>
      <w:bCs/>
      <w:sz w:val="32"/>
      <w:szCs w:val="32"/>
    </w:rPr>
  </w:style>
  <w:style w:type="paragraph" w:customStyle="1" w:styleId="859">
    <w:name w:val="样式 标题 3 + 黑色 Char Char Char Char"/>
    <w:basedOn w:val="5"/>
    <w:link w:val="858"/>
    <w:autoRedefine/>
    <w:qFormat/>
    <w:uiPriority w:val="0"/>
    <w:pPr>
      <w:ind w:left="720" w:hanging="432"/>
    </w:pPr>
    <w:rPr>
      <w:kern w:val="0"/>
    </w:rPr>
  </w:style>
  <w:style w:type="character" w:customStyle="1" w:styleId="860">
    <w:name w:val="第二层条 Char3"/>
    <w:autoRedefine/>
    <w:qFormat/>
    <w:uiPriority w:val="0"/>
    <w:rPr>
      <w:rFonts w:ascii="仿宋_GB2312" w:eastAsia="仿宋_GB2312"/>
      <w:kern w:val="2"/>
      <w:sz w:val="28"/>
      <w:szCs w:val="24"/>
      <w:lang w:val="en-US" w:eastAsia="zh-CN" w:bidi="ar-SA"/>
    </w:rPr>
  </w:style>
  <w:style w:type="character" w:customStyle="1" w:styleId="861">
    <w:name w:val="正文缩进 Char4"/>
    <w:autoRedefine/>
    <w:qFormat/>
    <w:uiPriority w:val="0"/>
    <w:rPr>
      <w:rFonts w:ascii="宋体" w:hAnsi="宋体" w:eastAsia="宋体" w:cs="宋体"/>
      <w:color w:val="000000"/>
      <w:kern w:val="2"/>
      <w:sz w:val="24"/>
      <w:szCs w:val="24"/>
      <w:lang w:val="en-US" w:eastAsia="zh-CN" w:bidi="ar-SA"/>
    </w:rPr>
  </w:style>
  <w:style w:type="character" w:customStyle="1" w:styleId="862">
    <w:name w:val="hg1"/>
    <w:basedOn w:val="90"/>
    <w:autoRedefine/>
    <w:qFormat/>
    <w:uiPriority w:val="0"/>
  </w:style>
  <w:style w:type="character" w:customStyle="1" w:styleId="863">
    <w:name w:val="mnpmenulabel1"/>
    <w:autoRedefine/>
    <w:qFormat/>
    <w:uiPriority w:val="0"/>
    <w:rPr>
      <w:rFonts w:hint="default" w:ascii="Verdana" w:hAnsi="Verdana"/>
      <w:b/>
      <w:bCs/>
      <w:i/>
      <w:iCs/>
      <w:color w:val="000000"/>
      <w:sz w:val="18"/>
      <w:szCs w:val="18"/>
      <w:shd w:val="clear" w:color="auto" w:fill="F1F1F1"/>
    </w:rPr>
  </w:style>
  <w:style w:type="character" w:customStyle="1" w:styleId="864">
    <w:name w:val="章节 Char3"/>
    <w:autoRedefine/>
    <w:qFormat/>
    <w:uiPriority w:val="0"/>
    <w:rPr>
      <w:rFonts w:ascii="楷体_GB2312" w:eastAsia="楷体_GB2312"/>
      <w:b/>
      <w:kern w:val="44"/>
      <w:sz w:val="30"/>
      <w:lang w:val="en-US" w:eastAsia="zh-CN" w:bidi="ar-SA"/>
    </w:rPr>
  </w:style>
  <w:style w:type="character" w:customStyle="1" w:styleId="865">
    <w:name w:val="ourfont11"/>
    <w:autoRedefine/>
    <w:qFormat/>
    <w:uiPriority w:val="0"/>
    <w:rPr>
      <w:sz w:val="20"/>
      <w:szCs w:val="20"/>
    </w:rPr>
  </w:style>
  <w:style w:type="character" w:customStyle="1" w:styleId="866">
    <w:name w:val="color_huei1"/>
    <w:autoRedefine/>
    <w:qFormat/>
    <w:uiPriority w:val="0"/>
    <w:rPr>
      <w:color w:val="666666"/>
    </w:rPr>
  </w:style>
  <w:style w:type="character" w:customStyle="1" w:styleId="867">
    <w:name w:val="表蕊居中 Char"/>
    <w:link w:val="868"/>
    <w:autoRedefine/>
    <w:qFormat/>
    <w:uiPriority w:val="0"/>
    <w:rPr>
      <w:rFonts w:ascii="仿宋_GB2312" w:hAnsi="宋体" w:eastAsia="仿宋_GB2312"/>
      <w:sz w:val="28"/>
      <w:szCs w:val="28"/>
    </w:rPr>
  </w:style>
  <w:style w:type="paragraph" w:customStyle="1" w:styleId="868">
    <w:name w:val="表蕊居中"/>
    <w:basedOn w:val="1"/>
    <w:link w:val="867"/>
    <w:autoRedefine/>
    <w:qFormat/>
    <w:uiPriority w:val="0"/>
    <w:pPr>
      <w:spacing w:line="300" w:lineRule="exact"/>
      <w:jc w:val="center"/>
    </w:pPr>
    <w:rPr>
      <w:rFonts w:ascii="仿宋_GB2312" w:hAnsi="宋体" w:eastAsia="仿宋_GB2312"/>
      <w:kern w:val="0"/>
      <w:sz w:val="28"/>
      <w:szCs w:val="28"/>
      <w:lang w:val="zh-CN"/>
    </w:rPr>
  </w:style>
  <w:style w:type="character" w:customStyle="1" w:styleId="869">
    <w:name w:val="H23 Char Char"/>
    <w:autoRedefine/>
    <w:qFormat/>
    <w:uiPriority w:val="0"/>
    <w:rPr>
      <w:rFonts w:ascii="仿宋_GB2312" w:eastAsia="仿宋_GB2312"/>
      <w:b/>
      <w:kern w:val="2"/>
      <w:sz w:val="28"/>
      <w:lang w:val="en-US" w:eastAsia="zh-CN" w:bidi="ar-SA"/>
    </w:rPr>
  </w:style>
  <w:style w:type="character" w:customStyle="1" w:styleId="870">
    <w:name w:val="三级标题 Char23"/>
    <w:autoRedefine/>
    <w:qFormat/>
    <w:uiPriority w:val="0"/>
    <w:rPr>
      <w:rFonts w:ascii="黑体" w:hAnsi="宋体" w:eastAsia="黑体"/>
      <w:bCs/>
      <w:kern w:val="2"/>
      <w:sz w:val="28"/>
      <w:szCs w:val="28"/>
      <w:lang w:val="en-US" w:eastAsia="zh-CN" w:bidi="ar-SA"/>
    </w:rPr>
  </w:style>
  <w:style w:type="character" w:customStyle="1" w:styleId="871">
    <w:name w:val="环标2 Char"/>
    <w:autoRedefine/>
    <w:qFormat/>
    <w:uiPriority w:val="0"/>
    <w:rPr>
      <w:rFonts w:ascii="黑体" w:hAnsi="Arial" w:eastAsia="黑体"/>
      <w:color w:val="000000"/>
      <w:sz w:val="28"/>
      <w:lang w:val="en-US" w:eastAsia="zh-CN" w:bidi="ar-SA"/>
    </w:rPr>
  </w:style>
  <w:style w:type="character" w:customStyle="1" w:styleId="872">
    <w:name w:val="表格内字体 Char9"/>
    <w:autoRedefine/>
    <w:qFormat/>
    <w:uiPriority w:val="0"/>
    <w:rPr>
      <w:rFonts w:ascii="宋体" w:hAnsi="宋体" w:eastAsia="宋体"/>
      <w:kern w:val="2"/>
      <w:sz w:val="21"/>
      <w:szCs w:val="24"/>
      <w:lang w:val="en-US" w:eastAsia="zh-CN" w:bidi="ar-SA"/>
    </w:rPr>
  </w:style>
  <w:style w:type="character" w:customStyle="1" w:styleId="873">
    <w:name w:val="Char Char113"/>
    <w:autoRedefine/>
    <w:qFormat/>
    <w:uiPriority w:val="0"/>
    <w:rPr>
      <w:rFonts w:ascii="黑体" w:hAnsi="Arial" w:eastAsia="黑体"/>
      <w:bCs/>
      <w:kern w:val="2"/>
      <w:sz w:val="30"/>
      <w:szCs w:val="30"/>
      <w:lang w:val="en-US" w:eastAsia="zh-CN" w:bidi="ar-SA"/>
    </w:rPr>
  </w:style>
  <w:style w:type="character" w:customStyle="1" w:styleId="874">
    <w:name w:val="样式8 Char"/>
    <w:link w:val="875"/>
    <w:autoRedefine/>
    <w:qFormat/>
    <w:uiPriority w:val="0"/>
    <w:rPr>
      <w:rFonts w:ascii="宋体" w:hAnsi="Arial Black" w:cs="宋体"/>
      <w:sz w:val="24"/>
      <w:szCs w:val="24"/>
    </w:rPr>
  </w:style>
  <w:style w:type="paragraph" w:customStyle="1" w:styleId="875">
    <w:name w:val="样式8"/>
    <w:basedOn w:val="1"/>
    <w:next w:val="1"/>
    <w:link w:val="874"/>
    <w:autoRedefine/>
    <w:qFormat/>
    <w:uiPriority w:val="0"/>
    <w:pPr>
      <w:ind w:firstLine="420"/>
    </w:pPr>
    <w:rPr>
      <w:rFonts w:ascii="宋体" w:hAnsi="Arial Black"/>
      <w:kern w:val="0"/>
      <w:sz w:val="24"/>
      <w:lang w:val="zh-CN"/>
    </w:rPr>
  </w:style>
  <w:style w:type="character" w:customStyle="1" w:styleId="876">
    <w:name w:val="Char Char44"/>
    <w:autoRedefine/>
    <w:qFormat/>
    <w:uiPriority w:val="0"/>
    <w:rPr>
      <w:rFonts w:ascii="黑体" w:hAnsi="Arial" w:eastAsia="黑体"/>
      <w:b/>
      <w:bCs/>
      <w:kern w:val="2"/>
      <w:sz w:val="30"/>
      <w:szCs w:val="30"/>
      <w:lang w:val="en-US" w:eastAsia="zh-CN" w:bidi="ar-SA"/>
    </w:rPr>
  </w:style>
  <w:style w:type="character" w:customStyle="1" w:styleId="877">
    <w:name w:val="Char Char Char11"/>
    <w:autoRedefine/>
    <w:qFormat/>
    <w:uiPriority w:val="0"/>
    <w:rPr>
      <w:rFonts w:hint="default" w:ascii="Arial" w:hAnsi="Arial" w:eastAsia="黑体" w:cs="Arial"/>
      <w:b/>
      <w:bCs/>
      <w:kern w:val="2"/>
      <w:sz w:val="24"/>
      <w:szCs w:val="24"/>
      <w:lang w:val="en-US" w:eastAsia="zh-CN" w:bidi="ar-SA"/>
    </w:rPr>
  </w:style>
  <w:style w:type="character" w:customStyle="1" w:styleId="878">
    <w:name w:val="Char Char63"/>
    <w:autoRedefine/>
    <w:qFormat/>
    <w:uiPriority w:val="0"/>
    <w:rPr>
      <w:rFonts w:ascii="黑体" w:eastAsia="黑体"/>
      <w:b/>
      <w:bCs/>
      <w:kern w:val="2"/>
      <w:sz w:val="28"/>
      <w:szCs w:val="28"/>
      <w:lang w:val="en-US" w:eastAsia="zh-CN" w:bidi="ar-SA"/>
    </w:rPr>
  </w:style>
  <w:style w:type="character" w:customStyle="1" w:styleId="879">
    <w:name w:val="Char Char111"/>
    <w:autoRedefine/>
    <w:qFormat/>
    <w:uiPriority w:val="0"/>
    <w:rPr>
      <w:rFonts w:ascii="黑体" w:hAnsi="Arial" w:eastAsia="黑体"/>
      <w:b/>
      <w:bCs/>
      <w:kern w:val="2"/>
      <w:sz w:val="30"/>
      <w:szCs w:val="30"/>
      <w:lang w:val="en-US" w:eastAsia="zh-CN" w:bidi="ar-SA"/>
    </w:rPr>
  </w:style>
  <w:style w:type="character" w:customStyle="1" w:styleId="880">
    <w:name w:val="head121"/>
    <w:autoRedefine/>
    <w:qFormat/>
    <w:uiPriority w:val="0"/>
    <w:rPr>
      <w:sz w:val="22"/>
      <w:szCs w:val="22"/>
    </w:rPr>
  </w:style>
  <w:style w:type="character" w:customStyle="1" w:styleId="881">
    <w:name w:val="p9l1"/>
    <w:autoRedefine/>
    <w:qFormat/>
    <w:uiPriority w:val="0"/>
    <w:rPr>
      <w:rFonts w:ascii="黑体" w:hAnsi="黑体" w:eastAsia="宋体"/>
      <w:b/>
      <w:spacing w:val="10"/>
      <w:kern w:val="2"/>
      <w:sz w:val="18"/>
      <w:szCs w:val="18"/>
      <w:u w:val="none"/>
      <w:lang w:val="en-US" w:eastAsia="zh-CN" w:bidi="ar-SA"/>
    </w:rPr>
  </w:style>
  <w:style w:type="character" w:customStyle="1" w:styleId="882">
    <w:name w:val="yqlink"/>
    <w:basedOn w:val="90"/>
    <w:autoRedefine/>
    <w:qFormat/>
    <w:uiPriority w:val="0"/>
  </w:style>
  <w:style w:type="character" w:customStyle="1" w:styleId="883">
    <w:name w:val="样式 正文缩进 + 宋体 黑色 Char"/>
    <w:link w:val="884"/>
    <w:autoRedefine/>
    <w:qFormat/>
    <w:uiPriority w:val="0"/>
    <w:rPr>
      <w:rFonts w:ascii="宋体" w:hAnsi="宋体"/>
      <w:color w:val="000000"/>
      <w:sz w:val="24"/>
      <w:szCs w:val="24"/>
    </w:rPr>
  </w:style>
  <w:style w:type="paragraph" w:customStyle="1" w:styleId="884">
    <w:name w:val="样式 正文缩进 + 宋体 黑色"/>
    <w:basedOn w:val="9"/>
    <w:link w:val="883"/>
    <w:autoRedefine/>
    <w:qFormat/>
    <w:uiPriority w:val="0"/>
    <w:pPr>
      <w:spacing w:line="360" w:lineRule="auto"/>
      <w:ind w:firstLine="200"/>
      <w:jc w:val="left"/>
    </w:pPr>
    <w:rPr>
      <w:rFonts w:ascii="宋体" w:hAnsi="宋体"/>
      <w:color w:val="000000"/>
      <w:kern w:val="0"/>
      <w:sz w:val="24"/>
    </w:rPr>
  </w:style>
  <w:style w:type="character" w:customStyle="1" w:styleId="885">
    <w:name w:val="批注框文本 Char6"/>
    <w:autoRedefine/>
    <w:qFormat/>
    <w:uiPriority w:val="0"/>
    <w:rPr>
      <w:rFonts w:eastAsia="宋体"/>
      <w:kern w:val="2"/>
      <w:sz w:val="18"/>
      <w:szCs w:val="18"/>
      <w:lang w:val="en-US" w:eastAsia="zh-CN" w:bidi="ar-SA"/>
    </w:rPr>
  </w:style>
  <w:style w:type="character" w:customStyle="1" w:styleId="886">
    <w:name w:val="content"/>
    <w:autoRedefine/>
    <w:qFormat/>
    <w:uiPriority w:val="0"/>
    <w:rPr>
      <w:rFonts w:ascii="宋体" w:hAnsi="宋体" w:eastAsia="宋体"/>
      <w:b/>
      <w:spacing w:val="10"/>
      <w:kern w:val="2"/>
      <w:sz w:val="24"/>
      <w:szCs w:val="24"/>
      <w:lang w:val="en-US" w:eastAsia="zh-CN" w:bidi="ar-SA"/>
    </w:rPr>
  </w:style>
  <w:style w:type="character" w:customStyle="1" w:styleId="887">
    <w:name w:val="正文修改 Char15"/>
    <w:autoRedefine/>
    <w:qFormat/>
    <w:uiPriority w:val="0"/>
    <w:rPr>
      <w:rFonts w:ascii="宋体" w:hAnsi="宋体" w:eastAsia="宋体" w:cs="宋体"/>
      <w:color w:val="000000"/>
      <w:sz w:val="24"/>
      <w:szCs w:val="24"/>
    </w:rPr>
  </w:style>
  <w:style w:type="character" w:customStyle="1" w:styleId="888">
    <w:name w:val="标题1 Char"/>
    <w:autoRedefine/>
    <w:qFormat/>
    <w:uiPriority w:val="0"/>
    <w:rPr>
      <w:rFonts w:ascii="Times New Roman" w:hAnsi="Times New Roman" w:eastAsia="黑体"/>
      <w:kern w:val="2"/>
      <w:sz w:val="44"/>
      <w:szCs w:val="44"/>
    </w:rPr>
  </w:style>
  <w:style w:type="character" w:customStyle="1" w:styleId="889">
    <w:name w:val="环正文 Char2"/>
    <w:autoRedefine/>
    <w:qFormat/>
    <w:uiPriority w:val="0"/>
    <w:rPr>
      <w:rFonts w:ascii="宋体" w:hAnsi="宋体" w:eastAsia="宋体"/>
      <w:sz w:val="24"/>
      <w:lang w:val="en-US" w:eastAsia="zh-CN" w:bidi="ar-SA"/>
    </w:rPr>
  </w:style>
  <w:style w:type="character" w:customStyle="1" w:styleId="890">
    <w:name w:val="catalog1"/>
    <w:autoRedefine/>
    <w:qFormat/>
    <w:uiPriority w:val="0"/>
    <w:rPr>
      <w:rFonts w:eastAsia="宋体"/>
      <w:color w:val="000000"/>
      <w:kern w:val="2"/>
      <w:sz w:val="15"/>
      <w:szCs w:val="15"/>
      <w:u w:val="none"/>
      <w:lang w:val="en-US" w:eastAsia="zh-CN" w:bidi="ar-SA"/>
    </w:rPr>
  </w:style>
  <w:style w:type="character" w:customStyle="1" w:styleId="891">
    <w:name w:val="Char Char51"/>
    <w:autoRedefine/>
    <w:qFormat/>
    <w:uiPriority w:val="0"/>
    <w:rPr>
      <w:rFonts w:ascii="黑体" w:hAnsi="宋体" w:eastAsia="黑体"/>
      <w:bCs/>
      <w:kern w:val="2"/>
      <w:sz w:val="28"/>
      <w:szCs w:val="28"/>
      <w:lang w:val="en-US" w:eastAsia="zh-CN" w:bidi="ar-SA"/>
    </w:rPr>
  </w:style>
  <w:style w:type="character" w:customStyle="1" w:styleId="892">
    <w:name w:val="标题 2 Char1 Char"/>
    <w:autoRedefine/>
    <w:qFormat/>
    <w:uiPriority w:val="0"/>
    <w:rPr>
      <w:rFonts w:ascii="黑体" w:hAnsi="Arial" w:eastAsia="黑体"/>
      <w:b/>
      <w:bCs/>
      <w:kern w:val="2"/>
      <w:sz w:val="30"/>
      <w:szCs w:val="30"/>
      <w:lang w:val="en-US" w:eastAsia="zh-CN" w:bidi="ar-SA"/>
    </w:rPr>
  </w:style>
  <w:style w:type="character" w:customStyle="1" w:styleId="893">
    <w:name w:val="textlarge1"/>
    <w:autoRedefine/>
    <w:qFormat/>
    <w:uiPriority w:val="0"/>
    <w:rPr>
      <w:sz w:val="18"/>
      <w:szCs w:val="18"/>
    </w:rPr>
  </w:style>
  <w:style w:type="character" w:customStyle="1" w:styleId="894">
    <w:name w:val="Char Char161"/>
    <w:autoRedefine/>
    <w:qFormat/>
    <w:locked/>
    <w:uiPriority w:val="0"/>
    <w:rPr>
      <w:rFonts w:ascii="Times New Roman" w:hAnsi="Times New Roman" w:cs="Times New Roman"/>
      <w:szCs w:val="24"/>
    </w:rPr>
  </w:style>
  <w:style w:type="character" w:customStyle="1" w:styleId="895">
    <w:name w:val="small14"/>
    <w:basedOn w:val="90"/>
    <w:autoRedefine/>
    <w:qFormat/>
    <w:uiPriority w:val="0"/>
  </w:style>
  <w:style w:type="character" w:customStyle="1" w:styleId="896">
    <w:name w:val="size9"/>
    <w:basedOn w:val="90"/>
    <w:autoRedefine/>
    <w:qFormat/>
    <w:uiPriority w:val="0"/>
  </w:style>
  <w:style w:type="character" w:customStyle="1" w:styleId="897">
    <w:name w:val="样式 正文缩进 + 宋体 黑色 Char1"/>
    <w:autoRedefine/>
    <w:qFormat/>
    <w:uiPriority w:val="0"/>
    <w:rPr>
      <w:rFonts w:ascii="宋体" w:hAnsi="宋体" w:eastAsia="宋体"/>
      <w:color w:val="000000"/>
      <w:kern w:val="2"/>
      <w:sz w:val="24"/>
      <w:szCs w:val="24"/>
      <w:lang w:val="en-US" w:eastAsia="zh-CN" w:bidi="ar-SA"/>
    </w:rPr>
  </w:style>
  <w:style w:type="character" w:customStyle="1" w:styleId="898">
    <w:name w:val="表格内字体 Char21"/>
    <w:autoRedefine/>
    <w:qFormat/>
    <w:uiPriority w:val="0"/>
    <w:rPr>
      <w:rFonts w:ascii="宋体" w:hAnsi="宋体" w:eastAsia="宋体"/>
      <w:kern w:val="2"/>
      <w:sz w:val="21"/>
      <w:szCs w:val="24"/>
      <w:lang w:val="en-US" w:eastAsia="zh-CN" w:bidi="ar-SA"/>
    </w:rPr>
  </w:style>
  <w:style w:type="character" w:customStyle="1" w:styleId="899">
    <w:name w:val="title1"/>
    <w:autoRedefine/>
    <w:qFormat/>
    <w:uiPriority w:val="0"/>
    <w:rPr>
      <w:b/>
      <w:bCs/>
      <w:color w:val="D90000"/>
      <w:spacing w:val="330"/>
      <w:sz w:val="27"/>
      <w:szCs w:val="27"/>
    </w:rPr>
  </w:style>
  <w:style w:type="character" w:customStyle="1" w:styleId="900">
    <w:name w:val="正文格式 Char6"/>
    <w:autoRedefine/>
    <w:qFormat/>
    <w:uiPriority w:val="0"/>
    <w:rPr>
      <w:rFonts w:ascii="宋体" w:hAnsi="宋体" w:eastAsia="宋体" w:cs="Times New Roman"/>
      <w:kern w:val="2"/>
      <w:sz w:val="24"/>
      <w:szCs w:val="24"/>
      <w:lang w:val="en-US" w:eastAsia="zh-CN" w:bidi="ar-SA"/>
    </w:rPr>
  </w:style>
  <w:style w:type="character" w:customStyle="1" w:styleId="901">
    <w:name w:val="占位符文本1"/>
    <w:autoRedefine/>
    <w:qFormat/>
    <w:uiPriority w:val="0"/>
    <w:rPr>
      <w:rFonts w:eastAsia="宋体"/>
      <w:color w:val="808080"/>
      <w:kern w:val="2"/>
      <w:sz w:val="24"/>
      <w:szCs w:val="24"/>
      <w:lang w:val="en-US" w:eastAsia="zh-CN" w:bidi="ar-SA"/>
    </w:rPr>
  </w:style>
  <w:style w:type="character" w:customStyle="1" w:styleId="902">
    <w:name w:val="style401"/>
    <w:autoRedefine/>
    <w:qFormat/>
    <w:uiPriority w:val="0"/>
    <w:rPr>
      <w:color w:val="000000"/>
    </w:rPr>
  </w:style>
  <w:style w:type="character" w:customStyle="1" w:styleId="903">
    <w:name w:val="表格内字体 Char3"/>
    <w:autoRedefine/>
    <w:qFormat/>
    <w:uiPriority w:val="0"/>
    <w:rPr>
      <w:rFonts w:ascii="宋体" w:hAnsi="宋体" w:eastAsia="宋体"/>
      <w:kern w:val="2"/>
      <w:sz w:val="21"/>
      <w:szCs w:val="24"/>
      <w:lang w:val="en-US" w:eastAsia="zh-CN" w:bidi="ar-SA"/>
    </w:rPr>
  </w:style>
  <w:style w:type="character" w:customStyle="1" w:styleId="904">
    <w:name w:val="表中文字 Char25"/>
    <w:autoRedefine/>
    <w:qFormat/>
    <w:uiPriority w:val="0"/>
    <w:rPr>
      <w:rFonts w:ascii="宋体" w:eastAsia="宋体"/>
      <w:kern w:val="2"/>
      <w:sz w:val="21"/>
      <w:szCs w:val="21"/>
      <w:lang w:val="en-US" w:eastAsia="zh-CN" w:bidi="ar-SA"/>
    </w:rPr>
  </w:style>
  <w:style w:type="character" w:customStyle="1" w:styleId="905">
    <w:name w:val="题注 Char112"/>
    <w:autoRedefine/>
    <w:qFormat/>
    <w:uiPriority w:val="0"/>
    <w:rPr>
      <w:rFonts w:ascii="黑体" w:hAnsi="Arial" w:eastAsia="黑体" w:cs="Arial"/>
      <w:b/>
      <w:spacing w:val="10"/>
      <w:sz w:val="24"/>
      <w:szCs w:val="24"/>
    </w:rPr>
  </w:style>
  <w:style w:type="character" w:customStyle="1" w:styleId="906">
    <w:name w:val="题注 Char5"/>
    <w:autoRedefine/>
    <w:qFormat/>
    <w:uiPriority w:val="0"/>
    <w:rPr>
      <w:rFonts w:ascii="黑体" w:hAnsi="Arial" w:eastAsia="黑体" w:cs="Arial"/>
      <w:b/>
      <w:spacing w:val="10"/>
      <w:sz w:val="24"/>
      <w:szCs w:val="24"/>
    </w:rPr>
  </w:style>
  <w:style w:type="character" w:customStyle="1" w:styleId="907">
    <w:name w:val="style441"/>
    <w:autoRedefine/>
    <w:qFormat/>
    <w:uiPriority w:val="0"/>
    <w:rPr>
      <w:sz w:val="18"/>
      <w:szCs w:val="18"/>
    </w:rPr>
  </w:style>
  <w:style w:type="character" w:customStyle="1" w:styleId="908">
    <w:name w:val="正文修改 Char1112"/>
    <w:autoRedefine/>
    <w:qFormat/>
    <w:uiPriority w:val="0"/>
    <w:rPr>
      <w:rFonts w:ascii="宋体" w:hAnsi="宋体" w:eastAsia="宋体" w:cs="宋体"/>
      <w:color w:val="000000"/>
      <w:sz w:val="24"/>
      <w:szCs w:val="24"/>
    </w:rPr>
  </w:style>
  <w:style w:type="character" w:customStyle="1" w:styleId="909">
    <w:name w:val="style3 style1 style4"/>
    <w:basedOn w:val="90"/>
    <w:autoRedefine/>
    <w:qFormat/>
    <w:uiPriority w:val="0"/>
  </w:style>
  <w:style w:type="character" w:customStyle="1" w:styleId="910">
    <w:name w:val="样式 正文缩进 + 宋体 黑色 Char3"/>
    <w:autoRedefine/>
    <w:qFormat/>
    <w:uiPriority w:val="0"/>
    <w:rPr>
      <w:rFonts w:ascii="宋体" w:hAnsi="宋体" w:eastAsia="宋体" w:cs="Times New Roman"/>
      <w:color w:val="000000"/>
      <w:kern w:val="2"/>
      <w:sz w:val="24"/>
      <w:szCs w:val="24"/>
      <w:lang w:val="en-US" w:eastAsia="zh-CN" w:bidi="ar-SA"/>
    </w:rPr>
  </w:style>
  <w:style w:type="character" w:customStyle="1" w:styleId="911">
    <w:name w:val="Char Char102"/>
    <w:autoRedefine/>
    <w:qFormat/>
    <w:locked/>
    <w:uiPriority w:val="0"/>
    <w:rPr>
      <w:rFonts w:eastAsia="宋体"/>
      <w:kern w:val="2"/>
      <w:sz w:val="21"/>
      <w:lang w:val="en-US" w:eastAsia="zh-CN" w:bidi="ar-SA"/>
    </w:rPr>
  </w:style>
  <w:style w:type="character" w:customStyle="1" w:styleId="912">
    <w:name w:val="谏壁正文chen Char"/>
    <w:link w:val="913"/>
    <w:autoRedefine/>
    <w:qFormat/>
    <w:uiPriority w:val="0"/>
    <w:rPr>
      <w:sz w:val="24"/>
      <w:szCs w:val="24"/>
    </w:rPr>
  </w:style>
  <w:style w:type="paragraph" w:customStyle="1" w:styleId="913">
    <w:name w:val="谏壁正文chen"/>
    <w:basedOn w:val="1"/>
    <w:link w:val="912"/>
    <w:autoRedefine/>
    <w:qFormat/>
    <w:uiPriority w:val="0"/>
    <w:pPr>
      <w:spacing w:line="360" w:lineRule="auto"/>
      <w:ind w:firstLine="200" w:firstLineChars="200"/>
    </w:pPr>
    <w:rPr>
      <w:kern w:val="0"/>
      <w:sz w:val="24"/>
      <w:lang w:val="zh-CN"/>
    </w:rPr>
  </w:style>
  <w:style w:type="character" w:customStyle="1" w:styleId="914">
    <w:name w:val="环评正文 Char1"/>
    <w:autoRedefine/>
    <w:qFormat/>
    <w:uiPriority w:val="0"/>
    <w:rPr>
      <w:rFonts w:eastAsia="宋体"/>
      <w:bCs/>
      <w:kern w:val="2"/>
      <w:sz w:val="24"/>
      <w:szCs w:val="24"/>
      <w:lang w:val="en-US" w:eastAsia="zh-CN" w:bidi="ar-SA"/>
    </w:rPr>
  </w:style>
  <w:style w:type="character" w:customStyle="1" w:styleId="915">
    <w:name w:val="表格内容 Char Char"/>
    <w:autoRedefine/>
    <w:qFormat/>
    <w:uiPriority w:val="0"/>
    <w:rPr>
      <w:rFonts w:ascii="Times New Roman" w:hAnsi="Times New Roman" w:cs="Arial Unicode MS"/>
      <w:color w:val="000000"/>
      <w:kern w:val="2"/>
      <w:sz w:val="18"/>
      <w:szCs w:val="24"/>
    </w:rPr>
  </w:style>
  <w:style w:type="character" w:customStyle="1" w:styleId="916">
    <w:name w:val="Char Char152"/>
    <w:autoRedefine/>
    <w:qFormat/>
    <w:uiPriority w:val="0"/>
    <w:rPr>
      <w:rFonts w:hint="eastAsia" w:ascii="宋体" w:hAnsi="Courier New" w:eastAsia="宋体"/>
      <w:sz w:val="18"/>
      <w:lang w:val="en-US" w:eastAsia="zh-CN" w:bidi="ar-SA"/>
    </w:rPr>
  </w:style>
  <w:style w:type="character" w:customStyle="1" w:styleId="917">
    <w:name w:val="图表题 Char3"/>
    <w:autoRedefine/>
    <w:qFormat/>
    <w:uiPriority w:val="0"/>
    <w:rPr>
      <w:rFonts w:ascii="黑体" w:hAnsi="宋体" w:eastAsia="黑体" w:cs="宋体"/>
      <w:b/>
      <w:bCs/>
      <w:spacing w:val="10"/>
      <w:sz w:val="24"/>
      <w:szCs w:val="24"/>
    </w:rPr>
  </w:style>
  <w:style w:type="character" w:customStyle="1" w:styleId="918">
    <w:name w:val="headline-content"/>
    <w:basedOn w:val="90"/>
    <w:autoRedefine/>
    <w:qFormat/>
    <w:uiPriority w:val="0"/>
  </w:style>
  <w:style w:type="character" w:customStyle="1" w:styleId="919">
    <w:name w:val="Char Char13"/>
    <w:autoRedefine/>
    <w:qFormat/>
    <w:uiPriority w:val="0"/>
    <w:rPr>
      <w:rFonts w:eastAsia="宋体"/>
      <w:kern w:val="2"/>
      <w:sz w:val="21"/>
      <w:lang w:val="en-US" w:eastAsia="zh-CN" w:bidi="ar-SA"/>
    </w:rPr>
  </w:style>
  <w:style w:type="character" w:customStyle="1" w:styleId="920">
    <w:name w:val="Char Char114"/>
    <w:autoRedefine/>
    <w:qFormat/>
    <w:uiPriority w:val="0"/>
    <w:rPr>
      <w:rFonts w:ascii="黑体" w:hAnsi="Arial" w:eastAsia="黑体"/>
      <w:bCs/>
      <w:kern w:val="2"/>
      <w:sz w:val="30"/>
      <w:szCs w:val="30"/>
      <w:lang w:val="en-US" w:eastAsia="zh-CN" w:bidi="ar-SA"/>
    </w:rPr>
  </w:style>
  <w:style w:type="character" w:customStyle="1" w:styleId="921">
    <w:name w:val="题注 Char211"/>
    <w:autoRedefine/>
    <w:qFormat/>
    <w:uiPriority w:val="0"/>
    <w:rPr>
      <w:rFonts w:ascii="黑体" w:hAnsi="Arial" w:eastAsia="黑体" w:cs="Arial"/>
      <w:b/>
      <w:spacing w:val="10"/>
      <w:sz w:val="24"/>
      <w:szCs w:val="24"/>
    </w:rPr>
  </w:style>
  <w:style w:type="character" w:customStyle="1" w:styleId="922">
    <w:name w:val="题注 Char61"/>
    <w:autoRedefine/>
    <w:qFormat/>
    <w:uiPriority w:val="0"/>
    <w:rPr>
      <w:rFonts w:ascii="黑体" w:hAnsi="Arial" w:eastAsia="黑体" w:cs="Arial"/>
      <w:b/>
      <w:spacing w:val="10"/>
      <w:sz w:val="24"/>
      <w:szCs w:val="24"/>
    </w:rPr>
  </w:style>
  <w:style w:type="character" w:customStyle="1" w:styleId="923">
    <w:name w:val="Char Char14"/>
    <w:autoRedefine/>
    <w:qFormat/>
    <w:locked/>
    <w:uiPriority w:val="0"/>
    <w:rPr>
      <w:rFonts w:ascii="Times New Roman" w:hAnsi="Times New Roman" w:eastAsia="宋体" w:cs="宋体"/>
      <w:kern w:val="2"/>
      <w:szCs w:val="24"/>
      <w:lang w:val="en-US" w:eastAsia="zh-CN" w:bidi="ar-SA"/>
    </w:rPr>
  </w:style>
  <w:style w:type="character" w:customStyle="1" w:styleId="924">
    <w:name w:val="Char Char15"/>
    <w:basedOn w:val="90"/>
    <w:autoRedefine/>
    <w:qFormat/>
    <w:locked/>
    <w:uiPriority w:val="0"/>
  </w:style>
  <w:style w:type="character" w:customStyle="1" w:styleId="925">
    <w:name w:val="正文修改 Char1111"/>
    <w:autoRedefine/>
    <w:qFormat/>
    <w:uiPriority w:val="0"/>
    <w:rPr>
      <w:rFonts w:ascii="宋体" w:hAnsi="宋体" w:eastAsia="宋体" w:cs="宋体"/>
      <w:color w:val="000000"/>
      <w:sz w:val="24"/>
      <w:szCs w:val="24"/>
    </w:rPr>
  </w:style>
  <w:style w:type="character" w:customStyle="1" w:styleId="926">
    <w:name w:val="表题1 Char611"/>
    <w:autoRedefine/>
    <w:qFormat/>
    <w:uiPriority w:val="0"/>
    <w:rPr>
      <w:rFonts w:ascii="黑体" w:hAnsi="Arial" w:eastAsia="黑体" w:cs="Arial"/>
      <w:b/>
      <w:kern w:val="2"/>
      <w:sz w:val="24"/>
      <w:szCs w:val="24"/>
      <w:lang w:val="en-US" w:eastAsia="zh-CN" w:bidi="ar-SA"/>
    </w:rPr>
  </w:style>
  <w:style w:type="character" w:customStyle="1" w:styleId="927">
    <w:name w:val="图表题 Char11"/>
    <w:autoRedefine/>
    <w:qFormat/>
    <w:uiPriority w:val="0"/>
    <w:rPr>
      <w:rFonts w:ascii="黑体" w:hAnsi="宋体" w:eastAsia="黑体" w:cs="宋体"/>
      <w:b/>
      <w:bCs/>
      <w:spacing w:val="10"/>
      <w:sz w:val="24"/>
      <w:szCs w:val="24"/>
    </w:rPr>
  </w:style>
  <w:style w:type="character" w:customStyle="1" w:styleId="928">
    <w:name w:val="Char4 Char Char"/>
    <w:autoRedefine/>
    <w:qFormat/>
    <w:locked/>
    <w:uiPriority w:val="0"/>
    <w:rPr>
      <w:sz w:val="18"/>
      <w:szCs w:val="18"/>
    </w:rPr>
  </w:style>
  <w:style w:type="character" w:customStyle="1" w:styleId="929">
    <w:name w:val="特点标题 Char1"/>
    <w:autoRedefine/>
    <w:qFormat/>
    <w:uiPriority w:val="0"/>
    <w:rPr>
      <w:rFonts w:ascii="Calibri" w:hAnsi="Calibri" w:eastAsia="宋体" w:cs="Times New Roman"/>
    </w:rPr>
  </w:style>
  <w:style w:type="character" w:customStyle="1" w:styleId="930">
    <w:name w:val="兴武正文 Char"/>
    <w:link w:val="931"/>
    <w:autoRedefine/>
    <w:qFormat/>
    <w:uiPriority w:val="0"/>
    <w:rPr>
      <w:sz w:val="24"/>
    </w:rPr>
  </w:style>
  <w:style w:type="paragraph" w:customStyle="1" w:styleId="931">
    <w:name w:val="兴武正文"/>
    <w:basedOn w:val="1"/>
    <w:link w:val="930"/>
    <w:autoRedefine/>
    <w:qFormat/>
    <w:uiPriority w:val="0"/>
    <w:pPr>
      <w:spacing w:line="480" w:lineRule="exact"/>
      <w:ind w:firstLine="200" w:firstLineChars="200"/>
    </w:pPr>
    <w:rPr>
      <w:kern w:val="0"/>
      <w:sz w:val="24"/>
      <w:szCs w:val="20"/>
      <w:lang w:val="zh-CN"/>
    </w:rPr>
  </w:style>
  <w:style w:type="character" w:customStyle="1" w:styleId="932">
    <w:name w:val="正文格式 Char12"/>
    <w:autoRedefine/>
    <w:qFormat/>
    <w:uiPriority w:val="0"/>
    <w:rPr>
      <w:rFonts w:ascii="宋体" w:hAnsi="宋体" w:eastAsia="宋体" w:cs="Times New Roman"/>
      <w:kern w:val="2"/>
      <w:sz w:val="24"/>
      <w:szCs w:val="24"/>
      <w:lang w:val="en-US" w:eastAsia="zh-CN" w:bidi="ar-SA"/>
    </w:rPr>
  </w:style>
  <w:style w:type="character" w:customStyle="1" w:styleId="933">
    <w:name w:val="标题 1 Char5"/>
    <w:autoRedefine/>
    <w:qFormat/>
    <w:uiPriority w:val="0"/>
    <w:rPr>
      <w:rFonts w:ascii="黑体" w:hAnsi="宋体" w:eastAsia="黑体" w:cs="Times New Roman"/>
      <w:bCs/>
      <w:kern w:val="44"/>
      <w:sz w:val="32"/>
      <w:szCs w:val="32"/>
      <w:lang w:val="en-US" w:eastAsia="zh-CN" w:bidi="ar-SA"/>
    </w:rPr>
  </w:style>
  <w:style w:type="character" w:customStyle="1" w:styleId="934">
    <w:name w:val="style3 grey"/>
    <w:basedOn w:val="90"/>
    <w:autoRedefine/>
    <w:qFormat/>
    <w:uiPriority w:val="0"/>
  </w:style>
  <w:style w:type="character" w:customStyle="1" w:styleId="935">
    <w:name w:val="题注 Char13"/>
    <w:autoRedefine/>
    <w:qFormat/>
    <w:uiPriority w:val="0"/>
    <w:rPr>
      <w:rFonts w:ascii="黑体" w:hAnsi="Arial" w:eastAsia="黑体" w:cs="Arial"/>
      <w:b/>
      <w:spacing w:val="10"/>
      <w:sz w:val="24"/>
      <w:szCs w:val="24"/>
    </w:rPr>
  </w:style>
  <w:style w:type="character" w:customStyle="1" w:styleId="936">
    <w:name w:val="正文文本 2 Char1"/>
    <w:autoRedefine/>
    <w:qFormat/>
    <w:uiPriority w:val="0"/>
    <w:rPr>
      <w:rFonts w:ascii="Calibri" w:hAnsi="Calibri" w:eastAsia="宋体" w:cs="Times New Roman"/>
    </w:rPr>
  </w:style>
  <w:style w:type="character" w:customStyle="1" w:styleId="937">
    <w:name w:val="日期 Char1"/>
    <w:autoRedefine/>
    <w:qFormat/>
    <w:uiPriority w:val="0"/>
    <w:rPr>
      <w:rFonts w:ascii="Calibri" w:hAnsi="Calibri" w:eastAsia="宋体" w:cs="Times New Roman"/>
    </w:rPr>
  </w:style>
  <w:style w:type="character" w:customStyle="1" w:styleId="938">
    <w:name w:val="9css21"/>
    <w:autoRedefine/>
    <w:qFormat/>
    <w:uiPriority w:val="0"/>
    <w:rPr>
      <w:spacing w:val="268"/>
      <w:sz w:val="20"/>
      <w:szCs w:val="20"/>
    </w:rPr>
  </w:style>
  <w:style w:type="character" w:customStyle="1" w:styleId="939">
    <w:name w:val="Balloon Text Char"/>
    <w:autoRedefine/>
    <w:qFormat/>
    <w:locked/>
    <w:uiPriority w:val="0"/>
    <w:rPr>
      <w:rFonts w:ascii="宋体" w:hAnsi="宋体" w:eastAsia="宋体"/>
      <w:kern w:val="2"/>
      <w:sz w:val="18"/>
      <w:szCs w:val="18"/>
      <w:lang w:val="en-US" w:eastAsia="zh-CN" w:bidi="ar-SA"/>
    </w:rPr>
  </w:style>
  <w:style w:type="character" w:customStyle="1" w:styleId="940">
    <w:name w:val="文档结构图 Char4"/>
    <w:autoRedefine/>
    <w:qFormat/>
    <w:uiPriority w:val="0"/>
    <w:rPr>
      <w:rFonts w:ascii="Times New Roman" w:hAnsi="Times New Roman" w:eastAsia="宋体" w:cs="Times New Roman"/>
      <w:kern w:val="2"/>
      <w:sz w:val="24"/>
      <w:szCs w:val="24"/>
      <w:shd w:val="clear" w:color="auto" w:fill="000080"/>
      <w:lang w:val="en-US" w:eastAsia="zh-CN" w:bidi="ar-SA"/>
    </w:rPr>
  </w:style>
  <w:style w:type="character" w:customStyle="1" w:styleId="941">
    <w:name w:val="目标题 1) Char1"/>
    <w:autoRedefine/>
    <w:qFormat/>
    <w:locked/>
    <w:uiPriority w:val="0"/>
    <w:rPr>
      <w:rFonts w:ascii="Arial" w:hAnsi="Arial" w:eastAsia="黑体"/>
      <w:sz w:val="24"/>
      <w:lang w:val="en-US" w:eastAsia="zh-CN" w:bidi="ar-SA"/>
    </w:rPr>
  </w:style>
  <w:style w:type="character" w:customStyle="1" w:styleId="942">
    <w:name w:val="tex-biaoti1"/>
    <w:autoRedefine/>
    <w:qFormat/>
    <w:uiPriority w:val="0"/>
  </w:style>
  <w:style w:type="character" w:customStyle="1" w:styleId="943">
    <w:name w:val="表题1 Char62"/>
    <w:autoRedefine/>
    <w:qFormat/>
    <w:uiPriority w:val="0"/>
    <w:rPr>
      <w:rFonts w:ascii="黑体" w:hAnsi="Arial" w:eastAsia="黑体" w:cs="Arial"/>
      <w:b/>
      <w:kern w:val="2"/>
      <w:sz w:val="24"/>
      <w:szCs w:val="24"/>
      <w:lang w:val="en-US" w:eastAsia="zh-CN" w:bidi="ar-SA"/>
    </w:rPr>
  </w:style>
  <w:style w:type="character" w:customStyle="1" w:styleId="944">
    <w:name w:val="Char Char"/>
    <w:autoRedefine/>
    <w:qFormat/>
    <w:uiPriority w:val="0"/>
    <w:rPr>
      <w:rFonts w:ascii="Times New Roman" w:hAnsi="Times New Roman"/>
      <w:kern w:val="2"/>
      <w:sz w:val="24"/>
      <w:szCs w:val="24"/>
    </w:rPr>
  </w:style>
  <w:style w:type="character" w:customStyle="1" w:styleId="945">
    <w:name w:val="jj1"/>
    <w:basedOn w:val="90"/>
    <w:autoRedefine/>
    <w:qFormat/>
    <w:uiPriority w:val="0"/>
  </w:style>
  <w:style w:type="character" w:customStyle="1" w:styleId="946">
    <w:name w:val="段 Char"/>
    <w:link w:val="947"/>
    <w:autoRedefine/>
    <w:qFormat/>
    <w:uiPriority w:val="0"/>
    <w:rPr>
      <w:rFonts w:ascii="宋体"/>
      <w:sz w:val="24"/>
      <w:szCs w:val="24"/>
    </w:rPr>
  </w:style>
  <w:style w:type="paragraph" w:customStyle="1" w:styleId="947">
    <w:name w:val="段"/>
    <w:basedOn w:val="1"/>
    <w:link w:val="946"/>
    <w:autoRedefine/>
    <w:qFormat/>
    <w:uiPriority w:val="0"/>
    <w:pPr>
      <w:ind w:firstLine="200" w:firstLineChars="200"/>
      <w:jc w:val="left"/>
    </w:pPr>
    <w:rPr>
      <w:rFonts w:ascii="宋体"/>
      <w:kern w:val="0"/>
      <w:sz w:val="24"/>
      <w:lang w:val="zh-CN"/>
    </w:rPr>
  </w:style>
  <w:style w:type="character" w:customStyle="1" w:styleId="948">
    <w:name w:val="x1"/>
    <w:basedOn w:val="90"/>
    <w:autoRedefine/>
    <w:qFormat/>
    <w:uiPriority w:val="0"/>
  </w:style>
  <w:style w:type="character" w:customStyle="1" w:styleId="949">
    <w:name w:val="正文1-1 Char"/>
    <w:link w:val="950"/>
    <w:autoRedefine/>
    <w:qFormat/>
    <w:uiPriority w:val="0"/>
    <w:rPr>
      <w:rFonts w:eastAsia="仿宋_GB2312"/>
      <w:sz w:val="28"/>
    </w:rPr>
  </w:style>
  <w:style w:type="paragraph" w:customStyle="1" w:styleId="950">
    <w:name w:val="正文1-1"/>
    <w:basedOn w:val="1"/>
    <w:link w:val="949"/>
    <w:autoRedefine/>
    <w:qFormat/>
    <w:uiPriority w:val="0"/>
    <w:pPr>
      <w:widowControl/>
      <w:snapToGrid w:val="0"/>
      <w:spacing w:line="360" w:lineRule="auto"/>
      <w:ind w:firstLine="200" w:firstLineChars="200"/>
      <w:jc w:val="left"/>
    </w:pPr>
    <w:rPr>
      <w:rFonts w:eastAsia="仿宋_GB2312"/>
      <w:kern w:val="0"/>
      <w:sz w:val="28"/>
      <w:szCs w:val="20"/>
      <w:lang w:val="zh-CN"/>
    </w:rPr>
  </w:style>
  <w:style w:type="character" w:customStyle="1" w:styleId="951">
    <w:name w:val="样式 标题 2节标题 1.1节第一章 标题 2Heading 2 HiddenHeading 2 CCBSheadi... Char Char"/>
    <w:link w:val="952"/>
    <w:autoRedefine/>
    <w:qFormat/>
    <w:uiPriority w:val="0"/>
    <w:rPr>
      <w:rFonts w:ascii="Arial" w:hAnsi="Arial"/>
      <w:b/>
      <w:bCs/>
      <w:sz w:val="30"/>
      <w:szCs w:val="32"/>
    </w:rPr>
  </w:style>
  <w:style w:type="paragraph" w:customStyle="1" w:styleId="952">
    <w:name w:val="样式 标题 2节标题 1.1节第一章 标题 2Heading 2 HiddenHeading 2 CCBSheadi..."/>
    <w:basedOn w:val="4"/>
    <w:link w:val="951"/>
    <w:autoRedefine/>
    <w:qFormat/>
    <w:uiPriority w:val="0"/>
    <w:pPr>
      <w:spacing w:beforeLines="50" w:after="0" w:line="480" w:lineRule="auto"/>
    </w:pPr>
    <w:rPr>
      <w:rFonts w:ascii="Arial" w:hAnsi="Arial"/>
      <w:sz w:val="30"/>
    </w:rPr>
  </w:style>
  <w:style w:type="character" w:customStyle="1" w:styleId="953">
    <w:name w:val="标题 3 Char2"/>
    <w:autoRedefine/>
    <w:qFormat/>
    <w:uiPriority w:val="0"/>
    <w:rPr>
      <w:rFonts w:eastAsia="宋体"/>
      <w:b/>
      <w:kern w:val="2"/>
      <w:sz w:val="32"/>
      <w:lang w:val="en-US" w:eastAsia="zh-CN"/>
    </w:rPr>
  </w:style>
  <w:style w:type="character" w:customStyle="1" w:styleId="954">
    <w:name w:val="style611"/>
    <w:autoRedefine/>
    <w:qFormat/>
    <w:uiPriority w:val="0"/>
    <w:rPr>
      <w:rFonts w:eastAsia="宋体"/>
      <w:color w:val="000000"/>
      <w:kern w:val="2"/>
      <w:sz w:val="28"/>
      <w:szCs w:val="28"/>
      <w:lang w:val="en-US" w:eastAsia="zh-CN" w:bidi="ar-SA"/>
    </w:rPr>
  </w:style>
  <w:style w:type="character" w:customStyle="1" w:styleId="955">
    <w:name w:val="表中文字 Char1"/>
    <w:link w:val="956"/>
    <w:autoRedefine/>
    <w:qFormat/>
    <w:uiPriority w:val="0"/>
  </w:style>
  <w:style w:type="paragraph" w:customStyle="1" w:styleId="956">
    <w:name w:val="表中文字"/>
    <w:basedOn w:val="1"/>
    <w:link w:val="955"/>
    <w:autoRedefine/>
    <w:qFormat/>
    <w:uiPriority w:val="0"/>
    <w:pPr>
      <w:jc w:val="center"/>
    </w:pPr>
    <w:rPr>
      <w:kern w:val="0"/>
      <w:sz w:val="20"/>
      <w:szCs w:val="20"/>
    </w:rPr>
  </w:style>
  <w:style w:type="character" w:customStyle="1" w:styleId="957">
    <w:name w:val="e91"/>
    <w:autoRedefine/>
    <w:qFormat/>
    <w:uiPriority w:val="0"/>
    <w:rPr>
      <w:rFonts w:hint="default" w:ascii="Arial" w:hAnsi="Arial" w:eastAsia="仿宋_GB2312" w:cs="Arial"/>
      <w:spacing w:val="10"/>
      <w:kern w:val="2"/>
      <w:sz w:val="21"/>
      <w:szCs w:val="21"/>
      <w:lang w:val="zh-CN" w:eastAsia="zh-CN" w:bidi="ar-SA"/>
    </w:rPr>
  </w:style>
  <w:style w:type="character" w:customStyle="1" w:styleId="958">
    <w:name w:val="style10"/>
    <w:basedOn w:val="90"/>
    <w:autoRedefine/>
    <w:qFormat/>
    <w:uiPriority w:val="0"/>
  </w:style>
  <w:style w:type="character" w:customStyle="1" w:styleId="959">
    <w:name w:val="正文aa Char"/>
    <w:autoRedefine/>
    <w:qFormat/>
    <w:uiPriority w:val="0"/>
    <w:rPr>
      <w:rFonts w:ascii="仿宋_GB2312" w:hAnsi="黑体" w:eastAsia="宋体"/>
      <w:spacing w:val="10"/>
      <w:kern w:val="2"/>
      <w:sz w:val="24"/>
      <w:szCs w:val="24"/>
      <w:lang w:val="en-US" w:eastAsia="zh-CN" w:bidi="ar-SA"/>
    </w:rPr>
  </w:style>
  <w:style w:type="character" w:customStyle="1" w:styleId="960">
    <w:name w:val="edit"/>
    <w:autoRedefine/>
    <w:qFormat/>
    <w:uiPriority w:val="0"/>
    <w:rPr>
      <w:rFonts w:eastAsia="宋体"/>
      <w:kern w:val="2"/>
      <w:sz w:val="28"/>
      <w:szCs w:val="28"/>
      <w:lang w:val="en-US" w:eastAsia="zh-CN" w:bidi="ar-SA"/>
    </w:rPr>
  </w:style>
  <w:style w:type="character" w:customStyle="1" w:styleId="961">
    <w:name w:val="unnamed11"/>
    <w:autoRedefine/>
    <w:qFormat/>
    <w:uiPriority w:val="0"/>
    <w:rPr>
      <w:sz w:val="18"/>
      <w:szCs w:val="18"/>
      <w:u w:val="none"/>
    </w:rPr>
  </w:style>
  <w:style w:type="character" w:customStyle="1" w:styleId="962">
    <w:name w:val="正文缩进2"/>
    <w:autoRedefine/>
    <w:qFormat/>
    <w:uiPriority w:val="0"/>
  </w:style>
  <w:style w:type="character" w:customStyle="1" w:styleId="963">
    <w:name w:val="副标题1"/>
    <w:autoRedefine/>
    <w:qFormat/>
    <w:uiPriority w:val="0"/>
    <w:rPr>
      <w:rFonts w:eastAsia="宋体"/>
      <w:kern w:val="2"/>
      <w:sz w:val="28"/>
      <w:szCs w:val="28"/>
      <w:lang w:val="en-US" w:eastAsia="zh-CN" w:bidi="ar-SA"/>
    </w:rPr>
  </w:style>
  <w:style w:type="character" w:customStyle="1" w:styleId="964">
    <w:name w:val="Char Char20"/>
    <w:autoRedefine/>
    <w:qFormat/>
    <w:uiPriority w:val="0"/>
    <w:rPr>
      <w:rFonts w:ascii="宋体" w:hAnsi="黑体" w:eastAsia="宋体"/>
      <w:b/>
      <w:spacing w:val="10"/>
      <w:kern w:val="44"/>
      <w:sz w:val="18"/>
      <w:szCs w:val="18"/>
      <w:lang w:val="en-US" w:eastAsia="zh-CN" w:bidi="ar-SA"/>
    </w:rPr>
  </w:style>
  <w:style w:type="character" w:customStyle="1" w:styleId="965">
    <w:name w:val="标题 Char1"/>
    <w:autoRedefine/>
    <w:qFormat/>
    <w:uiPriority w:val="10"/>
    <w:rPr>
      <w:rFonts w:ascii="Arial" w:hAnsi="Arial" w:cs="Arial"/>
      <w:b/>
      <w:bCs/>
      <w:kern w:val="2"/>
      <w:sz w:val="32"/>
      <w:szCs w:val="32"/>
    </w:rPr>
  </w:style>
  <w:style w:type="character" w:customStyle="1" w:styleId="966">
    <w:name w:val="announ-title"/>
    <w:autoRedefine/>
    <w:qFormat/>
    <w:uiPriority w:val="0"/>
    <w:rPr>
      <w:rFonts w:eastAsia="宋体"/>
      <w:kern w:val="2"/>
      <w:sz w:val="28"/>
      <w:szCs w:val="28"/>
      <w:lang w:val="en-US" w:eastAsia="zh-CN" w:bidi="ar-SA"/>
    </w:rPr>
  </w:style>
  <w:style w:type="character" w:customStyle="1" w:styleId="967">
    <w:name w:val="普通文字 Char Char"/>
    <w:autoRedefine/>
    <w:qFormat/>
    <w:uiPriority w:val="0"/>
    <w:rPr>
      <w:rFonts w:ascii="宋体" w:hAnsi="Courier New" w:eastAsia="宋体"/>
      <w:kern w:val="2"/>
      <w:sz w:val="21"/>
      <w:lang w:val="en-US" w:eastAsia="zh-CN"/>
    </w:rPr>
  </w:style>
  <w:style w:type="character" w:customStyle="1" w:styleId="968">
    <w:name w:val="indetail1"/>
    <w:autoRedefine/>
    <w:qFormat/>
    <w:uiPriority w:val="0"/>
    <w:rPr>
      <w:sz w:val="18"/>
      <w:szCs w:val="18"/>
      <w:bdr w:val="single" w:color="E2E2E2" w:sz="6" w:space="0"/>
    </w:rPr>
  </w:style>
  <w:style w:type="character" w:customStyle="1" w:styleId="969">
    <w:name w:val="正文文字 Char"/>
    <w:link w:val="970"/>
    <w:autoRedefine/>
    <w:qFormat/>
    <w:uiPriority w:val="0"/>
    <w:rPr>
      <w:rFonts w:ascii="仿宋_GB2312" w:hAnsi="Arial Black" w:eastAsia="仿宋_GB2312"/>
      <w:sz w:val="28"/>
    </w:rPr>
  </w:style>
  <w:style w:type="paragraph" w:customStyle="1" w:styleId="970">
    <w:name w:val="正文文字"/>
    <w:basedOn w:val="1"/>
    <w:link w:val="969"/>
    <w:autoRedefine/>
    <w:qFormat/>
    <w:uiPriority w:val="0"/>
    <w:pPr>
      <w:adjustRightInd w:val="0"/>
      <w:spacing w:line="360" w:lineRule="auto"/>
      <w:jc w:val="left"/>
      <w:textAlignment w:val="baseline"/>
    </w:pPr>
    <w:rPr>
      <w:rFonts w:ascii="仿宋_GB2312" w:hAnsi="Arial Black" w:eastAsia="仿宋_GB2312"/>
      <w:kern w:val="0"/>
      <w:sz w:val="28"/>
      <w:szCs w:val="20"/>
      <w:lang w:val="zh-CN"/>
    </w:rPr>
  </w:style>
  <w:style w:type="character" w:customStyle="1" w:styleId="971">
    <w:name w:val="表格标题2 Char Char"/>
    <w:link w:val="972"/>
    <w:autoRedefine/>
    <w:qFormat/>
    <w:uiPriority w:val="0"/>
    <w:rPr>
      <w:rFonts w:ascii="Arial" w:hAnsi="Arial"/>
      <w:sz w:val="28"/>
      <w:szCs w:val="24"/>
    </w:rPr>
  </w:style>
  <w:style w:type="paragraph" w:customStyle="1" w:styleId="972">
    <w:name w:val="表格标题2 Char"/>
    <w:basedOn w:val="1"/>
    <w:link w:val="971"/>
    <w:autoRedefine/>
    <w:qFormat/>
    <w:uiPriority w:val="0"/>
    <w:pPr>
      <w:tabs>
        <w:tab w:val="center" w:pos="6832"/>
        <w:tab w:val="right" w:pos="13608"/>
      </w:tabs>
      <w:spacing w:after="60" w:line="312" w:lineRule="auto"/>
      <w:ind w:left="5" w:hanging="5"/>
    </w:pPr>
    <w:rPr>
      <w:rFonts w:ascii="Arial" w:hAnsi="Arial"/>
      <w:kern w:val="0"/>
      <w:sz w:val="28"/>
      <w:lang w:val="zh-CN"/>
    </w:rPr>
  </w:style>
  <w:style w:type="character" w:customStyle="1" w:styleId="973">
    <w:name w:val="正文1"/>
    <w:autoRedefine/>
    <w:qFormat/>
    <w:uiPriority w:val="0"/>
    <w:rPr>
      <w:rFonts w:hint="eastAsia" w:ascii="宋体" w:hAnsi="宋体" w:eastAsia="宋体"/>
      <w:color w:val="000000"/>
      <w:sz w:val="22"/>
      <w:szCs w:val="22"/>
    </w:rPr>
  </w:style>
  <w:style w:type="character" w:customStyle="1" w:styleId="974">
    <w:name w:val="样式 标题 2节 + 宋体 左 Char Char1"/>
    <w:autoRedefine/>
    <w:qFormat/>
    <w:uiPriority w:val="0"/>
    <w:rPr>
      <w:rFonts w:ascii="宋体" w:hAnsi="宋体" w:eastAsia="宋体" w:cs="宋体"/>
      <w:b/>
      <w:bCs/>
      <w:kern w:val="2"/>
      <w:sz w:val="28"/>
      <w:szCs w:val="24"/>
      <w:lang w:val="en-US" w:eastAsia="zh-CN" w:bidi="ar-SA"/>
    </w:rPr>
  </w:style>
  <w:style w:type="character" w:customStyle="1" w:styleId="975">
    <w:name w:val="p141"/>
    <w:autoRedefine/>
    <w:qFormat/>
    <w:uiPriority w:val="0"/>
    <w:rPr>
      <w:sz w:val="21"/>
      <w:szCs w:val="21"/>
    </w:rPr>
  </w:style>
  <w:style w:type="character" w:customStyle="1" w:styleId="976">
    <w:name w:val="sect 1.23 Char"/>
    <w:autoRedefine/>
    <w:qFormat/>
    <w:uiPriority w:val="0"/>
    <w:rPr>
      <w:rFonts w:ascii="仿宋_GB2312" w:hAnsi="Times New Roman" w:eastAsia="仿宋_GB2312" w:cs="Times New Roman"/>
      <w:b/>
      <w:sz w:val="28"/>
      <w:szCs w:val="20"/>
    </w:rPr>
  </w:style>
  <w:style w:type="character" w:customStyle="1" w:styleId="977">
    <w:name w:val="Char Char1"/>
    <w:autoRedefine/>
    <w:qFormat/>
    <w:uiPriority w:val="0"/>
    <w:rPr>
      <w:rFonts w:ascii="Arial" w:hAnsi="Arial" w:eastAsia="宋体" w:cs="Arial"/>
      <w:b/>
      <w:bCs/>
      <w:kern w:val="2"/>
      <w:sz w:val="32"/>
      <w:szCs w:val="32"/>
      <w:lang w:val="en-US" w:eastAsia="zh-CN" w:bidi="ar-SA"/>
    </w:rPr>
  </w:style>
  <w:style w:type="character" w:customStyle="1" w:styleId="978">
    <w:name w:val="ourfont3"/>
    <w:basedOn w:val="90"/>
    <w:autoRedefine/>
    <w:qFormat/>
    <w:uiPriority w:val="0"/>
  </w:style>
  <w:style w:type="character" w:customStyle="1" w:styleId="979">
    <w:name w:val="第一层条 Char5"/>
    <w:autoRedefine/>
    <w:qFormat/>
    <w:uiPriority w:val="0"/>
    <w:rPr>
      <w:rFonts w:ascii="仿宋_GB2312" w:eastAsia="仿宋_GB2312"/>
      <w:b/>
      <w:kern w:val="2"/>
      <w:sz w:val="28"/>
      <w:lang w:val="en-US" w:eastAsia="zh-CN" w:bidi="ar-SA"/>
    </w:rPr>
  </w:style>
  <w:style w:type="character" w:customStyle="1" w:styleId="980">
    <w:name w:val="a11"/>
    <w:basedOn w:val="90"/>
    <w:autoRedefine/>
    <w:qFormat/>
    <w:uiPriority w:val="0"/>
  </w:style>
  <w:style w:type="character" w:customStyle="1" w:styleId="981">
    <w:name w:val="第一层条 Char4"/>
    <w:autoRedefine/>
    <w:qFormat/>
    <w:uiPriority w:val="0"/>
    <w:rPr>
      <w:rFonts w:ascii="仿宋_GB2312" w:eastAsia="仿宋_GB2312"/>
      <w:b/>
      <w:kern w:val="2"/>
      <w:sz w:val="28"/>
      <w:lang w:val="en-US" w:eastAsia="zh-CN" w:bidi="ar-SA"/>
    </w:rPr>
  </w:style>
  <w:style w:type="character" w:customStyle="1" w:styleId="982">
    <w:name w:val="haogao1"/>
    <w:basedOn w:val="90"/>
    <w:autoRedefine/>
    <w:qFormat/>
    <w:uiPriority w:val="0"/>
  </w:style>
  <w:style w:type="character" w:customStyle="1" w:styleId="983">
    <w:name w:val="Char Char3"/>
    <w:autoRedefine/>
    <w:qFormat/>
    <w:uiPriority w:val="0"/>
    <w:rPr>
      <w:rFonts w:ascii="黑体" w:hAnsi="宋体" w:eastAsia="黑体"/>
      <w:b/>
      <w:bCs/>
      <w:kern w:val="2"/>
      <w:sz w:val="28"/>
      <w:szCs w:val="28"/>
      <w:lang w:val="en-US" w:eastAsia="zh-CN" w:bidi="ar-SA"/>
    </w:rPr>
  </w:style>
  <w:style w:type="character" w:customStyle="1" w:styleId="984">
    <w:name w:val="正文（首行缩进两字） Char Char1 Char"/>
    <w:autoRedefine/>
    <w:qFormat/>
    <w:uiPriority w:val="0"/>
    <w:rPr>
      <w:rFonts w:ascii="仿宋_GB2312" w:eastAsia="仿宋_GB2312"/>
      <w:color w:val="000000"/>
      <w:kern w:val="2"/>
      <w:sz w:val="28"/>
      <w:szCs w:val="24"/>
      <w:lang w:val="en-US" w:eastAsia="zh-CN" w:bidi="ar-SA"/>
    </w:rPr>
  </w:style>
  <w:style w:type="character" w:customStyle="1" w:styleId="985">
    <w:name w:val="表中文字 Char"/>
    <w:link w:val="986"/>
    <w:autoRedefine/>
    <w:qFormat/>
    <w:uiPriority w:val="0"/>
    <w:rPr>
      <w:rFonts w:ascii="Arial" w:hAnsi="Arial"/>
      <w:szCs w:val="24"/>
      <w:lang w:eastAsia="zh-TW"/>
    </w:rPr>
  </w:style>
  <w:style w:type="paragraph" w:customStyle="1" w:styleId="986">
    <w:name w:val="表中文字4"/>
    <w:basedOn w:val="1"/>
    <w:link w:val="985"/>
    <w:autoRedefine/>
    <w:qFormat/>
    <w:uiPriority w:val="0"/>
    <w:pPr>
      <w:snapToGrid w:val="0"/>
      <w:spacing w:line="340" w:lineRule="exact"/>
      <w:ind w:firstLine="480" w:firstLineChars="200"/>
      <w:jc w:val="center"/>
    </w:pPr>
    <w:rPr>
      <w:rFonts w:ascii="Arial" w:hAnsi="Arial"/>
      <w:kern w:val="0"/>
      <w:sz w:val="20"/>
      <w:lang w:val="zh-CN" w:eastAsia="zh-TW"/>
    </w:rPr>
  </w:style>
  <w:style w:type="character" w:customStyle="1" w:styleId="987">
    <w:name w:val="3xi"/>
    <w:basedOn w:val="90"/>
    <w:autoRedefine/>
    <w:qFormat/>
    <w:uiPriority w:val="0"/>
  </w:style>
  <w:style w:type="character" w:customStyle="1" w:styleId="988">
    <w:name w:val="图题注 Char"/>
    <w:link w:val="989"/>
    <w:autoRedefine/>
    <w:qFormat/>
    <w:uiPriority w:val="0"/>
    <w:rPr>
      <w:rFonts w:ascii="黑体" w:hAnsi="Arial" w:eastAsia="黑体" w:cs="宋体"/>
      <w:b/>
      <w:bCs/>
      <w:sz w:val="24"/>
      <w:szCs w:val="24"/>
    </w:rPr>
  </w:style>
  <w:style w:type="paragraph" w:customStyle="1" w:styleId="989">
    <w:name w:val="图题注"/>
    <w:basedOn w:val="22"/>
    <w:link w:val="988"/>
    <w:autoRedefine/>
    <w:qFormat/>
    <w:uiPriority w:val="0"/>
    <w:pPr>
      <w:widowControl w:val="0"/>
      <w:spacing w:after="0" w:line="240" w:lineRule="auto"/>
      <w:ind w:left="0" w:right="0" w:firstLine="0"/>
      <w:jc w:val="center"/>
    </w:pPr>
    <w:rPr>
      <w:rFonts w:ascii="黑体" w:hAnsi="Arial"/>
      <w:b/>
      <w:bCs/>
      <w:color w:val="auto"/>
      <w:sz w:val="24"/>
      <w:szCs w:val="24"/>
    </w:rPr>
  </w:style>
  <w:style w:type="character" w:customStyle="1" w:styleId="990">
    <w:name w:val="正文（首行缩进两字） Char Char Char Char Char Char Char Char Char2"/>
    <w:autoRedefine/>
    <w:qFormat/>
    <w:uiPriority w:val="0"/>
    <w:rPr>
      <w:rFonts w:ascii="仿宋_GB2312" w:eastAsia="仿宋_GB2312"/>
      <w:color w:val="000000"/>
      <w:kern w:val="2"/>
      <w:sz w:val="28"/>
      <w:szCs w:val="24"/>
      <w:lang w:val="en-US" w:eastAsia="zh-CN" w:bidi="ar-SA"/>
    </w:rPr>
  </w:style>
  <w:style w:type="character" w:customStyle="1" w:styleId="991">
    <w:name w:val="图表题 Char"/>
    <w:link w:val="992"/>
    <w:autoRedefine/>
    <w:qFormat/>
    <w:uiPriority w:val="0"/>
    <w:rPr>
      <w:rFonts w:ascii="黑体" w:hAnsi="宋体" w:eastAsia="黑体" w:cs="宋体"/>
      <w:b/>
      <w:bCs/>
      <w:spacing w:val="10"/>
      <w:sz w:val="24"/>
      <w:szCs w:val="24"/>
    </w:rPr>
  </w:style>
  <w:style w:type="paragraph" w:customStyle="1" w:styleId="992">
    <w:name w:val="图表题"/>
    <w:basedOn w:val="416"/>
    <w:next w:val="416"/>
    <w:link w:val="991"/>
    <w:autoRedefine/>
    <w:qFormat/>
    <w:uiPriority w:val="0"/>
    <w:pPr>
      <w:ind w:firstLine="0"/>
      <w:jc w:val="center"/>
    </w:pPr>
    <w:rPr>
      <w:rFonts w:ascii="黑体" w:hAnsi="宋体" w:eastAsia="黑体"/>
      <w:bCs/>
      <w:sz w:val="24"/>
      <w:szCs w:val="24"/>
    </w:rPr>
  </w:style>
  <w:style w:type="character" w:customStyle="1" w:styleId="993">
    <w:name w:val="Char Char2"/>
    <w:autoRedefine/>
    <w:qFormat/>
    <w:uiPriority w:val="0"/>
    <w:rPr>
      <w:rFonts w:ascii="Arial" w:hAnsi="Arial" w:eastAsia="宋体" w:cs="Arial"/>
      <w:b/>
      <w:bCs/>
      <w:kern w:val="2"/>
      <w:sz w:val="36"/>
      <w:szCs w:val="32"/>
      <w:lang w:val="en-US" w:eastAsia="zh-CN" w:bidi="ar-SA"/>
    </w:rPr>
  </w:style>
  <w:style w:type="character" w:customStyle="1" w:styleId="994">
    <w:name w:val="color2"/>
    <w:autoRedefine/>
    <w:qFormat/>
    <w:uiPriority w:val="0"/>
    <w:rPr>
      <w:rFonts w:eastAsia="宋体"/>
      <w:kern w:val="2"/>
      <w:sz w:val="28"/>
      <w:szCs w:val="28"/>
      <w:lang w:val="en-US" w:eastAsia="zh-CN" w:bidi="ar-SA"/>
    </w:rPr>
  </w:style>
  <w:style w:type="character" w:customStyle="1" w:styleId="995">
    <w:name w:val="style41"/>
    <w:autoRedefine/>
    <w:qFormat/>
    <w:uiPriority w:val="0"/>
    <w:rPr>
      <w:rFonts w:hint="eastAsia" w:ascii="黑体" w:eastAsia="黑体"/>
    </w:rPr>
  </w:style>
  <w:style w:type="character" w:customStyle="1" w:styleId="996">
    <w:name w:val="z1"/>
    <w:autoRedefine/>
    <w:qFormat/>
    <w:uiPriority w:val="0"/>
    <w:rPr>
      <w:rFonts w:eastAsia="宋体"/>
      <w:spacing w:val="400"/>
      <w:kern w:val="2"/>
      <w:sz w:val="18"/>
      <w:szCs w:val="18"/>
      <w:lang w:val="en-US" w:eastAsia="zh-CN" w:bidi="ar-SA"/>
    </w:rPr>
  </w:style>
  <w:style w:type="character" w:customStyle="1" w:styleId="997">
    <w:name w:val="正文文字 Char1"/>
    <w:autoRedefine/>
    <w:qFormat/>
    <w:uiPriority w:val="0"/>
    <w:rPr>
      <w:rFonts w:ascii="仿宋_GB2312" w:eastAsia="仿宋_GB2312"/>
      <w:kern w:val="2"/>
      <w:sz w:val="24"/>
      <w:szCs w:val="24"/>
      <w:lang w:val="en-US" w:eastAsia="zh-CN" w:bidi="ar-SA"/>
    </w:rPr>
  </w:style>
  <w:style w:type="character" w:customStyle="1" w:styleId="998">
    <w:name w:val="样式 表格内字体 + Char"/>
    <w:link w:val="999"/>
    <w:autoRedefine/>
    <w:qFormat/>
    <w:uiPriority w:val="0"/>
    <w:rPr>
      <w:rFonts w:ascii="宋体" w:hAnsi="宋体"/>
      <w:szCs w:val="24"/>
    </w:rPr>
  </w:style>
  <w:style w:type="paragraph" w:customStyle="1" w:styleId="999">
    <w:name w:val="样式 表格内字体 +"/>
    <w:basedOn w:val="415"/>
    <w:link w:val="998"/>
    <w:autoRedefine/>
    <w:qFormat/>
    <w:uiPriority w:val="0"/>
    <w:pPr>
      <w:spacing w:line="280" w:lineRule="exact"/>
      <w:ind w:firstLine="36"/>
      <w:jc w:val="both"/>
    </w:pPr>
  </w:style>
  <w:style w:type="character" w:customStyle="1" w:styleId="1000">
    <w:name w:val="正文首行缩进 Char6"/>
    <w:autoRedefine/>
    <w:qFormat/>
    <w:uiPriority w:val="0"/>
    <w:rPr>
      <w:rFonts w:ascii="Times New Roman" w:hAnsi="Times New Roman" w:eastAsia="宋体" w:cs="Times New Roman"/>
      <w:kern w:val="2"/>
      <w:sz w:val="18"/>
      <w:szCs w:val="24"/>
    </w:rPr>
  </w:style>
  <w:style w:type="character" w:customStyle="1" w:styleId="1001">
    <w:name w:val="标题正文黑 Char"/>
    <w:autoRedefine/>
    <w:qFormat/>
    <w:uiPriority w:val="0"/>
    <w:rPr>
      <w:rFonts w:ascii="黑体" w:eastAsia="黑体"/>
      <w:kern w:val="2"/>
      <w:sz w:val="28"/>
      <w:szCs w:val="28"/>
      <w:lang w:val="en-US" w:eastAsia="zh-CN" w:bidi="ar-SA"/>
    </w:rPr>
  </w:style>
  <w:style w:type="character" w:customStyle="1" w:styleId="1002">
    <w:name w:val="3dgrame"/>
    <w:basedOn w:val="90"/>
    <w:autoRedefine/>
    <w:qFormat/>
    <w:uiPriority w:val="0"/>
  </w:style>
  <w:style w:type="character" w:customStyle="1" w:styleId="1003">
    <w:name w:val="正文修改 Char132"/>
    <w:autoRedefine/>
    <w:qFormat/>
    <w:uiPriority w:val="0"/>
    <w:rPr>
      <w:rFonts w:ascii="宋体" w:hAnsi="宋体" w:eastAsia="宋体" w:cs="宋体"/>
      <w:color w:val="000000"/>
      <w:sz w:val="24"/>
      <w:szCs w:val="24"/>
    </w:rPr>
  </w:style>
  <w:style w:type="character" w:customStyle="1" w:styleId="1004">
    <w:name w:val="燕山正文 Char11"/>
    <w:autoRedefine/>
    <w:qFormat/>
    <w:uiPriority w:val="0"/>
    <w:rPr>
      <w:rFonts w:ascii="宋体" w:eastAsia="宋体" w:cs="宋体"/>
      <w:kern w:val="2"/>
      <w:sz w:val="24"/>
      <w:szCs w:val="24"/>
      <w:lang w:val="en-US" w:eastAsia="zh-CN" w:bidi="ar-SA"/>
    </w:rPr>
  </w:style>
  <w:style w:type="character" w:customStyle="1" w:styleId="1005">
    <w:name w:val="环正文 Char3"/>
    <w:autoRedefine/>
    <w:qFormat/>
    <w:uiPriority w:val="0"/>
    <w:rPr>
      <w:rFonts w:ascii="宋体" w:hAnsi="宋体" w:eastAsia="宋体" w:cs="Courier New"/>
      <w:sz w:val="24"/>
      <w:lang w:val="en-US" w:eastAsia="zh-CN" w:bidi="ar-SA"/>
    </w:rPr>
  </w:style>
  <w:style w:type="character" w:customStyle="1" w:styleId="1006">
    <w:name w:val="表格内字体 Char8"/>
    <w:autoRedefine/>
    <w:qFormat/>
    <w:uiPriority w:val="0"/>
    <w:rPr>
      <w:rFonts w:ascii="宋体" w:hAnsi="宋体" w:eastAsia="宋体"/>
      <w:kern w:val="2"/>
      <w:sz w:val="21"/>
      <w:szCs w:val="24"/>
      <w:lang w:val="en-US" w:eastAsia="zh-CN" w:bidi="ar-SA"/>
    </w:rPr>
  </w:style>
  <w:style w:type="character" w:customStyle="1" w:styleId="1007">
    <w:name w:val="标题 1 Char3"/>
    <w:autoRedefine/>
    <w:qFormat/>
    <w:uiPriority w:val="0"/>
    <w:rPr>
      <w:rFonts w:ascii="宋体" w:hAnsi="Courier New" w:eastAsia="宋体"/>
      <w:b/>
      <w:kern w:val="44"/>
      <w:sz w:val="44"/>
      <w:lang w:val="en-US" w:eastAsia="zh-CN" w:bidi="ar-SA"/>
    </w:rPr>
  </w:style>
  <w:style w:type="character" w:customStyle="1" w:styleId="1008">
    <w:name w:val="正文格式 Char2"/>
    <w:autoRedefine/>
    <w:qFormat/>
    <w:uiPriority w:val="0"/>
    <w:rPr>
      <w:rFonts w:ascii="宋体" w:hAnsi="宋体" w:eastAsia="宋体"/>
      <w:kern w:val="2"/>
      <w:sz w:val="24"/>
      <w:szCs w:val="24"/>
      <w:lang w:val="en-US" w:eastAsia="zh-CN" w:bidi="ar-SA"/>
    </w:rPr>
  </w:style>
  <w:style w:type="character" w:customStyle="1" w:styleId="1009">
    <w:name w:val="环正文 Char1"/>
    <w:autoRedefine/>
    <w:qFormat/>
    <w:uiPriority w:val="0"/>
    <w:rPr>
      <w:rFonts w:eastAsia="宋体"/>
      <w:color w:val="000000"/>
      <w:sz w:val="24"/>
      <w:szCs w:val="24"/>
      <w:lang w:val="en-US" w:eastAsia="zh-CN" w:bidi="ar-SA"/>
    </w:rPr>
  </w:style>
  <w:style w:type="character" w:customStyle="1" w:styleId="1010">
    <w:name w:val="表中文字 Char21"/>
    <w:autoRedefine/>
    <w:qFormat/>
    <w:uiPriority w:val="0"/>
    <w:rPr>
      <w:rFonts w:ascii="宋体" w:eastAsia="宋体"/>
      <w:kern w:val="2"/>
      <w:sz w:val="21"/>
      <w:szCs w:val="21"/>
      <w:lang w:val="en-US" w:eastAsia="zh-CN" w:bidi="ar-SA"/>
    </w:rPr>
  </w:style>
  <w:style w:type="character" w:customStyle="1" w:styleId="1011">
    <w:name w:val="unnamed31"/>
    <w:autoRedefine/>
    <w:qFormat/>
    <w:uiPriority w:val="0"/>
    <w:rPr>
      <w:sz w:val="21"/>
      <w:szCs w:val="21"/>
    </w:rPr>
  </w:style>
  <w:style w:type="character" w:customStyle="1" w:styleId="1012">
    <w:name w:val="批注框文本 Char2"/>
    <w:autoRedefine/>
    <w:qFormat/>
    <w:uiPriority w:val="0"/>
    <w:rPr>
      <w:rFonts w:eastAsia="宋体"/>
      <w:kern w:val="2"/>
      <w:sz w:val="18"/>
      <w:szCs w:val="18"/>
      <w:lang w:val="en-US" w:eastAsia="zh-CN" w:bidi="ar-SA"/>
    </w:rPr>
  </w:style>
  <w:style w:type="character" w:customStyle="1" w:styleId="1013">
    <w:name w:val="articletitle1"/>
    <w:autoRedefine/>
    <w:qFormat/>
    <w:uiPriority w:val="0"/>
    <w:rPr>
      <w:rFonts w:hint="default" w:ascii="MS Shell Dlg" w:hAnsi="MS Shell Dlg"/>
      <w:b/>
      <w:bCs/>
      <w:color w:val="666699"/>
      <w:sz w:val="32"/>
      <w:szCs w:val="32"/>
    </w:rPr>
  </w:style>
  <w:style w:type="character" w:customStyle="1" w:styleId="1014">
    <w:name w:val="A正文 Char"/>
    <w:link w:val="1015"/>
    <w:autoRedefine/>
    <w:qFormat/>
    <w:uiPriority w:val="0"/>
    <w:rPr>
      <w:rFonts w:eastAsia="仿宋_GB2312"/>
      <w:sz w:val="24"/>
      <w:szCs w:val="24"/>
    </w:rPr>
  </w:style>
  <w:style w:type="paragraph" w:customStyle="1" w:styleId="1015">
    <w:name w:val="A正文"/>
    <w:basedOn w:val="1"/>
    <w:link w:val="1014"/>
    <w:autoRedefine/>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kern w:val="0"/>
      <w:sz w:val="24"/>
      <w:lang w:val="zh-CN"/>
    </w:rPr>
  </w:style>
  <w:style w:type="character" w:customStyle="1" w:styleId="1016">
    <w:name w:val="postbody"/>
    <w:basedOn w:val="90"/>
    <w:autoRedefine/>
    <w:qFormat/>
    <w:uiPriority w:val="0"/>
  </w:style>
  <w:style w:type="character" w:customStyle="1" w:styleId="1017">
    <w:name w:val="表格内字体 Char4"/>
    <w:autoRedefine/>
    <w:qFormat/>
    <w:uiPriority w:val="0"/>
    <w:rPr>
      <w:rFonts w:ascii="宋体" w:hAnsi="宋体" w:eastAsia="宋体"/>
      <w:kern w:val="2"/>
      <w:sz w:val="21"/>
      <w:szCs w:val="24"/>
      <w:lang w:val="en-US" w:eastAsia="zh-CN" w:bidi="ar-SA"/>
    </w:rPr>
  </w:style>
  <w:style w:type="character" w:customStyle="1" w:styleId="1018">
    <w:name w:val="f241"/>
    <w:autoRedefine/>
    <w:qFormat/>
    <w:uiPriority w:val="0"/>
    <w:rPr>
      <w:sz w:val="36"/>
      <w:szCs w:val="36"/>
    </w:rPr>
  </w:style>
  <w:style w:type="character" w:customStyle="1" w:styleId="1019">
    <w:name w:val="表格内字体 Char2"/>
    <w:autoRedefine/>
    <w:qFormat/>
    <w:uiPriority w:val="0"/>
    <w:rPr>
      <w:rFonts w:ascii="宋体" w:hAnsi="宋体" w:eastAsia="宋体"/>
      <w:kern w:val="2"/>
      <w:sz w:val="21"/>
      <w:szCs w:val="24"/>
      <w:lang w:val="en-US" w:eastAsia="zh-CN" w:bidi="ar-SA"/>
    </w:rPr>
  </w:style>
  <w:style w:type="character" w:customStyle="1" w:styleId="1020">
    <w:name w:val="px141"/>
    <w:autoRedefine/>
    <w:qFormat/>
    <w:uiPriority w:val="0"/>
    <w:rPr>
      <w:rFonts w:hint="default"/>
      <w:sz w:val="21"/>
      <w:szCs w:val="21"/>
    </w:rPr>
  </w:style>
  <w:style w:type="character" w:customStyle="1" w:styleId="1021">
    <w:name w:val="样式 黑色"/>
    <w:autoRedefine/>
    <w:qFormat/>
    <w:uiPriority w:val="0"/>
    <w:rPr>
      <w:rFonts w:eastAsia="宋体"/>
      <w:color w:val="auto"/>
      <w:kern w:val="2"/>
      <w:sz w:val="24"/>
      <w:szCs w:val="24"/>
      <w:lang w:val="en-US" w:eastAsia="zh-CN" w:bidi="ar-SA"/>
    </w:rPr>
  </w:style>
  <w:style w:type="character" w:customStyle="1" w:styleId="1022">
    <w:name w:val="环正文 Char4"/>
    <w:autoRedefine/>
    <w:qFormat/>
    <w:uiPriority w:val="0"/>
    <w:rPr>
      <w:rFonts w:ascii="宋体" w:hAnsi="宋体" w:eastAsia="宋体"/>
      <w:color w:val="000000"/>
      <w:sz w:val="24"/>
      <w:lang w:val="en-US" w:eastAsia="zh-CN" w:bidi="ar-SA"/>
    </w:rPr>
  </w:style>
  <w:style w:type="character" w:customStyle="1" w:styleId="1023">
    <w:name w:val="Char Char112"/>
    <w:autoRedefine/>
    <w:qFormat/>
    <w:uiPriority w:val="0"/>
    <w:rPr>
      <w:rFonts w:ascii="黑体" w:hAnsi="Arial" w:eastAsia="黑体"/>
      <w:bCs/>
      <w:kern w:val="2"/>
      <w:sz w:val="30"/>
      <w:szCs w:val="30"/>
      <w:lang w:val="en-US" w:eastAsia="zh-CN" w:bidi="ar-SA"/>
    </w:rPr>
  </w:style>
  <w:style w:type="character" w:customStyle="1" w:styleId="1024">
    <w:name w:val="样式 楷体_GB2312 四号"/>
    <w:autoRedefine/>
    <w:qFormat/>
    <w:uiPriority w:val="0"/>
    <w:rPr>
      <w:rFonts w:ascii="Times New Roman" w:hAnsi="Times New Roman" w:eastAsia="楷体_GB2312"/>
      <w:sz w:val="28"/>
      <w:szCs w:val="28"/>
    </w:rPr>
  </w:style>
  <w:style w:type="character" w:customStyle="1" w:styleId="1025">
    <w:name w:val="正文文本缩进 3 Char3"/>
    <w:autoRedefine/>
    <w:qFormat/>
    <w:uiPriority w:val="0"/>
    <w:rPr>
      <w:rFonts w:eastAsia="宋体"/>
      <w:kern w:val="2"/>
      <w:sz w:val="16"/>
      <w:szCs w:val="16"/>
      <w:lang w:val="en-US" w:eastAsia="zh-CN" w:bidi="ar-SA"/>
    </w:rPr>
  </w:style>
  <w:style w:type="character" w:customStyle="1" w:styleId="1026">
    <w:name w:val="表、图名 Char"/>
    <w:link w:val="1027"/>
    <w:autoRedefine/>
    <w:qFormat/>
    <w:uiPriority w:val="0"/>
    <w:rPr>
      <w:rFonts w:ascii="仿宋_GB2312" w:hAnsi="宋体" w:eastAsia="仿宋_GB2312"/>
      <w:color w:val="000000"/>
      <w:sz w:val="28"/>
      <w:szCs w:val="28"/>
    </w:rPr>
  </w:style>
  <w:style w:type="paragraph" w:customStyle="1" w:styleId="1027">
    <w:name w:val="表、图名"/>
    <w:basedOn w:val="1"/>
    <w:link w:val="1026"/>
    <w:autoRedefine/>
    <w:qFormat/>
    <w:uiPriority w:val="0"/>
    <w:pPr>
      <w:adjustRightInd w:val="0"/>
      <w:snapToGrid w:val="0"/>
      <w:spacing w:line="500" w:lineRule="exact"/>
      <w:ind w:left="-6"/>
      <w:jc w:val="center"/>
    </w:pPr>
    <w:rPr>
      <w:rFonts w:ascii="仿宋_GB2312" w:hAnsi="宋体" w:eastAsia="仿宋_GB2312"/>
      <w:color w:val="000000"/>
      <w:kern w:val="0"/>
      <w:sz w:val="28"/>
      <w:szCs w:val="28"/>
      <w:lang w:val="zh-CN"/>
    </w:rPr>
  </w:style>
  <w:style w:type="character" w:customStyle="1" w:styleId="1028">
    <w:name w:val="燕山正文 Char14"/>
    <w:autoRedefine/>
    <w:qFormat/>
    <w:uiPriority w:val="0"/>
    <w:rPr>
      <w:rFonts w:ascii="宋体" w:eastAsia="宋体" w:cs="宋体"/>
      <w:kern w:val="2"/>
      <w:sz w:val="24"/>
      <w:szCs w:val="24"/>
      <w:lang w:val="en-US" w:eastAsia="zh-CN" w:bidi="ar-SA"/>
    </w:rPr>
  </w:style>
  <w:style w:type="character" w:customStyle="1" w:styleId="1029">
    <w:name w:val="标题 5 Char Char Char Char"/>
    <w:autoRedefine/>
    <w:qFormat/>
    <w:uiPriority w:val="0"/>
    <w:rPr>
      <w:rFonts w:eastAsia="宋体"/>
      <w:b/>
      <w:sz w:val="28"/>
      <w:lang w:val="en-US" w:eastAsia="zh-CN" w:bidi="ar-SA"/>
    </w:rPr>
  </w:style>
  <w:style w:type="character" w:customStyle="1" w:styleId="1030">
    <w:name w:val="表题1 Char6"/>
    <w:autoRedefine/>
    <w:qFormat/>
    <w:uiPriority w:val="0"/>
    <w:rPr>
      <w:rFonts w:ascii="黑体" w:hAnsi="Arial" w:eastAsia="黑体" w:cs="Arial"/>
      <w:b/>
      <w:kern w:val="2"/>
      <w:sz w:val="24"/>
      <w:szCs w:val="24"/>
      <w:lang w:val="en-US" w:eastAsia="zh-CN" w:bidi="ar-SA"/>
    </w:rPr>
  </w:style>
  <w:style w:type="character" w:customStyle="1" w:styleId="1031">
    <w:name w:val="style31"/>
    <w:autoRedefine/>
    <w:qFormat/>
    <w:uiPriority w:val="0"/>
    <w:rPr>
      <w:rFonts w:hint="default" w:ascii="Arial" w:hAnsi="Arial" w:cs="Arial"/>
      <w:sz w:val="18"/>
      <w:szCs w:val="18"/>
    </w:rPr>
  </w:style>
  <w:style w:type="character" w:customStyle="1" w:styleId="1032">
    <w:name w:val="正文首行缩进 2 Char12"/>
    <w:autoRedefine/>
    <w:qFormat/>
    <w:uiPriority w:val="0"/>
    <w:rPr>
      <w:rFonts w:eastAsia="宋体"/>
      <w:kern w:val="2"/>
      <w:sz w:val="21"/>
      <w:szCs w:val="24"/>
      <w:lang w:val="en-US" w:eastAsia="zh-CN" w:bidi="ar-SA"/>
    </w:rPr>
  </w:style>
  <w:style w:type="character" w:customStyle="1" w:styleId="1033">
    <w:name w:val="z31"/>
    <w:autoRedefine/>
    <w:qFormat/>
    <w:uiPriority w:val="0"/>
    <w:rPr>
      <w:rFonts w:hint="default"/>
      <w:color w:val="FF0000"/>
      <w:sz w:val="18"/>
      <w:szCs w:val="18"/>
    </w:rPr>
  </w:style>
  <w:style w:type="character" w:customStyle="1" w:styleId="1034">
    <w:name w:val="正文格式 Char14"/>
    <w:autoRedefine/>
    <w:qFormat/>
    <w:uiPriority w:val="0"/>
    <w:rPr>
      <w:rFonts w:ascii="宋体" w:hAnsi="宋体" w:eastAsia="宋体"/>
      <w:kern w:val="2"/>
      <w:sz w:val="24"/>
      <w:szCs w:val="24"/>
      <w:lang w:val="en-US" w:eastAsia="zh-CN" w:bidi="ar-SA"/>
    </w:rPr>
  </w:style>
  <w:style w:type="character" w:customStyle="1" w:styleId="1035">
    <w:name w:val="Char Char151"/>
    <w:autoRedefine/>
    <w:qFormat/>
    <w:uiPriority w:val="0"/>
    <w:rPr>
      <w:rFonts w:hint="eastAsia" w:ascii="宋体" w:hAnsi="Courier New" w:eastAsia="宋体"/>
      <w:sz w:val="18"/>
      <w:lang w:val="en-US" w:eastAsia="zh-CN" w:bidi="ar-SA"/>
    </w:rPr>
  </w:style>
  <w:style w:type="character" w:customStyle="1" w:styleId="1036">
    <w:name w:val="正文修改 Char18"/>
    <w:autoRedefine/>
    <w:qFormat/>
    <w:uiPriority w:val="0"/>
    <w:rPr>
      <w:rFonts w:hAnsi="宋体"/>
      <w:color w:val="000000"/>
    </w:rPr>
  </w:style>
  <w:style w:type="character" w:customStyle="1" w:styleId="1037">
    <w:name w:val="表题 Char"/>
    <w:link w:val="1038"/>
    <w:autoRedefine/>
    <w:qFormat/>
    <w:uiPriority w:val="0"/>
    <w:rPr>
      <w:rFonts w:eastAsia="黑体"/>
      <w:sz w:val="24"/>
      <w:szCs w:val="22"/>
      <w:lang w:val="en-US" w:eastAsia="zh-CN" w:bidi="ar-SA"/>
    </w:rPr>
  </w:style>
  <w:style w:type="paragraph" w:customStyle="1" w:styleId="1038">
    <w:name w:val="表题"/>
    <w:next w:val="134"/>
    <w:link w:val="1037"/>
    <w:autoRedefine/>
    <w:qFormat/>
    <w:uiPriority w:val="0"/>
    <w:pPr>
      <w:spacing w:beforeLines="20" w:line="420" w:lineRule="exact"/>
      <w:jc w:val="center"/>
    </w:pPr>
    <w:rPr>
      <w:rFonts w:ascii="Times New Roman" w:hAnsi="Times New Roman" w:eastAsia="黑体" w:cs="Times New Roman"/>
      <w:sz w:val="24"/>
      <w:szCs w:val="22"/>
      <w:lang w:val="en-US" w:eastAsia="zh-CN" w:bidi="ar-SA"/>
    </w:rPr>
  </w:style>
  <w:style w:type="character" w:customStyle="1" w:styleId="1039">
    <w:name w:val="标题 2 Char Char11"/>
    <w:autoRedefine/>
    <w:qFormat/>
    <w:uiPriority w:val="0"/>
    <w:rPr>
      <w:rFonts w:ascii="黑体" w:hAnsi="Arial" w:eastAsia="黑体"/>
      <w:bCs/>
      <w:kern w:val="2"/>
      <w:sz w:val="30"/>
      <w:szCs w:val="30"/>
      <w:lang w:val="en-US" w:eastAsia="zh-CN" w:bidi="ar-SA"/>
    </w:rPr>
  </w:style>
  <w:style w:type="character" w:customStyle="1" w:styleId="1040">
    <w:name w:val="unnamed21"/>
    <w:autoRedefine/>
    <w:qFormat/>
    <w:uiPriority w:val="0"/>
    <w:rPr>
      <w:sz w:val="18"/>
      <w:szCs w:val="18"/>
      <w:u w:val="none"/>
    </w:rPr>
  </w:style>
  <w:style w:type="character" w:customStyle="1" w:styleId="1041">
    <w:name w:val="题注 Char14"/>
    <w:autoRedefine/>
    <w:qFormat/>
    <w:uiPriority w:val="0"/>
    <w:rPr>
      <w:rFonts w:ascii="黑体" w:hAnsi="Arial" w:eastAsia="黑体" w:cs="Arial"/>
      <w:sz w:val="24"/>
      <w:szCs w:val="24"/>
    </w:rPr>
  </w:style>
  <w:style w:type="character" w:customStyle="1" w:styleId="1042">
    <w:name w:val="Char Char141"/>
    <w:autoRedefine/>
    <w:qFormat/>
    <w:locked/>
    <w:uiPriority w:val="0"/>
    <w:rPr>
      <w:rFonts w:ascii="Times New Roman" w:hAnsi="Times New Roman" w:eastAsia="宋体" w:cs="宋体"/>
      <w:kern w:val="2"/>
      <w:szCs w:val="24"/>
      <w:lang w:val="en-US" w:eastAsia="zh-CN" w:bidi="ar-SA"/>
    </w:rPr>
  </w:style>
  <w:style w:type="character" w:customStyle="1" w:styleId="1043">
    <w:name w:val="Char Char33"/>
    <w:autoRedefine/>
    <w:qFormat/>
    <w:uiPriority w:val="0"/>
    <w:rPr>
      <w:rFonts w:ascii="黑体" w:hAnsi="宋体" w:eastAsia="黑体"/>
      <w:b/>
      <w:bCs/>
      <w:kern w:val="2"/>
      <w:sz w:val="28"/>
      <w:szCs w:val="28"/>
      <w:lang w:val="en-US" w:eastAsia="zh-CN" w:bidi="ar-SA"/>
    </w:rPr>
  </w:style>
  <w:style w:type="character" w:customStyle="1" w:styleId="1044">
    <w:name w:val="批注主题 Char Char"/>
    <w:autoRedefine/>
    <w:qFormat/>
    <w:uiPriority w:val="0"/>
    <w:rPr>
      <w:rFonts w:ascii="宋体" w:hAnsi="宋体" w:eastAsia="宋体"/>
      <w:b/>
      <w:bCs/>
      <w:kern w:val="2"/>
      <w:sz w:val="24"/>
      <w:lang w:val="en-US" w:eastAsia="zh-CN" w:bidi="ar-SA"/>
    </w:rPr>
  </w:style>
  <w:style w:type="character" w:customStyle="1" w:styleId="1045">
    <w:name w:val="样式 表内小5 + 黑体 加粗 倾斜 下划线 Char52"/>
    <w:autoRedefine/>
    <w:qFormat/>
    <w:uiPriority w:val="0"/>
    <w:rPr>
      <w:rFonts w:ascii="黑体" w:hAnsi="黑体" w:eastAsia="黑体"/>
      <w:b/>
      <w:bCs/>
      <w:i/>
      <w:iCs/>
      <w:kern w:val="2"/>
      <w:sz w:val="18"/>
      <w:szCs w:val="24"/>
      <w:u w:val="single"/>
      <w:lang w:val="en-US" w:eastAsia="zh-CN" w:bidi="ar-SA"/>
    </w:rPr>
  </w:style>
  <w:style w:type="character" w:customStyle="1" w:styleId="1046">
    <w:name w:val="提头 Char"/>
    <w:link w:val="1047"/>
    <w:autoRedefine/>
    <w:qFormat/>
    <w:uiPriority w:val="0"/>
    <w:rPr>
      <w:b/>
      <w:sz w:val="24"/>
      <w:szCs w:val="24"/>
    </w:rPr>
  </w:style>
  <w:style w:type="paragraph" w:customStyle="1" w:styleId="1047">
    <w:name w:val="提头"/>
    <w:basedOn w:val="1"/>
    <w:next w:val="1"/>
    <w:link w:val="1046"/>
    <w:autoRedefine/>
    <w:qFormat/>
    <w:uiPriority w:val="0"/>
    <w:pPr>
      <w:tabs>
        <w:tab w:val="left" w:pos="227"/>
      </w:tabs>
      <w:spacing w:line="360" w:lineRule="auto"/>
      <w:jc w:val="center"/>
    </w:pPr>
    <w:rPr>
      <w:b/>
      <w:kern w:val="0"/>
      <w:sz w:val="24"/>
      <w:lang w:val="zh-CN"/>
    </w:rPr>
  </w:style>
  <w:style w:type="character" w:customStyle="1" w:styleId="1048">
    <w:name w:val="表格内字体 Char12"/>
    <w:autoRedefine/>
    <w:qFormat/>
    <w:uiPriority w:val="0"/>
    <w:rPr>
      <w:rFonts w:ascii="宋体" w:hAnsi="宋体" w:eastAsia="宋体"/>
      <w:kern w:val="2"/>
      <w:sz w:val="21"/>
      <w:szCs w:val="24"/>
      <w:lang w:val="en-US" w:eastAsia="zh-CN" w:bidi="ar-SA"/>
    </w:rPr>
  </w:style>
  <w:style w:type="character" w:customStyle="1" w:styleId="1049">
    <w:name w:val="Char Char91"/>
    <w:autoRedefine/>
    <w:qFormat/>
    <w:locked/>
    <w:uiPriority w:val="0"/>
    <w:rPr>
      <w:rFonts w:eastAsia="宋体"/>
      <w:kern w:val="2"/>
      <w:sz w:val="18"/>
      <w:lang w:val="en-US" w:eastAsia="zh-CN" w:bidi="ar-SA"/>
    </w:rPr>
  </w:style>
  <w:style w:type="character" w:customStyle="1" w:styleId="1050">
    <w:name w:val="正文格式 Char13"/>
    <w:autoRedefine/>
    <w:qFormat/>
    <w:uiPriority w:val="0"/>
    <w:rPr>
      <w:rFonts w:ascii="宋体" w:hAnsi="宋体" w:eastAsia="宋体"/>
      <w:kern w:val="2"/>
      <w:sz w:val="24"/>
      <w:szCs w:val="24"/>
      <w:lang w:val="en-US" w:eastAsia="zh-CN" w:bidi="ar-SA"/>
    </w:rPr>
  </w:style>
  <w:style w:type="character" w:customStyle="1" w:styleId="1051">
    <w:name w:val="Char Char12"/>
    <w:autoRedefine/>
    <w:qFormat/>
    <w:uiPriority w:val="0"/>
    <w:rPr>
      <w:rFonts w:ascii="Arial" w:hAnsi="Arial" w:eastAsia="宋体" w:cs="Arial"/>
      <w:b/>
      <w:bCs/>
      <w:kern w:val="2"/>
      <w:sz w:val="32"/>
      <w:szCs w:val="32"/>
      <w:lang w:val="en-US" w:eastAsia="zh-CN" w:bidi="ar-SA"/>
    </w:rPr>
  </w:style>
  <w:style w:type="character" w:customStyle="1" w:styleId="1052">
    <w:name w:val="标题2 Char9"/>
    <w:autoRedefine/>
    <w:qFormat/>
    <w:uiPriority w:val="0"/>
    <w:rPr>
      <w:rFonts w:ascii="宋体" w:hAnsi="宋体" w:eastAsia="宋体" w:cs="宋体"/>
      <w:color w:val="000000"/>
      <w:kern w:val="2"/>
      <w:sz w:val="24"/>
      <w:szCs w:val="24"/>
      <w:lang w:val="en-US" w:eastAsia="zh-CN" w:bidi="ar-SA"/>
    </w:rPr>
  </w:style>
  <w:style w:type="character" w:customStyle="1" w:styleId="1053">
    <w:name w:val="表内5 Char21"/>
    <w:autoRedefine/>
    <w:qFormat/>
    <w:uiPriority w:val="0"/>
    <w:rPr>
      <w:rFonts w:ascii="宋体" w:hAnsi="宋体" w:eastAsia="宋体" w:cs="宋体"/>
      <w:kern w:val="2"/>
      <w:sz w:val="21"/>
      <w:szCs w:val="24"/>
      <w:lang w:val="en-US" w:eastAsia="zh-CN" w:bidi="ar-SA"/>
    </w:rPr>
  </w:style>
  <w:style w:type="character" w:customStyle="1" w:styleId="1054">
    <w:name w:val="批注框文本 Char11"/>
    <w:autoRedefine/>
    <w:qFormat/>
    <w:uiPriority w:val="0"/>
    <w:rPr>
      <w:rFonts w:eastAsia="宋体"/>
      <w:kern w:val="2"/>
      <w:sz w:val="18"/>
      <w:szCs w:val="18"/>
      <w:lang w:val="en-US" w:eastAsia="zh-CN" w:bidi="ar-SA"/>
    </w:rPr>
  </w:style>
  <w:style w:type="character" w:customStyle="1" w:styleId="1055">
    <w:name w:val="图表标题 Char"/>
    <w:link w:val="1056"/>
    <w:autoRedefine/>
    <w:qFormat/>
    <w:uiPriority w:val="0"/>
    <w:rPr>
      <w:rFonts w:ascii="仿宋_GB2312"/>
      <w:b/>
      <w:sz w:val="24"/>
      <w:szCs w:val="24"/>
    </w:rPr>
  </w:style>
  <w:style w:type="paragraph" w:customStyle="1" w:styleId="1056">
    <w:name w:val="图表标题"/>
    <w:basedOn w:val="1"/>
    <w:link w:val="1055"/>
    <w:autoRedefine/>
    <w:qFormat/>
    <w:uiPriority w:val="0"/>
    <w:pPr>
      <w:spacing w:beforeLines="50" w:afterLines="50"/>
      <w:jc w:val="center"/>
    </w:pPr>
    <w:rPr>
      <w:rFonts w:ascii="仿宋_GB2312"/>
      <w:b/>
      <w:kern w:val="0"/>
      <w:sz w:val="24"/>
      <w:lang w:val="zh-CN"/>
    </w:rPr>
  </w:style>
  <w:style w:type="character" w:customStyle="1" w:styleId="1057">
    <w:name w:val="正文格式 Char31"/>
    <w:autoRedefine/>
    <w:qFormat/>
    <w:uiPriority w:val="0"/>
    <w:rPr>
      <w:rFonts w:ascii="宋体" w:hAnsi="宋体" w:eastAsia="宋体"/>
      <w:kern w:val="2"/>
      <w:sz w:val="24"/>
      <w:szCs w:val="24"/>
      <w:lang w:val="en-US" w:eastAsia="zh-CN" w:bidi="ar-SA"/>
    </w:rPr>
  </w:style>
  <w:style w:type="character" w:customStyle="1" w:styleId="1058">
    <w:name w:val="标题1"/>
    <w:basedOn w:val="90"/>
    <w:autoRedefine/>
    <w:qFormat/>
    <w:uiPriority w:val="0"/>
  </w:style>
  <w:style w:type="character" w:customStyle="1" w:styleId="1059">
    <w:name w:val="标题 2 Char21"/>
    <w:autoRedefine/>
    <w:qFormat/>
    <w:uiPriority w:val="0"/>
    <w:rPr>
      <w:rFonts w:ascii="黑体" w:hAnsi="Arial" w:eastAsia="黑体"/>
      <w:b/>
      <w:bCs/>
      <w:kern w:val="2"/>
      <w:sz w:val="30"/>
      <w:szCs w:val="30"/>
      <w:lang w:val="en-US" w:eastAsia="zh-CN" w:bidi="ar-SA"/>
    </w:rPr>
  </w:style>
  <w:style w:type="character" w:customStyle="1" w:styleId="1060">
    <w:name w:val="文本 Char"/>
    <w:link w:val="1061"/>
    <w:autoRedefine/>
    <w:qFormat/>
    <w:locked/>
    <w:uiPriority w:val="0"/>
    <w:rPr>
      <w:rFonts w:ascii="宋体" w:hAnsi="宋体"/>
      <w:snapToGrid w:val="0"/>
      <w:kern w:val="21"/>
      <w:szCs w:val="24"/>
    </w:rPr>
  </w:style>
  <w:style w:type="paragraph" w:customStyle="1" w:styleId="1061">
    <w:name w:val="文本"/>
    <w:basedOn w:val="1"/>
    <w:link w:val="1060"/>
    <w:autoRedefine/>
    <w:qFormat/>
    <w:uiPriority w:val="0"/>
    <w:pPr>
      <w:tabs>
        <w:tab w:val="right" w:leader="dot" w:pos="8296"/>
      </w:tabs>
      <w:adjustRightInd w:val="0"/>
      <w:snapToGrid w:val="0"/>
      <w:spacing w:beforeLines="20"/>
      <w:jc w:val="center"/>
    </w:pPr>
    <w:rPr>
      <w:rFonts w:ascii="宋体" w:hAnsi="宋体"/>
      <w:snapToGrid w:val="0"/>
      <w:kern w:val="21"/>
      <w:sz w:val="20"/>
      <w:lang w:val="zh-CN"/>
    </w:rPr>
  </w:style>
  <w:style w:type="character" w:customStyle="1" w:styleId="1062">
    <w:name w:val="表题1 Char21"/>
    <w:autoRedefine/>
    <w:qFormat/>
    <w:uiPriority w:val="0"/>
    <w:rPr>
      <w:rFonts w:hAnsi="Arial" w:eastAsia="宋体" w:cs="Arial"/>
      <w:kern w:val="2"/>
      <w:sz w:val="24"/>
      <w:szCs w:val="24"/>
      <w:lang w:val="en-US" w:eastAsia="zh-CN" w:bidi="ar-SA"/>
    </w:rPr>
  </w:style>
  <w:style w:type="character" w:customStyle="1" w:styleId="1063">
    <w:name w:val="Char Char18"/>
    <w:autoRedefine/>
    <w:qFormat/>
    <w:uiPriority w:val="0"/>
    <w:rPr>
      <w:rFonts w:ascii="Arial" w:hAnsi="Arial" w:eastAsia="宋体" w:cs="Arial"/>
      <w:b/>
      <w:bCs/>
      <w:kern w:val="2"/>
      <w:sz w:val="32"/>
      <w:szCs w:val="32"/>
      <w:lang w:val="en-US" w:eastAsia="zh-CN" w:bidi="ar-SA"/>
    </w:rPr>
  </w:style>
  <w:style w:type="character" w:customStyle="1" w:styleId="1064">
    <w:name w:val="题注 Char24"/>
    <w:autoRedefine/>
    <w:qFormat/>
    <w:uiPriority w:val="0"/>
    <w:rPr>
      <w:rFonts w:ascii="黑体" w:hAnsi="Arial" w:eastAsia="黑体" w:cs="Arial"/>
      <w:sz w:val="24"/>
      <w:szCs w:val="24"/>
    </w:rPr>
  </w:style>
  <w:style w:type="character" w:customStyle="1" w:styleId="1065">
    <w:name w:val="标题5"/>
    <w:basedOn w:val="90"/>
    <w:autoRedefine/>
    <w:qFormat/>
    <w:uiPriority w:val="0"/>
  </w:style>
  <w:style w:type="character" w:customStyle="1" w:styleId="1066">
    <w:name w:val="表中文字 Char211"/>
    <w:autoRedefine/>
    <w:qFormat/>
    <w:uiPriority w:val="0"/>
    <w:rPr>
      <w:rFonts w:ascii="宋体" w:eastAsia="宋体"/>
      <w:kern w:val="2"/>
      <w:sz w:val="21"/>
      <w:szCs w:val="21"/>
      <w:lang w:val="en-US" w:eastAsia="zh-CN" w:bidi="ar-SA"/>
    </w:rPr>
  </w:style>
  <w:style w:type="character" w:customStyle="1" w:styleId="1067">
    <w:name w:val="样式 样式 样式 样式 样式 宋体 小四 行距: 1.5 倍行距 + 首行缩进:  2 字符 + 蓝色 首行缩进:  2 字符 ...2 Char"/>
    <w:link w:val="1068"/>
    <w:autoRedefine/>
    <w:qFormat/>
    <w:uiPriority w:val="0"/>
    <w:rPr>
      <w:rFonts w:cs="宋体"/>
      <w:color w:val="000000"/>
    </w:rPr>
  </w:style>
  <w:style w:type="paragraph" w:customStyle="1" w:styleId="1068">
    <w:name w:val="样式 样式 样式 样式 样式 宋体 小四 行距: 1.5 倍行距 + 首行缩进:  2 字符 + 蓝色 首行缩进:  2 字符 ...2"/>
    <w:basedOn w:val="1"/>
    <w:link w:val="1067"/>
    <w:autoRedefine/>
    <w:qFormat/>
    <w:uiPriority w:val="0"/>
    <w:pPr>
      <w:spacing w:line="360" w:lineRule="auto"/>
      <w:ind w:firstLine="480" w:firstLineChars="200"/>
    </w:pPr>
    <w:rPr>
      <w:color w:val="000000"/>
      <w:kern w:val="0"/>
      <w:sz w:val="20"/>
      <w:szCs w:val="20"/>
      <w:lang w:val="zh-CN"/>
    </w:rPr>
  </w:style>
  <w:style w:type="character" w:customStyle="1" w:styleId="1069">
    <w:name w:val="表题1 Char12"/>
    <w:autoRedefine/>
    <w:qFormat/>
    <w:uiPriority w:val="0"/>
    <w:rPr>
      <w:rFonts w:hAnsi="Arial" w:eastAsia="宋体" w:cs="Arial"/>
      <w:kern w:val="2"/>
      <w:sz w:val="24"/>
      <w:szCs w:val="24"/>
      <w:lang w:val="en-US" w:eastAsia="zh-CN" w:bidi="ar-SA"/>
    </w:rPr>
  </w:style>
  <w:style w:type="character" w:customStyle="1" w:styleId="1070">
    <w:name w:val="Char Char42"/>
    <w:autoRedefine/>
    <w:qFormat/>
    <w:uiPriority w:val="0"/>
    <w:rPr>
      <w:rFonts w:hint="eastAsia" w:ascii="宋体" w:hAnsi="宋体" w:eastAsia="宋体"/>
      <w:b/>
      <w:bCs/>
      <w:kern w:val="2"/>
      <w:sz w:val="24"/>
      <w:szCs w:val="24"/>
      <w:lang w:val="en-US" w:eastAsia="zh-CN" w:bidi="ar-SA"/>
    </w:rPr>
  </w:style>
  <w:style w:type="character" w:customStyle="1" w:styleId="1071">
    <w:name w:val="表题1 Char111"/>
    <w:autoRedefine/>
    <w:qFormat/>
    <w:uiPriority w:val="0"/>
    <w:rPr>
      <w:rFonts w:hAnsi="Arial" w:eastAsia="宋体" w:cs="Arial"/>
      <w:kern w:val="2"/>
      <w:sz w:val="24"/>
      <w:szCs w:val="24"/>
      <w:lang w:val="en-US" w:eastAsia="zh-CN" w:bidi="ar-SA"/>
    </w:rPr>
  </w:style>
  <w:style w:type="character" w:customStyle="1" w:styleId="1072">
    <w:name w:val="Char Char83"/>
    <w:autoRedefine/>
    <w:qFormat/>
    <w:uiPriority w:val="0"/>
    <w:rPr>
      <w:rFonts w:ascii="宋体" w:hAnsi="Courier New" w:eastAsia="宋体"/>
      <w:sz w:val="21"/>
      <w:lang w:val="en-US" w:eastAsia="zh-CN" w:bidi="ar-SA"/>
    </w:rPr>
  </w:style>
  <w:style w:type="character" w:customStyle="1" w:styleId="1073">
    <w:name w:val="Char Char68"/>
    <w:autoRedefine/>
    <w:qFormat/>
    <w:uiPriority w:val="0"/>
    <w:rPr>
      <w:rFonts w:ascii="黑体" w:eastAsia="黑体"/>
      <w:b/>
      <w:bCs/>
      <w:kern w:val="2"/>
      <w:sz w:val="28"/>
      <w:szCs w:val="28"/>
      <w:lang w:val="en-US" w:eastAsia="zh-CN" w:bidi="ar-SA"/>
    </w:rPr>
  </w:style>
  <w:style w:type="character" w:customStyle="1" w:styleId="1074">
    <w:name w:val="apple-converted-space"/>
    <w:basedOn w:val="90"/>
    <w:autoRedefine/>
    <w:qFormat/>
    <w:uiPriority w:val="0"/>
  </w:style>
  <w:style w:type="character" w:customStyle="1" w:styleId="1075">
    <w:name w:val="Char Char123"/>
    <w:autoRedefine/>
    <w:qFormat/>
    <w:uiPriority w:val="0"/>
    <w:rPr>
      <w:rFonts w:ascii="黑体" w:hAnsi="Arial" w:eastAsia="黑体"/>
      <w:b/>
      <w:bCs/>
      <w:kern w:val="2"/>
      <w:sz w:val="30"/>
      <w:szCs w:val="30"/>
      <w:lang w:val="en-US" w:eastAsia="zh-CN" w:bidi="ar-SA"/>
    </w:rPr>
  </w:style>
  <w:style w:type="character" w:customStyle="1" w:styleId="1076">
    <w:name w:val="表头 Char1"/>
    <w:autoRedefine/>
    <w:qFormat/>
    <w:uiPriority w:val="0"/>
    <w:rPr>
      <w:rFonts w:ascii="仿宋_GB2312" w:eastAsia="仿宋_GB2312"/>
      <w:kern w:val="2"/>
      <w:sz w:val="28"/>
      <w:szCs w:val="28"/>
      <w:shd w:val="clear" w:color="auto" w:fill="FFFFFF"/>
      <w:lang w:val="en-US" w:eastAsia="zh-CN" w:bidi="ar-SA"/>
    </w:rPr>
  </w:style>
  <w:style w:type="character" w:customStyle="1" w:styleId="1077">
    <w:name w:val="标题2 Char21"/>
    <w:autoRedefine/>
    <w:qFormat/>
    <w:uiPriority w:val="0"/>
    <w:rPr>
      <w:rFonts w:ascii="宋体" w:hAnsi="宋体" w:eastAsia="宋体" w:cs="宋体"/>
      <w:color w:val="000000"/>
      <w:kern w:val="2"/>
      <w:sz w:val="24"/>
      <w:szCs w:val="24"/>
      <w:lang w:val="en-US" w:eastAsia="zh-CN" w:bidi="ar-SA"/>
    </w:rPr>
  </w:style>
  <w:style w:type="character" w:customStyle="1" w:styleId="1078">
    <w:name w:val="w_12_black1"/>
    <w:autoRedefine/>
    <w:qFormat/>
    <w:uiPriority w:val="0"/>
    <w:rPr>
      <w:color w:val="333333"/>
      <w:sz w:val="18"/>
      <w:szCs w:val="18"/>
    </w:rPr>
  </w:style>
  <w:style w:type="character" w:customStyle="1" w:styleId="1079">
    <w:name w:val="表题 Char41"/>
    <w:autoRedefine/>
    <w:qFormat/>
    <w:uiPriority w:val="0"/>
    <w:rPr>
      <w:rFonts w:ascii="黑体" w:hAnsi="Arial" w:eastAsia="黑体" w:cs="Arial"/>
      <w:b/>
      <w:kern w:val="2"/>
      <w:sz w:val="24"/>
      <w:szCs w:val="24"/>
      <w:lang w:val="en-US" w:eastAsia="zh-CN" w:bidi="ar-SA"/>
    </w:rPr>
  </w:style>
  <w:style w:type="character" w:customStyle="1" w:styleId="1080">
    <w:name w:val="ssqiaz"/>
    <w:basedOn w:val="90"/>
    <w:autoRedefine/>
    <w:qFormat/>
    <w:uiPriority w:val="0"/>
  </w:style>
  <w:style w:type="character" w:customStyle="1" w:styleId="1081">
    <w:name w:val="标题 3 Char31"/>
    <w:autoRedefine/>
    <w:qFormat/>
    <w:uiPriority w:val="0"/>
    <w:rPr>
      <w:rFonts w:ascii="黑体" w:hAnsi="宋体" w:eastAsia="黑体"/>
      <w:b/>
      <w:bCs/>
      <w:kern w:val="2"/>
      <w:sz w:val="28"/>
      <w:szCs w:val="28"/>
      <w:lang w:val="en-US" w:eastAsia="zh-CN" w:bidi="ar-SA"/>
    </w:rPr>
  </w:style>
  <w:style w:type="character" w:customStyle="1" w:styleId="1082">
    <w:name w:val="标题 Char Char"/>
    <w:autoRedefine/>
    <w:qFormat/>
    <w:uiPriority w:val="0"/>
    <w:rPr>
      <w:rFonts w:ascii="Arial" w:hAnsi="Arial" w:eastAsia="宋体" w:cs="Arial"/>
      <w:b/>
      <w:bCs/>
      <w:sz w:val="32"/>
      <w:szCs w:val="32"/>
      <w:lang w:val="en-US" w:eastAsia="zh-CN" w:bidi="ar-SA"/>
    </w:rPr>
  </w:style>
  <w:style w:type="character" w:customStyle="1" w:styleId="1083">
    <w:name w:val="参加人员 Char Char"/>
    <w:autoRedefine/>
    <w:qFormat/>
    <w:uiPriority w:val="0"/>
    <w:rPr>
      <w:rFonts w:ascii="Times New Roman" w:hAnsi="Times New Roman"/>
      <w:kern w:val="2"/>
      <w:sz w:val="24"/>
      <w:szCs w:val="24"/>
    </w:rPr>
  </w:style>
  <w:style w:type="character" w:customStyle="1" w:styleId="1084">
    <w:name w:val="图题注 Char4"/>
    <w:autoRedefine/>
    <w:qFormat/>
    <w:uiPriority w:val="0"/>
    <w:rPr>
      <w:rFonts w:ascii="黑体" w:hAnsi="Arial" w:eastAsia="黑体" w:cs="宋体"/>
      <w:b/>
      <w:bCs/>
      <w:kern w:val="2"/>
      <w:sz w:val="24"/>
      <w:szCs w:val="24"/>
      <w:lang w:val="en-US" w:eastAsia="zh-CN" w:bidi="ar-SA"/>
    </w:rPr>
  </w:style>
  <w:style w:type="character" w:customStyle="1" w:styleId="1085">
    <w:name w:val="表标题 Char Char"/>
    <w:autoRedefine/>
    <w:qFormat/>
    <w:uiPriority w:val="0"/>
    <w:rPr>
      <w:rFonts w:ascii="Times New Roman" w:hAnsi="Times New Roman"/>
      <w:b/>
      <w:kern w:val="2"/>
      <w:sz w:val="24"/>
    </w:rPr>
  </w:style>
  <w:style w:type="character" w:customStyle="1" w:styleId="1086">
    <w:name w:val="一级项 Char2"/>
    <w:autoRedefine/>
    <w:qFormat/>
    <w:uiPriority w:val="0"/>
    <w:rPr>
      <w:rFonts w:eastAsia="宋体"/>
      <w:b/>
      <w:bCs/>
      <w:kern w:val="2"/>
      <w:sz w:val="28"/>
      <w:szCs w:val="28"/>
      <w:lang w:val="en-US" w:eastAsia="zh-CN" w:bidi="ar-SA"/>
    </w:rPr>
  </w:style>
  <w:style w:type="character" w:customStyle="1" w:styleId="1087">
    <w:name w:val="satajq8"/>
    <w:basedOn w:val="90"/>
    <w:autoRedefine/>
    <w:qFormat/>
    <w:uiPriority w:val="0"/>
  </w:style>
  <w:style w:type="character" w:customStyle="1" w:styleId="1088">
    <w:name w:val="报告 Char Char"/>
    <w:link w:val="1089"/>
    <w:autoRedefine/>
    <w:qFormat/>
    <w:uiPriority w:val="0"/>
    <w:rPr>
      <w:sz w:val="24"/>
    </w:rPr>
  </w:style>
  <w:style w:type="paragraph" w:customStyle="1" w:styleId="1089">
    <w:name w:val="报告"/>
    <w:basedOn w:val="1"/>
    <w:link w:val="1088"/>
    <w:autoRedefine/>
    <w:qFormat/>
    <w:uiPriority w:val="0"/>
    <w:pPr>
      <w:overflowPunct w:val="0"/>
      <w:autoSpaceDE w:val="0"/>
      <w:autoSpaceDN w:val="0"/>
      <w:adjustRightInd w:val="0"/>
      <w:spacing w:beforeLines="20" w:afterLines="20" w:line="440" w:lineRule="atLeast"/>
      <w:ind w:right="-100" w:rightChars="-100" w:firstLine="200" w:firstLineChars="200"/>
    </w:pPr>
    <w:rPr>
      <w:kern w:val="0"/>
      <w:sz w:val="24"/>
      <w:szCs w:val="20"/>
      <w:lang w:val="zh-CN"/>
    </w:rPr>
  </w:style>
  <w:style w:type="character" w:customStyle="1" w:styleId="1090">
    <w:name w:val="正文缩进 Char111"/>
    <w:autoRedefine/>
    <w:qFormat/>
    <w:uiPriority w:val="0"/>
    <w:rPr>
      <w:rFonts w:ascii="宋体" w:hAnsi="宋体" w:eastAsia="宋体" w:cs="宋体"/>
      <w:color w:val="000000"/>
      <w:kern w:val="2"/>
      <w:sz w:val="24"/>
      <w:szCs w:val="24"/>
      <w:lang w:val="en-US" w:eastAsia="zh-CN" w:bidi="ar-SA"/>
    </w:rPr>
  </w:style>
  <w:style w:type="character" w:customStyle="1" w:styleId="1091">
    <w:name w:val="s1"/>
    <w:autoRedefine/>
    <w:qFormat/>
    <w:uiPriority w:val="0"/>
    <w:rPr>
      <w:sz w:val="18"/>
      <w:szCs w:val="18"/>
    </w:rPr>
  </w:style>
  <w:style w:type="character" w:customStyle="1" w:styleId="1092">
    <w:name w:val="sj4lab"/>
    <w:basedOn w:val="90"/>
    <w:autoRedefine/>
    <w:qFormat/>
    <w:uiPriority w:val="0"/>
  </w:style>
  <w:style w:type="character" w:customStyle="1" w:styleId="1093">
    <w:name w:val="图题 Char4"/>
    <w:autoRedefine/>
    <w:qFormat/>
    <w:uiPriority w:val="0"/>
    <w:rPr>
      <w:rFonts w:ascii="黑体" w:hAnsi="宋体" w:eastAsia="黑体" w:cs="宋体"/>
      <w:b/>
      <w:bCs/>
      <w:kern w:val="2"/>
      <w:sz w:val="24"/>
      <w:szCs w:val="24"/>
      <w:lang w:val="en-US" w:eastAsia="zh-CN" w:bidi="ar-SA"/>
    </w:rPr>
  </w:style>
  <w:style w:type="character" w:customStyle="1" w:styleId="1094">
    <w:name w:val="s9zsb3q"/>
    <w:basedOn w:val="90"/>
    <w:autoRedefine/>
    <w:qFormat/>
    <w:uiPriority w:val="0"/>
  </w:style>
  <w:style w:type="character" w:customStyle="1" w:styleId="1095">
    <w:name w:val="Char Char17"/>
    <w:autoRedefine/>
    <w:qFormat/>
    <w:uiPriority w:val="0"/>
    <w:rPr>
      <w:rFonts w:ascii="宋体" w:hAnsi="PMingLiU" w:eastAsia="宋体"/>
      <w:kern w:val="2"/>
      <w:sz w:val="24"/>
      <w:szCs w:val="24"/>
      <w:lang w:val="en-US" w:eastAsia="zh-CN" w:bidi="ar-SA"/>
    </w:rPr>
  </w:style>
  <w:style w:type="character" w:customStyle="1" w:styleId="1096">
    <w:name w:val="标题 21"/>
    <w:autoRedefine/>
    <w:qFormat/>
    <w:uiPriority w:val="0"/>
    <w:rPr>
      <w:rFonts w:ascii="黑体" w:hAnsi="Arial" w:eastAsia="黑体"/>
      <w:kern w:val="2"/>
      <w:sz w:val="36"/>
      <w:szCs w:val="32"/>
      <w:lang w:val="en-US" w:eastAsia="zh-CN" w:bidi="ar-SA"/>
    </w:rPr>
  </w:style>
  <w:style w:type="character" w:customStyle="1" w:styleId="1097">
    <w:name w:val="样式 正文缩进 + 宋体 黑色 Char4"/>
    <w:autoRedefine/>
    <w:qFormat/>
    <w:uiPriority w:val="0"/>
    <w:rPr>
      <w:rFonts w:ascii="宋体" w:hAnsi="宋体" w:eastAsia="宋体"/>
      <w:color w:val="000000"/>
      <w:kern w:val="2"/>
      <w:sz w:val="24"/>
      <w:szCs w:val="24"/>
      <w:lang w:val="en-US" w:eastAsia="zh-CN" w:bidi="ar-SA"/>
    </w:rPr>
  </w:style>
  <w:style w:type="character" w:customStyle="1" w:styleId="1098">
    <w:name w:val="表格内容 Char"/>
    <w:link w:val="1099"/>
    <w:autoRedefine/>
    <w:qFormat/>
    <w:locked/>
    <w:uiPriority w:val="0"/>
    <w:rPr>
      <w:rFonts w:ascii="宋体" w:hAnsi="宋体" w:cs="Arial Unicode MS"/>
      <w:szCs w:val="24"/>
    </w:rPr>
  </w:style>
  <w:style w:type="paragraph" w:customStyle="1" w:styleId="1099">
    <w:name w:val="表格内容"/>
    <w:basedOn w:val="1"/>
    <w:link w:val="1098"/>
    <w:autoRedefine/>
    <w:qFormat/>
    <w:uiPriority w:val="0"/>
    <w:pPr>
      <w:adjustRightInd w:val="0"/>
      <w:snapToGrid w:val="0"/>
      <w:spacing w:line="240" w:lineRule="atLeast"/>
      <w:jc w:val="center"/>
    </w:pPr>
    <w:rPr>
      <w:rFonts w:ascii="宋体" w:hAnsi="宋体"/>
      <w:kern w:val="0"/>
      <w:sz w:val="20"/>
      <w:lang w:val="zh-CN"/>
    </w:rPr>
  </w:style>
  <w:style w:type="character" w:customStyle="1" w:styleId="1100">
    <w:name w:val="su21"/>
    <w:basedOn w:val="90"/>
    <w:autoRedefine/>
    <w:qFormat/>
    <w:uiPriority w:val="0"/>
  </w:style>
  <w:style w:type="character" w:customStyle="1" w:styleId="1101">
    <w:name w:val="+正文加黑 字符"/>
    <w:link w:val="1102"/>
    <w:autoRedefine/>
    <w:qFormat/>
    <w:locked/>
    <w:uiPriority w:val="0"/>
    <w:rPr>
      <w:rFonts w:ascii="宋体" w:hAnsi="宋体"/>
      <w:sz w:val="24"/>
      <w:szCs w:val="24"/>
    </w:rPr>
  </w:style>
  <w:style w:type="paragraph" w:customStyle="1" w:styleId="1102">
    <w:name w:val="+正文加黑"/>
    <w:basedOn w:val="1"/>
    <w:link w:val="1101"/>
    <w:autoRedefine/>
    <w:qFormat/>
    <w:uiPriority w:val="0"/>
    <w:pPr>
      <w:spacing w:line="500" w:lineRule="exact"/>
      <w:ind w:firstLine="480" w:firstLineChars="200"/>
    </w:pPr>
    <w:rPr>
      <w:rFonts w:ascii="宋体" w:hAnsi="宋体"/>
      <w:kern w:val="0"/>
      <w:sz w:val="24"/>
      <w:lang w:val="zh-CN"/>
    </w:rPr>
  </w:style>
  <w:style w:type="character" w:customStyle="1" w:styleId="1103">
    <w:name w:val="s19n338"/>
    <w:basedOn w:val="90"/>
    <w:autoRedefine/>
    <w:qFormat/>
    <w:uiPriority w:val="0"/>
  </w:style>
  <w:style w:type="character" w:customStyle="1" w:styleId="1104">
    <w:name w:val="正文 Char Char"/>
    <w:autoRedefine/>
    <w:qFormat/>
    <w:uiPriority w:val="0"/>
    <w:rPr>
      <w:rFonts w:ascii="仿宋_GB2312" w:hAnsi="宋体" w:eastAsia="仿宋_GB2312"/>
      <w:color w:val="000000"/>
      <w:kern w:val="2"/>
      <w:sz w:val="28"/>
      <w:szCs w:val="24"/>
      <w:lang w:val="en-US" w:eastAsia="zh-CN" w:bidi="ar-SA"/>
    </w:rPr>
  </w:style>
  <w:style w:type="character" w:customStyle="1" w:styleId="1105">
    <w:name w:val="标题 5 Char11"/>
    <w:autoRedefine/>
    <w:qFormat/>
    <w:uiPriority w:val="0"/>
    <w:rPr>
      <w:rFonts w:ascii="宋体" w:hAnsi="宋体" w:eastAsia="宋体" w:cs="宋体"/>
      <w:b/>
      <w:bCs/>
      <w:kern w:val="2"/>
      <w:sz w:val="28"/>
      <w:szCs w:val="28"/>
      <w:lang w:val="en-US" w:eastAsia="zh-CN" w:bidi="ar-SA"/>
    </w:rPr>
  </w:style>
  <w:style w:type="character" w:customStyle="1" w:styleId="1106">
    <w:name w:val="ssmj9"/>
    <w:basedOn w:val="90"/>
    <w:autoRedefine/>
    <w:qFormat/>
    <w:uiPriority w:val="0"/>
  </w:style>
  <w:style w:type="character" w:customStyle="1" w:styleId="1107">
    <w:name w:val="标题4 Char4"/>
    <w:autoRedefine/>
    <w:qFormat/>
    <w:uiPriority w:val="0"/>
    <w:rPr>
      <w:rFonts w:ascii="黑体" w:hAnsi="Arial" w:eastAsia="黑体" w:cs="Times New Roman"/>
      <w:b/>
      <w:bCs/>
      <w:kern w:val="2"/>
      <w:sz w:val="24"/>
      <w:szCs w:val="28"/>
      <w:lang w:val="en-US" w:eastAsia="zh-CN" w:bidi="ar-SA"/>
    </w:rPr>
  </w:style>
  <w:style w:type="character" w:customStyle="1" w:styleId="1108">
    <w:name w:val="sc2f7tt"/>
    <w:basedOn w:val="90"/>
    <w:autoRedefine/>
    <w:qFormat/>
    <w:uiPriority w:val="0"/>
  </w:style>
  <w:style w:type="character" w:customStyle="1" w:styleId="1109">
    <w:name w:val="sub_title1"/>
    <w:autoRedefine/>
    <w:qFormat/>
    <w:uiPriority w:val="0"/>
    <w:rPr>
      <w:rFonts w:hint="default"/>
      <w:color w:val="FF6600"/>
      <w:sz w:val="21"/>
      <w:szCs w:val="21"/>
    </w:rPr>
  </w:style>
  <w:style w:type="character" w:customStyle="1" w:styleId="1110">
    <w:name w:val="text_new"/>
    <w:basedOn w:val="90"/>
    <w:autoRedefine/>
    <w:qFormat/>
    <w:uiPriority w:val="0"/>
  </w:style>
  <w:style w:type="character" w:customStyle="1" w:styleId="1111">
    <w:name w:val="干标题(a) Char3"/>
    <w:autoRedefine/>
    <w:qFormat/>
    <w:uiPriority w:val="0"/>
    <w:rPr>
      <w:rFonts w:ascii="Arial" w:hAnsi="Arial" w:eastAsia="黑体"/>
      <w:kern w:val="2"/>
      <w:sz w:val="21"/>
      <w:szCs w:val="21"/>
      <w:lang w:val="en-US" w:eastAsia="zh-CN" w:bidi="ar-SA"/>
    </w:rPr>
  </w:style>
  <w:style w:type="character" w:customStyle="1" w:styleId="1112">
    <w:name w:val="pccs1"/>
    <w:autoRedefine/>
    <w:qFormat/>
    <w:uiPriority w:val="0"/>
    <w:rPr>
      <w:sz w:val="18"/>
      <w:szCs w:val="18"/>
    </w:rPr>
  </w:style>
  <w:style w:type="character" w:customStyle="1" w:styleId="1113">
    <w:name w:val="headline-content2"/>
    <w:basedOn w:val="90"/>
    <w:autoRedefine/>
    <w:qFormat/>
    <w:uiPriority w:val="0"/>
  </w:style>
  <w:style w:type="character" w:customStyle="1" w:styleId="1114">
    <w:name w:val="样式 表格内字体 + Char3"/>
    <w:autoRedefine/>
    <w:qFormat/>
    <w:uiPriority w:val="0"/>
    <w:rPr>
      <w:rFonts w:ascii="宋体" w:hAnsi="宋体" w:cs="Times New Roman"/>
      <w:kern w:val="0"/>
      <w:szCs w:val="24"/>
    </w:rPr>
  </w:style>
  <w:style w:type="character" w:customStyle="1" w:styleId="1115">
    <w:name w:val="燕山正文 Char17"/>
    <w:autoRedefine/>
    <w:qFormat/>
    <w:uiPriority w:val="0"/>
    <w:rPr>
      <w:rFonts w:ascii="宋体" w:hAnsi="Times New Roman" w:eastAsia="宋体" w:cs="宋体"/>
      <w:kern w:val="2"/>
      <w:sz w:val="24"/>
      <w:szCs w:val="24"/>
      <w:lang w:val="en-US" w:eastAsia="zh-CN" w:bidi="ar-SA"/>
    </w:rPr>
  </w:style>
  <w:style w:type="character" w:customStyle="1" w:styleId="1116">
    <w:name w:val="zhenwen141"/>
    <w:autoRedefine/>
    <w:qFormat/>
    <w:uiPriority w:val="0"/>
    <w:rPr>
      <w:rFonts w:hint="default" w:ascii="ˎ̥" w:hAnsi="ˎ̥"/>
      <w:sz w:val="20"/>
      <w:szCs w:val="20"/>
    </w:rPr>
  </w:style>
  <w:style w:type="character" w:customStyle="1" w:styleId="1117">
    <w:name w:val="表内5 Char4"/>
    <w:autoRedefine/>
    <w:qFormat/>
    <w:uiPriority w:val="0"/>
    <w:rPr>
      <w:rFonts w:ascii="宋体" w:hAnsi="宋体" w:eastAsia="宋体" w:cs="Times New Roman"/>
      <w:kern w:val="2"/>
      <w:sz w:val="24"/>
      <w:szCs w:val="21"/>
      <w:lang w:val="en-US" w:eastAsia="zh-CN" w:bidi="ar-SA"/>
    </w:rPr>
  </w:style>
  <w:style w:type="character" w:customStyle="1" w:styleId="1118">
    <w:name w:val="Char Char43"/>
    <w:autoRedefine/>
    <w:qFormat/>
    <w:uiPriority w:val="0"/>
    <w:rPr>
      <w:rFonts w:hint="eastAsia" w:ascii="宋体" w:hAnsi="宋体" w:eastAsia="宋体"/>
      <w:b/>
      <w:bCs/>
      <w:kern w:val="2"/>
      <w:sz w:val="24"/>
      <w:szCs w:val="24"/>
      <w:lang w:val="en-US" w:eastAsia="zh-CN" w:bidi="ar-SA"/>
    </w:rPr>
  </w:style>
  <w:style w:type="character" w:customStyle="1" w:styleId="1119">
    <w:name w:val="特点标题 Char Char1"/>
    <w:autoRedefine/>
    <w:qFormat/>
    <w:locked/>
    <w:uiPriority w:val="0"/>
    <w:rPr>
      <w:rFonts w:ascii="仿宋_GB2312" w:hAnsi="Courier New" w:eastAsia="仿宋_GB2312"/>
      <w:sz w:val="28"/>
      <w:lang w:val="en-US" w:eastAsia="zh-CN" w:bidi="ar-SA"/>
    </w:rPr>
  </w:style>
  <w:style w:type="character" w:customStyle="1" w:styleId="1120">
    <w:name w:val="正文修改 Char1212"/>
    <w:autoRedefine/>
    <w:qFormat/>
    <w:uiPriority w:val="0"/>
    <w:rPr>
      <w:rFonts w:ascii="宋体" w:hAnsi="宋体" w:eastAsia="宋体" w:cs="宋体"/>
      <w:color w:val="000000"/>
      <w:sz w:val="24"/>
      <w:szCs w:val="24"/>
    </w:rPr>
  </w:style>
  <w:style w:type="character" w:customStyle="1" w:styleId="1121">
    <w:name w:val="页眉1 Char2"/>
    <w:autoRedefine/>
    <w:qFormat/>
    <w:uiPriority w:val="0"/>
    <w:rPr>
      <w:sz w:val="18"/>
      <w:szCs w:val="18"/>
    </w:rPr>
  </w:style>
  <w:style w:type="character" w:customStyle="1" w:styleId="1122">
    <w:name w:val="Char Char131"/>
    <w:autoRedefine/>
    <w:qFormat/>
    <w:uiPriority w:val="0"/>
    <w:rPr>
      <w:rFonts w:eastAsia="宋体"/>
      <w:kern w:val="2"/>
      <w:sz w:val="21"/>
      <w:lang w:val="en-US" w:eastAsia="zh-CN" w:bidi="ar-SA"/>
    </w:rPr>
  </w:style>
  <w:style w:type="character" w:customStyle="1" w:styleId="1123">
    <w:name w:val="Char4 Char Char Char Char1"/>
    <w:link w:val="1124"/>
    <w:autoRedefine/>
    <w:qFormat/>
    <w:uiPriority w:val="0"/>
    <w:rPr>
      <w:sz w:val="24"/>
      <w:szCs w:val="24"/>
    </w:rPr>
  </w:style>
  <w:style w:type="paragraph" w:customStyle="1" w:styleId="1124">
    <w:name w:val="Char4 Char Char Char1"/>
    <w:basedOn w:val="1"/>
    <w:link w:val="1123"/>
    <w:autoRedefine/>
    <w:qFormat/>
    <w:uiPriority w:val="0"/>
    <w:rPr>
      <w:kern w:val="0"/>
      <w:sz w:val="24"/>
      <w:lang w:val="zh-CN"/>
    </w:rPr>
  </w:style>
  <w:style w:type="character" w:customStyle="1" w:styleId="1125">
    <w:name w:val="标题 2 Char Char2"/>
    <w:autoRedefine/>
    <w:qFormat/>
    <w:uiPriority w:val="0"/>
    <w:rPr>
      <w:rFonts w:ascii="黑体" w:hAnsi="Arial" w:eastAsia="黑体"/>
      <w:b/>
      <w:bCs/>
      <w:kern w:val="2"/>
      <w:sz w:val="30"/>
      <w:szCs w:val="30"/>
      <w:lang w:val="en-US" w:eastAsia="zh-CN" w:bidi="ar-SA"/>
    </w:rPr>
  </w:style>
  <w:style w:type="character" w:customStyle="1" w:styleId="1126">
    <w:name w:val="燕山正文 Char121"/>
    <w:autoRedefine/>
    <w:qFormat/>
    <w:uiPriority w:val="0"/>
    <w:rPr>
      <w:rFonts w:ascii="宋体" w:eastAsia="宋体" w:cs="宋体"/>
      <w:kern w:val="2"/>
      <w:sz w:val="24"/>
      <w:szCs w:val="24"/>
      <w:lang w:val="en-US" w:eastAsia="zh-CN" w:bidi="ar-SA"/>
    </w:rPr>
  </w:style>
  <w:style w:type="character" w:customStyle="1" w:styleId="1127">
    <w:name w:val="Char Char69"/>
    <w:autoRedefine/>
    <w:qFormat/>
    <w:uiPriority w:val="0"/>
    <w:rPr>
      <w:rFonts w:ascii="Times New Roman" w:hAnsi="Times New Roman" w:eastAsia="仿宋_GB2312"/>
      <w:color w:val="000000"/>
      <w:kern w:val="2"/>
      <w:sz w:val="24"/>
    </w:rPr>
  </w:style>
  <w:style w:type="character" w:customStyle="1" w:styleId="1128">
    <w:name w:val="表格内字体 Char31"/>
    <w:autoRedefine/>
    <w:qFormat/>
    <w:uiPriority w:val="0"/>
    <w:rPr>
      <w:rFonts w:ascii="宋体" w:hAnsi="宋体" w:eastAsia="宋体"/>
      <w:kern w:val="2"/>
      <w:sz w:val="21"/>
      <w:szCs w:val="24"/>
      <w:lang w:val="en-US" w:eastAsia="zh-CN" w:bidi="ar-SA"/>
    </w:rPr>
  </w:style>
  <w:style w:type="character" w:customStyle="1" w:styleId="1129">
    <w:name w:val="图表题 Char4"/>
    <w:autoRedefine/>
    <w:qFormat/>
    <w:uiPriority w:val="0"/>
    <w:rPr>
      <w:rFonts w:ascii="黑体" w:hAnsi="宋体" w:eastAsia="黑体" w:cs="宋体"/>
      <w:bCs/>
      <w:sz w:val="24"/>
      <w:szCs w:val="24"/>
    </w:rPr>
  </w:style>
  <w:style w:type="character" w:customStyle="1" w:styleId="1130">
    <w:name w:val="sdi8io"/>
    <w:basedOn w:val="90"/>
    <w:autoRedefine/>
    <w:qFormat/>
    <w:uiPriority w:val="0"/>
  </w:style>
  <w:style w:type="character" w:customStyle="1" w:styleId="1131">
    <w:name w:val="燕山正文 Char131"/>
    <w:autoRedefine/>
    <w:qFormat/>
    <w:uiPriority w:val="0"/>
    <w:rPr>
      <w:rFonts w:ascii="宋体" w:eastAsia="宋体" w:cs="宋体"/>
      <w:kern w:val="2"/>
      <w:sz w:val="24"/>
      <w:szCs w:val="24"/>
      <w:lang w:val="en-US" w:eastAsia="zh-CN" w:bidi="ar-SA"/>
    </w:rPr>
  </w:style>
  <w:style w:type="character" w:customStyle="1" w:styleId="1132">
    <w:name w:val="main-1"/>
    <w:basedOn w:val="90"/>
    <w:autoRedefine/>
    <w:qFormat/>
    <w:uiPriority w:val="0"/>
  </w:style>
  <w:style w:type="character" w:customStyle="1" w:styleId="1133">
    <w:name w:val="正文修改 Char134"/>
    <w:autoRedefine/>
    <w:qFormat/>
    <w:uiPriority w:val="0"/>
    <w:rPr>
      <w:rFonts w:hAnsi="宋体"/>
      <w:color w:val="000000"/>
    </w:rPr>
  </w:style>
  <w:style w:type="character" w:customStyle="1" w:styleId="1134">
    <w:name w:val="题注 Char34"/>
    <w:autoRedefine/>
    <w:qFormat/>
    <w:uiPriority w:val="0"/>
    <w:rPr>
      <w:rFonts w:ascii="黑体" w:hAnsi="Arial" w:eastAsia="黑体" w:cs="Arial"/>
      <w:sz w:val="24"/>
      <w:szCs w:val="24"/>
    </w:rPr>
  </w:style>
  <w:style w:type="character" w:customStyle="1" w:styleId="1135">
    <w:name w:val="wz-title11"/>
    <w:autoRedefine/>
    <w:qFormat/>
    <w:uiPriority w:val="0"/>
    <w:rPr>
      <w:b/>
      <w:bCs/>
      <w:color w:val="2879B8"/>
      <w:sz w:val="20"/>
      <w:szCs w:val="20"/>
    </w:rPr>
  </w:style>
  <w:style w:type="character" w:customStyle="1" w:styleId="1136">
    <w:name w:val="正文缩进 Cha Char"/>
    <w:autoRedefine/>
    <w:qFormat/>
    <w:uiPriority w:val="0"/>
    <w:rPr>
      <w:rFonts w:eastAsia="宋体"/>
      <w:kern w:val="2"/>
      <w:sz w:val="28"/>
      <w:szCs w:val="24"/>
      <w:lang w:val="en-US" w:eastAsia="zh-CN" w:bidi="ar-SA"/>
    </w:rPr>
  </w:style>
  <w:style w:type="character" w:customStyle="1" w:styleId="1137">
    <w:name w:val="s9n1k0c"/>
    <w:basedOn w:val="90"/>
    <w:autoRedefine/>
    <w:qFormat/>
    <w:uiPriority w:val="0"/>
  </w:style>
  <w:style w:type="character" w:customStyle="1" w:styleId="1138">
    <w:name w:val="表题1 Char"/>
    <w:link w:val="1139"/>
    <w:autoRedefine/>
    <w:qFormat/>
    <w:locked/>
    <w:uiPriority w:val="0"/>
    <w:rPr>
      <w:rFonts w:ascii="宋体" w:hAnsi="Arial" w:cs="Arial"/>
      <w:b/>
      <w:sz w:val="24"/>
      <w:szCs w:val="24"/>
    </w:rPr>
  </w:style>
  <w:style w:type="paragraph" w:customStyle="1" w:styleId="1139">
    <w:name w:val="表题1"/>
    <w:basedOn w:val="22"/>
    <w:link w:val="1138"/>
    <w:autoRedefine/>
    <w:qFormat/>
    <w:uiPriority w:val="0"/>
    <w:pPr>
      <w:widowControl w:val="0"/>
      <w:spacing w:after="0" w:line="500" w:lineRule="exact"/>
      <w:ind w:left="0" w:right="0" w:firstLine="0"/>
      <w:jc w:val="center"/>
    </w:pPr>
    <w:rPr>
      <w:rFonts w:ascii="宋体" w:hAnsi="Arial" w:eastAsia="宋体"/>
      <w:b/>
      <w:color w:val="auto"/>
      <w:sz w:val="24"/>
      <w:szCs w:val="24"/>
    </w:rPr>
  </w:style>
  <w:style w:type="character" w:customStyle="1" w:styleId="1140">
    <w:name w:val="dectext1"/>
    <w:autoRedefine/>
    <w:qFormat/>
    <w:uiPriority w:val="0"/>
    <w:rPr>
      <w:rFonts w:hint="eastAsia" w:ascii="宋体" w:hAnsi="宋体" w:eastAsia="宋体"/>
      <w:color w:val="333333"/>
      <w:sz w:val="21"/>
      <w:szCs w:val="21"/>
      <w:u w:val="none"/>
    </w:rPr>
  </w:style>
  <w:style w:type="character" w:customStyle="1" w:styleId="1141">
    <w:name w:val="zjgblk1"/>
    <w:autoRedefine/>
    <w:qFormat/>
    <w:uiPriority w:val="0"/>
    <w:rPr>
      <w:rFonts w:hint="default"/>
      <w:color w:val="000000"/>
      <w:sz w:val="18"/>
      <w:szCs w:val="18"/>
      <w:u w:val="none"/>
    </w:rPr>
  </w:style>
  <w:style w:type="character" w:customStyle="1" w:styleId="1142">
    <w:name w:val="s8xye"/>
    <w:basedOn w:val="90"/>
    <w:autoRedefine/>
    <w:qFormat/>
    <w:uiPriority w:val="0"/>
  </w:style>
  <w:style w:type="character" w:customStyle="1" w:styleId="1143">
    <w:name w:val="sv1hyw"/>
    <w:basedOn w:val="90"/>
    <w:autoRedefine/>
    <w:qFormat/>
    <w:uiPriority w:val="0"/>
  </w:style>
  <w:style w:type="character" w:customStyle="1" w:styleId="1144">
    <w:name w:val="表格标题新 Char"/>
    <w:link w:val="1145"/>
    <w:autoRedefine/>
    <w:qFormat/>
    <w:uiPriority w:val="0"/>
    <w:rPr>
      <w:rFonts w:ascii="仿宋_GB2312" w:hAnsi="宋体" w:eastAsia="黑体" w:cs="宋体"/>
      <w:b/>
      <w:snapToGrid w:val="0"/>
      <w:sz w:val="24"/>
      <w:szCs w:val="24"/>
    </w:rPr>
  </w:style>
  <w:style w:type="paragraph" w:customStyle="1" w:styleId="1145">
    <w:name w:val="表格标题新"/>
    <w:basedOn w:val="1"/>
    <w:link w:val="1144"/>
    <w:autoRedefine/>
    <w:qFormat/>
    <w:uiPriority w:val="0"/>
    <w:pPr>
      <w:widowControl/>
      <w:tabs>
        <w:tab w:val="left" w:pos="0"/>
      </w:tabs>
      <w:snapToGrid w:val="0"/>
      <w:spacing w:beforeLines="50"/>
      <w:ind w:firstLine="562"/>
      <w:jc w:val="center"/>
    </w:pPr>
    <w:rPr>
      <w:rFonts w:ascii="仿宋_GB2312" w:hAnsi="宋体" w:eastAsia="黑体"/>
      <w:b/>
      <w:snapToGrid w:val="0"/>
      <w:kern w:val="0"/>
      <w:sz w:val="24"/>
      <w:lang w:val="zh-CN"/>
    </w:rPr>
  </w:style>
  <w:style w:type="character" w:customStyle="1" w:styleId="1146">
    <w:name w:val="sxwt2u"/>
    <w:basedOn w:val="90"/>
    <w:autoRedefine/>
    <w:qFormat/>
    <w:uiPriority w:val="0"/>
  </w:style>
  <w:style w:type="character" w:customStyle="1" w:styleId="1147">
    <w:name w:val="c121"/>
    <w:autoRedefine/>
    <w:qFormat/>
    <w:uiPriority w:val="0"/>
    <w:rPr>
      <w:color w:val="666666"/>
      <w:sz w:val="18"/>
      <w:szCs w:val="18"/>
      <w:u w:val="none"/>
    </w:rPr>
  </w:style>
  <w:style w:type="character" w:customStyle="1" w:styleId="1148">
    <w:name w:val="Footer Line1 Char2"/>
    <w:autoRedefine/>
    <w:qFormat/>
    <w:uiPriority w:val="0"/>
    <w:rPr>
      <w:rFonts w:eastAsia="宋体"/>
      <w:kern w:val="2"/>
      <w:sz w:val="21"/>
      <w:szCs w:val="21"/>
      <w:lang w:val="en-US" w:eastAsia="zh-CN" w:bidi="ar-SA"/>
    </w:rPr>
  </w:style>
  <w:style w:type="character" w:customStyle="1" w:styleId="1149">
    <w:name w:val="正文01 Char Char"/>
    <w:link w:val="1150"/>
    <w:autoRedefine/>
    <w:qFormat/>
    <w:uiPriority w:val="0"/>
    <w:rPr>
      <w:sz w:val="24"/>
      <w:szCs w:val="24"/>
    </w:rPr>
  </w:style>
  <w:style w:type="paragraph" w:customStyle="1" w:styleId="1150">
    <w:name w:val="正文01"/>
    <w:basedOn w:val="1"/>
    <w:link w:val="1149"/>
    <w:autoRedefine/>
    <w:qFormat/>
    <w:uiPriority w:val="0"/>
    <w:pPr>
      <w:spacing w:before="60" w:line="460" w:lineRule="exact"/>
      <w:ind w:firstLine="200" w:firstLineChars="200"/>
    </w:pPr>
    <w:rPr>
      <w:kern w:val="0"/>
      <w:sz w:val="24"/>
      <w:lang w:val="zh-CN"/>
    </w:rPr>
  </w:style>
  <w:style w:type="character" w:customStyle="1" w:styleId="1151">
    <w:name w:val="纯文本 Char2"/>
    <w:autoRedefine/>
    <w:qFormat/>
    <w:uiPriority w:val="0"/>
    <w:rPr>
      <w:rFonts w:ascii="宋体" w:hAnsi="Courier New" w:eastAsia="宋体" w:cs="Courier New"/>
      <w:szCs w:val="21"/>
    </w:rPr>
  </w:style>
  <w:style w:type="character" w:customStyle="1" w:styleId="1152">
    <w:name w:val="Body Text 21 Char"/>
    <w:autoRedefine/>
    <w:qFormat/>
    <w:uiPriority w:val="0"/>
    <w:rPr>
      <w:rFonts w:eastAsia="仿宋体"/>
      <w:kern w:val="2"/>
      <w:sz w:val="24"/>
      <w:szCs w:val="28"/>
      <w:lang w:val="en-US" w:eastAsia="zh-CN" w:bidi="ar-SA"/>
    </w:rPr>
  </w:style>
  <w:style w:type="character" w:customStyle="1" w:styleId="1153">
    <w:name w:val="s2ze7v"/>
    <w:basedOn w:val="90"/>
    <w:autoRedefine/>
    <w:qFormat/>
    <w:uiPriority w:val="0"/>
  </w:style>
  <w:style w:type="character" w:customStyle="1" w:styleId="1154">
    <w:name w:val="smuvt"/>
    <w:basedOn w:val="90"/>
    <w:autoRedefine/>
    <w:qFormat/>
    <w:uiPriority w:val="0"/>
  </w:style>
  <w:style w:type="character" w:customStyle="1" w:styleId="1155">
    <w:name w:val="shekj8m"/>
    <w:basedOn w:val="90"/>
    <w:autoRedefine/>
    <w:qFormat/>
    <w:uiPriority w:val="0"/>
  </w:style>
  <w:style w:type="character" w:customStyle="1" w:styleId="1156">
    <w:name w:val="标题 3 Char1"/>
    <w:autoRedefine/>
    <w:qFormat/>
    <w:uiPriority w:val="0"/>
    <w:rPr>
      <w:rFonts w:eastAsia="宋体"/>
      <w:b/>
      <w:kern w:val="2"/>
      <w:sz w:val="32"/>
      <w:lang w:val="en-US" w:eastAsia="zh-CN"/>
    </w:rPr>
  </w:style>
  <w:style w:type="character" w:customStyle="1" w:styleId="1157">
    <w:name w:val="sy7t"/>
    <w:basedOn w:val="90"/>
    <w:autoRedefine/>
    <w:qFormat/>
    <w:uiPriority w:val="0"/>
  </w:style>
  <w:style w:type="character" w:customStyle="1" w:styleId="1158">
    <w:name w:val="z21"/>
    <w:autoRedefine/>
    <w:qFormat/>
    <w:uiPriority w:val="0"/>
    <w:rPr>
      <w:color w:val="000000"/>
      <w:sz w:val="18"/>
    </w:rPr>
  </w:style>
  <w:style w:type="character" w:customStyle="1" w:styleId="1159">
    <w:name w:val="lucket"/>
    <w:basedOn w:val="90"/>
    <w:autoRedefine/>
    <w:qFormat/>
    <w:uiPriority w:val="0"/>
  </w:style>
  <w:style w:type="character" w:customStyle="1" w:styleId="1160">
    <w:name w:val="postbody1"/>
    <w:autoRedefine/>
    <w:qFormat/>
    <w:uiPriority w:val="0"/>
    <w:rPr>
      <w:sz w:val="21"/>
    </w:rPr>
  </w:style>
  <w:style w:type="character" w:customStyle="1" w:styleId="1161">
    <w:name w:val="p111"/>
    <w:autoRedefine/>
    <w:qFormat/>
    <w:uiPriority w:val="0"/>
    <w:rPr>
      <w:rFonts w:eastAsia="宋体"/>
      <w:kern w:val="2"/>
      <w:sz w:val="28"/>
      <w:szCs w:val="28"/>
      <w:lang w:val="en-US" w:eastAsia="zh-CN" w:bidi="ar-SA"/>
    </w:rPr>
  </w:style>
  <w:style w:type="character" w:customStyle="1" w:styleId="1162">
    <w:name w:val="font_cn_14"/>
    <w:autoRedefine/>
    <w:qFormat/>
    <w:uiPriority w:val="0"/>
    <w:rPr>
      <w:rFonts w:eastAsia="宋体"/>
      <w:kern w:val="2"/>
      <w:sz w:val="28"/>
      <w:szCs w:val="28"/>
      <w:lang w:val="en-US" w:eastAsia="zh-CN" w:bidi="ar-SA"/>
    </w:rPr>
  </w:style>
  <w:style w:type="character" w:customStyle="1" w:styleId="1163">
    <w:name w:val="12font1"/>
    <w:autoRedefine/>
    <w:qFormat/>
    <w:uiPriority w:val="0"/>
    <w:rPr>
      <w:rFonts w:eastAsia="宋体"/>
      <w:kern w:val="2"/>
      <w:sz w:val="18"/>
      <w:szCs w:val="18"/>
      <w:lang w:val="en-US" w:eastAsia="zh-CN" w:bidi="ar-SA"/>
    </w:rPr>
  </w:style>
  <w:style w:type="character" w:customStyle="1" w:styleId="1164">
    <w:name w:val="z-窗体顶端 Char"/>
    <w:link w:val="1165"/>
    <w:autoRedefine/>
    <w:qFormat/>
    <w:uiPriority w:val="0"/>
    <w:rPr>
      <w:rFonts w:ascii="Arial" w:hAnsi="Arial" w:eastAsia="仿宋_GB2312"/>
      <w:vanish/>
      <w:sz w:val="16"/>
    </w:rPr>
  </w:style>
  <w:style w:type="paragraph" w:customStyle="1" w:styleId="1165">
    <w:name w:val="z-窗体顶端1"/>
    <w:basedOn w:val="1"/>
    <w:next w:val="1"/>
    <w:link w:val="1164"/>
    <w:autoRedefine/>
    <w:qFormat/>
    <w:uiPriority w:val="0"/>
    <w:pPr>
      <w:pBdr>
        <w:bottom w:val="single" w:color="auto" w:sz="6" w:space="1"/>
      </w:pBdr>
      <w:adjustRightInd w:val="0"/>
      <w:snapToGrid w:val="0"/>
      <w:spacing w:line="300" w:lineRule="auto"/>
      <w:jc w:val="center"/>
    </w:pPr>
    <w:rPr>
      <w:rFonts w:ascii="Arial" w:hAnsi="Arial" w:eastAsia="仿宋_GB2312"/>
      <w:vanish/>
      <w:kern w:val="0"/>
      <w:sz w:val="16"/>
      <w:szCs w:val="20"/>
      <w:lang w:val="zh-CN"/>
    </w:rPr>
  </w:style>
  <w:style w:type="character" w:customStyle="1" w:styleId="1166">
    <w:name w:val="样式 标题 2 + 黑体 小三 段前: 0 磅 段后: 0 磅 行距: 最小值 27 磅2 Char"/>
    <w:link w:val="1167"/>
    <w:autoRedefine/>
    <w:qFormat/>
    <w:uiPriority w:val="0"/>
    <w:rPr>
      <w:rFonts w:ascii="黑体" w:hAnsi="Arial" w:eastAsia="黑体" w:cs="宋体"/>
      <w:b/>
      <w:bCs/>
      <w:spacing w:val="8"/>
      <w:sz w:val="30"/>
    </w:rPr>
  </w:style>
  <w:style w:type="paragraph" w:customStyle="1" w:styleId="1167">
    <w:name w:val="样式 标题 2 + 黑体 小三 段前: 0 磅 段后: 0 磅 行距: 最小值 27 磅2"/>
    <w:basedOn w:val="4"/>
    <w:link w:val="1166"/>
    <w:autoRedefine/>
    <w:qFormat/>
    <w:uiPriority w:val="0"/>
    <w:pPr>
      <w:adjustRightInd w:val="0"/>
      <w:snapToGrid w:val="0"/>
      <w:spacing w:before="0" w:after="0" w:line="540" w:lineRule="atLeast"/>
    </w:pPr>
    <w:rPr>
      <w:rFonts w:ascii="黑体" w:hAnsi="Arial" w:eastAsia="黑体"/>
      <w:spacing w:val="8"/>
      <w:sz w:val="30"/>
      <w:szCs w:val="20"/>
    </w:rPr>
  </w:style>
  <w:style w:type="character" w:customStyle="1" w:styleId="1168">
    <w:name w:val="attach-title1"/>
    <w:autoRedefine/>
    <w:qFormat/>
    <w:uiPriority w:val="0"/>
    <w:rPr>
      <w:rFonts w:eastAsia="宋体"/>
      <w:b/>
      <w:color w:val="008080"/>
      <w:kern w:val="2"/>
      <w:sz w:val="27"/>
      <w:szCs w:val="28"/>
      <w:lang w:val="en-US" w:eastAsia="zh-CN" w:bidi="ar-SA"/>
    </w:rPr>
  </w:style>
  <w:style w:type="character" w:customStyle="1" w:styleId="1169">
    <w:name w:val="line1"/>
    <w:basedOn w:val="90"/>
    <w:autoRedefine/>
    <w:qFormat/>
    <w:uiPriority w:val="0"/>
  </w:style>
  <w:style w:type="character" w:customStyle="1" w:styleId="1170">
    <w:name w:val="标题 2 Char Char"/>
    <w:autoRedefine/>
    <w:qFormat/>
    <w:uiPriority w:val="0"/>
    <w:rPr>
      <w:rFonts w:ascii="Arial" w:hAnsi="Arial" w:eastAsia="黑体"/>
      <w:b/>
      <w:bCs/>
      <w:kern w:val="2"/>
      <w:sz w:val="32"/>
      <w:szCs w:val="32"/>
      <w:lang w:val="en-US" w:eastAsia="zh-CN" w:bidi="ar-SA"/>
    </w:rPr>
  </w:style>
  <w:style w:type="character" w:customStyle="1" w:styleId="1171">
    <w:name w:val="ht1"/>
    <w:autoRedefine/>
    <w:qFormat/>
    <w:uiPriority w:val="0"/>
    <w:rPr>
      <w:rFonts w:ascii="黑体" w:eastAsia="黑体"/>
      <w:b/>
      <w:bCs/>
      <w:kern w:val="2"/>
      <w:sz w:val="28"/>
      <w:szCs w:val="28"/>
      <w:lang w:val="en-US" w:eastAsia="zh-CN" w:bidi="ar-SA"/>
    </w:rPr>
  </w:style>
  <w:style w:type="character" w:customStyle="1" w:styleId="1172">
    <w:name w:val="第四层条 Char2"/>
    <w:autoRedefine/>
    <w:qFormat/>
    <w:uiPriority w:val="0"/>
    <w:rPr>
      <w:rFonts w:eastAsia="宋体"/>
      <w:spacing w:val="5"/>
      <w:kern w:val="2"/>
      <w:sz w:val="28"/>
      <w:szCs w:val="24"/>
      <w:lang w:val="en-US" w:eastAsia="zh-CN" w:bidi="ar-SA"/>
    </w:rPr>
  </w:style>
  <w:style w:type="character" w:customStyle="1" w:styleId="1173">
    <w:name w:val="16p"/>
    <w:basedOn w:val="90"/>
    <w:autoRedefine/>
    <w:qFormat/>
    <w:uiPriority w:val="0"/>
  </w:style>
  <w:style w:type="character" w:customStyle="1" w:styleId="1174">
    <w:name w:val="表内文字"/>
    <w:autoRedefine/>
    <w:qFormat/>
    <w:uiPriority w:val="0"/>
    <w:rPr>
      <w:rFonts w:ascii="宋体" w:hAnsi="宋体" w:eastAsia="宋体"/>
      <w:sz w:val="21"/>
      <w:szCs w:val="21"/>
    </w:rPr>
  </w:style>
  <w:style w:type="character" w:customStyle="1" w:styleId="1175">
    <w:name w:val="标准 Char"/>
    <w:autoRedefine/>
    <w:qFormat/>
    <w:uiPriority w:val="0"/>
    <w:rPr>
      <w:rFonts w:ascii="宋体" w:eastAsia="宋体"/>
      <w:sz w:val="28"/>
      <w:lang w:val="en-US" w:eastAsia="zh-CN" w:bidi="ar-SA"/>
    </w:rPr>
  </w:style>
  <w:style w:type="character" w:customStyle="1" w:styleId="1176">
    <w:name w:val="style61"/>
    <w:autoRedefine/>
    <w:qFormat/>
    <w:uiPriority w:val="0"/>
    <w:rPr>
      <w:sz w:val="45"/>
      <w:szCs w:val="45"/>
    </w:rPr>
  </w:style>
  <w:style w:type="character" w:customStyle="1" w:styleId="1177">
    <w:name w:val="al11"/>
    <w:autoRedefine/>
    <w:qFormat/>
    <w:uiPriority w:val="0"/>
    <w:rPr>
      <w:color w:val="333333"/>
      <w:sz w:val="18"/>
      <w:szCs w:val="18"/>
    </w:rPr>
  </w:style>
  <w:style w:type="character" w:customStyle="1" w:styleId="1178">
    <w:name w:val="unnamed3"/>
    <w:basedOn w:val="90"/>
    <w:autoRedefine/>
    <w:qFormat/>
    <w:uiPriority w:val="0"/>
  </w:style>
  <w:style w:type="character" w:customStyle="1" w:styleId="1179">
    <w:name w:val="text_14px1"/>
    <w:autoRedefine/>
    <w:qFormat/>
    <w:uiPriority w:val="0"/>
    <w:rPr>
      <w:color w:val="000000"/>
      <w:sz w:val="21"/>
      <w:szCs w:val="21"/>
    </w:rPr>
  </w:style>
  <w:style w:type="character" w:customStyle="1" w:styleId="1180">
    <w:name w:val="title_16px1"/>
    <w:autoRedefine/>
    <w:qFormat/>
    <w:uiPriority w:val="0"/>
    <w:rPr>
      <w:rFonts w:hint="eastAsia" w:ascii="黑体" w:eastAsia="黑体"/>
      <w:color w:val="333333"/>
      <w:sz w:val="27"/>
      <w:szCs w:val="27"/>
    </w:rPr>
  </w:style>
  <w:style w:type="character" w:customStyle="1" w:styleId="1181">
    <w:name w:val="表内5 Char"/>
    <w:link w:val="1182"/>
    <w:autoRedefine/>
    <w:qFormat/>
    <w:uiPriority w:val="0"/>
    <w:rPr>
      <w:rFonts w:ascii="宋体" w:hAnsi="宋体"/>
      <w:szCs w:val="24"/>
    </w:rPr>
  </w:style>
  <w:style w:type="paragraph" w:customStyle="1" w:styleId="1182">
    <w:name w:val="表内51"/>
    <w:basedOn w:val="1"/>
    <w:link w:val="1181"/>
    <w:autoRedefine/>
    <w:qFormat/>
    <w:uiPriority w:val="0"/>
    <w:pPr>
      <w:adjustRightInd w:val="0"/>
      <w:snapToGrid w:val="0"/>
      <w:jc w:val="center"/>
    </w:pPr>
    <w:rPr>
      <w:rFonts w:ascii="宋体" w:hAnsi="宋体"/>
      <w:kern w:val="0"/>
      <w:sz w:val="20"/>
      <w:lang w:val="zh-CN"/>
    </w:rPr>
  </w:style>
  <w:style w:type="character" w:customStyle="1" w:styleId="1183">
    <w:name w:val="bt21"/>
    <w:autoRedefine/>
    <w:qFormat/>
    <w:uiPriority w:val="0"/>
    <w:rPr>
      <w:rFonts w:hint="eastAsia" w:ascii="黑体" w:eastAsia="黑体"/>
      <w:sz w:val="24"/>
      <w:szCs w:val="24"/>
    </w:rPr>
  </w:style>
  <w:style w:type="character" w:customStyle="1" w:styleId="1184">
    <w:name w:val="sh141"/>
    <w:autoRedefine/>
    <w:qFormat/>
    <w:uiPriority w:val="0"/>
    <w:rPr>
      <w:color w:val="2B2B2B"/>
      <w:sz w:val="18"/>
      <w:szCs w:val="18"/>
    </w:rPr>
  </w:style>
  <w:style w:type="character" w:customStyle="1" w:styleId="1185">
    <w:name w:val="表题1 Char3"/>
    <w:autoRedefine/>
    <w:qFormat/>
    <w:uiPriority w:val="0"/>
    <w:rPr>
      <w:rFonts w:ascii="黑体" w:hAnsi="Arial" w:eastAsia="黑体" w:cs="Arial"/>
      <w:b/>
      <w:kern w:val="2"/>
      <w:sz w:val="24"/>
      <w:szCs w:val="24"/>
      <w:lang w:val="en-US" w:eastAsia="zh-CN" w:bidi="ar-SA"/>
    </w:rPr>
  </w:style>
  <w:style w:type="character" w:customStyle="1" w:styleId="1186">
    <w:name w:val="s c c"/>
    <w:basedOn w:val="90"/>
    <w:autoRedefine/>
    <w:qFormat/>
    <w:uiPriority w:val="0"/>
  </w:style>
  <w:style w:type="character" w:customStyle="1" w:styleId="1187">
    <w:name w:val="bb1"/>
    <w:autoRedefine/>
    <w:qFormat/>
    <w:uiPriority w:val="0"/>
    <w:rPr>
      <w:rFonts w:hint="default" w:ascii="Times New Roman" w:hAnsi="Times New Roman" w:cs="Times New Roman"/>
      <w:color w:val="000000"/>
      <w:sz w:val="24"/>
      <w:szCs w:val="24"/>
      <w:u w:val="none"/>
    </w:rPr>
  </w:style>
  <w:style w:type="character" w:customStyle="1" w:styleId="1188">
    <w:name w:val="正文缩进 Char6"/>
    <w:autoRedefine/>
    <w:qFormat/>
    <w:uiPriority w:val="0"/>
    <w:rPr>
      <w:rFonts w:ascii="宋体" w:hAnsi="宋体" w:eastAsia="宋体"/>
      <w:kern w:val="2"/>
      <w:sz w:val="24"/>
      <w:szCs w:val="24"/>
      <w:lang w:val="en-US" w:eastAsia="zh-CN" w:bidi="ar-SA"/>
    </w:rPr>
  </w:style>
  <w:style w:type="character" w:customStyle="1" w:styleId="1189">
    <w:name w:val="标题 3 Char10"/>
    <w:autoRedefine/>
    <w:qFormat/>
    <w:uiPriority w:val="0"/>
    <w:rPr>
      <w:rFonts w:ascii="黑体" w:hAnsi="宋体" w:eastAsia="黑体"/>
      <w:b/>
      <w:bCs/>
      <w:kern w:val="2"/>
      <w:sz w:val="28"/>
      <w:szCs w:val="28"/>
      <w:lang w:val="en-US" w:eastAsia="zh-CN" w:bidi="ar-SA"/>
    </w:rPr>
  </w:style>
  <w:style w:type="character" w:customStyle="1" w:styleId="1190">
    <w:name w:val="at_10"/>
    <w:basedOn w:val="90"/>
    <w:autoRedefine/>
    <w:qFormat/>
    <w:uiPriority w:val="0"/>
  </w:style>
  <w:style w:type="character" w:customStyle="1" w:styleId="1191">
    <w:name w:val="表中文字 Char23"/>
    <w:autoRedefine/>
    <w:qFormat/>
    <w:uiPriority w:val="0"/>
    <w:rPr>
      <w:rFonts w:ascii="宋体" w:eastAsia="宋体"/>
      <w:kern w:val="2"/>
      <w:sz w:val="21"/>
      <w:szCs w:val="21"/>
      <w:lang w:val="en-US" w:eastAsia="zh-CN" w:bidi="ar-SA"/>
    </w:rPr>
  </w:style>
  <w:style w:type="character" w:customStyle="1" w:styleId="1192">
    <w:name w:val="style3"/>
    <w:basedOn w:val="90"/>
    <w:autoRedefine/>
    <w:qFormat/>
    <w:uiPriority w:val="0"/>
  </w:style>
  <w:style w:type="character" w:customStyle="1" w:styleId="1193">
    <w:name w:val="style151"/>
    <w:autoRedefine/>
    <w:qFormat/>
    <w:uiPriority w:val="0"/>
    <w:rPr>
      <w:color w:val="000000"/>
    </w:rPr>
  </w:style>
  <w:style w:type="character" w:customStyle="1" w:styleId="1194">
    <w:name w:val="标题 2 Char4"/>
    <w:autoRedefine/>
    <w:qFormat/>
    <w:uiPriority w:val="0"/>
    <w:rPr>
      <w:rFonts w:ascii="黑体" w:hAnsi="Arial" w:eastAsia="黑体" w:cs="Times New Roman"/>
      <w:bCs/>
      <w:kern w:val="2"/>
      <w:sz w:val="30"/>
      <w:szCs w:val="30"/>
      <w:lang w:val="en-US" w:eastAsia="zh-CN" w:bidi="ar-SA"/>
    </w:rPr>
  </w:style>
  <w:style w:type="character" w:customStyle="1" w:styleId="1195">
    <w:name w:val="无效格式 Char"/>
    <w:autoRedefine/>
    <w:qFormat/>
    <w:uiPriority w:val="0"/>
    <w:rPr>
      <w:rFonts w:ascii="黑体" w:hAnsi="Arial" w:eastAsia="黑体"/>
      <w:b/>
      <w:bCs/>
      <w:kern w:val="2"/>
      <w:sz w:val="24"/>
      <w:szCs w:val="24"/>
      <w:lang w:val="en-US" w:eastAsia="zh-CN" w:bidi="ar-SA"/>
    </w:rPr>
  </w:style>
  <w:style w:type="character" w:customStyle="1" w:styleId="1196">
    <w:name w:val="福建正文缩进 Char1"/>
    <w:autoRedefine/>
    <w:qFormat/>
    <w:uiPriority w:val="0"/>
    <w:rPr>
      <w:rFonts w:ascii="宋体" w:eastAsia="宋体"/>
      <w:kern w:val="2"/>
      <w:sz w:val="24"/>
      <w:szCs w:val="24"/>
      <w:lang w:val="en-US" w:eastAsia="zh-CN" w:bidi="ar-SA"/>
    </w:rPr>
  </w:style>
  <w:style w:type="character" w:customStyle="1" w:styleId="1197">
    <w:name w:val="chang正文 Char"/>
    <w:link w:val="1198"/>
    <w:autoRedefine/>
    <w:qFormat/>
    <w:uiPriority w:val="0"/>
    <w:rPr>
      <w:rFonts w:cs="宋体"/>
      <w:sz w:val="24"/>
      <w:szCs w:val="24"/>
    </w:rPr>
  </w:style>
  <w:style w:type="paragraph" w:customStyle="1" w:styleId="1198">
    <w:name w:val="chang正文"/>
    <w:basedOn w:val="1"/>
    <w:link w:val="1197"/>
    <w:autoRedefine/>
    <w:qFormat/>
    <w:uiPriority w:val="0"/>
    <w:pPr>
      <w:spacing w:line="360" w:lineRule="auto"/>
      <w:ind w:firstLine="200" w:firstLineChars="200"/>
    </w:pPr>
    <w:rPr>
      <w:kern w:val="0"/>
      <w:sz w:val="24"/>
      <w:lang w:val="zh-CN"/>
    </w:rPr>
  </w:style>
  <w:style w:type="character" w:customStyle="1" w:styleId="1199">
    <w:name w:val="hhcwt标题4 Char Char"/>
    <w:link w:val="1200"/>
    <w:autoRedefine/>
    <w:qFormat/>
    <w:uiPriority w:val="0"/>
    <w:rPr>
      <w:rFonts w:ascii="Calibri" w:hAnsi="Calibri" w:eastAsia="楷体_GB2312"/>
      <w:sz w:val="28"/>
    </w:rPr>
  </w:style>
  <w:style w:type="paragraph" w:customStyle="1" w:styleId="1200">
    <w:name w:val="hhcwt标题4"/>
    <w:basedOn w:val="3"/>
    <w:link w:val="1199"/>
    <w:autoRedefine/>
    <w:qFormat/>
    <w:uiPriority w:val="0"/>
    <w:pPr>
      <w:tabs>
        <w:tab w:val="left" w:pos="360"/>
      </w:tabs>
      <w:overflowPunct/>
      <w:snapToGrid/>
      <w:spacing w:before="0" w:after="0" w:line="240" w:lineRule="auto"/>
      <w:ind w:left="0" w:firstLine="0"/>
      <w:jc w:val="center"/>
    </w:pPr>
    <w:rPr>
      <w:rFonts w:ascii="Calibri" w:hAnsi="Calibri" w:eastAsia="楷体_GB2312"/>
      <w:b w:val="0"/>
      <w:bCs w:val="0"/>
      <w:color w:val="auto"/>
      <w:kern w:val="0"/>
      <w:sz w:val="28"/>
      <w:szCs w:val="20"/>
    </w:rPr>
  </w:style>
  <w:style w:type="character" w:customStyle="1" w:styleId="1201">
    <w:name w:val="和桥报告正文 Char"/>
    <w:link w:val="1202"/>
    <w:autoRedefine/>
    <w:qFormat/>
    <w:uiPriority w:val="0"/>
    <w:rPr>
      <w:rFonts w:cs="宋体"/>
      <w:snapToGrid w:val="0"/>
      <w:kern w:val="24"/>
      <w:sz w:val="24"/>
      <w:szCs w:val="21"/>
    </w:rPr>
  </w:style>
  <w:style w:type="paragraph" w:customStyle="1" w:styleId="1202">
    <w:name w:val="和桥报告正文"/>
    <w:basedOn w:val="1"/>
    <w:link w:val="1201"/>
    <w:autoRedefine/>
    <w:qFormat/>
    <w:uiPriority w:val="0"/>
    <w:pPr>
      <w:adjustRightInd w:val="0"/>
      <w:snapToGrid w:val="0"/>
      <w:spacing w:line="360" w:lineRule="auto"/>
      <w:ind w:firstLine="482"/>
      <w:textAlignment w:val="baseline"/>
    </w:pPr>
    <w:rPr>
      <w:snapToGrid w:val="0"/>
      <w:kern w:val="24"/>
      <w:sz w:val="24"/>
      <w:szCs w:val="21"/>
      <w:lang w:val="zh-CN"/>
    </w:rPr>
  </w:style>
  <w:style w:type="character" w:customStyle="1" w:styleId="1203">
    <w:name w:val="图题注 Char1"/>
    <w:autoRedefine/>
    <w:qFormat/>
    <w:uiPriority w:val="0"/>
    <w:rPr>
      <w:rFonts w:ascii="黑体" w:hAnsi="Arial" w:eastAsia="黑体" w:cs="宋体"/>
      <w:b/>
      <w:bCs/>
      <w:kern w:val="2"/>
      <w:sz w:val="24"/>
      <w:szCs w:val="24"/>
      <w:lang w:val="en-US" w:eastAsia="zh-CN" w:bidi="ar-SA"/>
    </w:rPr>
  </w:style>
  <w:style w:type="character" w:customStyle="1" w:styleId="1204">
    <w:name w:val="正文文本 Char2"/>
    <w:autoRedefine/>
    <w:qFormat/>
    <w:uiPriority w:val="0"/>
    <w:rPr>
      <w:rFonts w:eastAsia="宋体"/>
      <w:kern w:val="2"/>
      <w:sz w:val="21"/>
      <w:szCs w:val="24"/>
      <w:lang w:val="en-US" w:eastAsia="zh-CN" w:bidi="ar-SA"/>
    </w:rPr>
  </w:style>
  <w:style w:type="character" w:customStyle="1" w:styleId="1205">
    <w:name w:val="批注引用 Char"/>
    <w:autoRedefine/>
    <w:qFormat/>
    <w:uiPriority w:val="0"/>
    <w:rPr>
      <w:rFonts w:hint="eastAsia"/>
      <w:color w:val="000000"/>
      <w:sz w:val="21"/>
      <w:u w:color="000000"/>
      <w:lang w:val="en-US" w:eastAsia="zh-CN"/>
    </w:rPr>
  </w:style>
  <w:style w:type="character" w:customStyle="1" w:styleId="1206">
    <w:name w:val=". [(iii)] Char"/>
    <w:autoRedefine/>
    <w:qFormat/>
    <w:uiPriority w:val="0"/>
    <w:rPr>
      <w:rFonts w:ascii="Arial" w:hAnsi="Arial" w:eastAsia="黑体"/>
      <w:kern w:val="2"/>
      <w:sz w:val="21"/>
      <w:szCs w:val="21"/>
      <w:lang w:val="en-US" w:eastAsia="zh-CN" w:bidi="ar-SA"/>
    </w:rPr>
  </w:style>
  <w:style w:type="character" w:customStyle="1" w:styleId="1207">
    <w:name w:val="样式 样式 样式 宋体 小四 行距: 多倍行距 1.4 字行2 + 黑色 + Times New Roman1 Char"/>
    <w:link w:val="1208"/>
    <w:autoRedefine/>
    <w:qFormat/>
    <w:uiPriority w:val="0"/>
    <w:rPr>
      <w:rFonts w:cs="宋体"/>
      <w:color w:val="000000"/>
      <w:sz w:val="24"/>
      <w:szCs w:val="24"/>
    </w:rPr>
  </w:style>
  <w:style w:type="paragraph" w:customStyle="1" w:styleId="1208">
    <w:name w:val="样式 样式 样式 宋体 小四 行距: 多倍行距 1.4 字行2 + 黑色 + Times New Roman1"/>
    <w:basedOn w:val="1"/>
    <w:link w:val="1207"/>
    <w:autoRedefine/>
    <w:qFormat/>
    <w:uiPriority w:val="0"/>
    <w:pPr>
      <w:spacing w:line="360" w:lineRule="auto"/>
      <w:ind w:firstLine="200" w:firstLineChars="200"/>
    </w:pPr>
    <w:rPr>
      <w:color w:val="000000"/>
      <w:kern w:val="0"/>
      <w:sz w:val="24"/>
      <w:lang w:val="zh-CN"/>
    </w:rPr>
  </w:style>
  <w:style w:type="character" w:customStyle="1" w:styleId="1209">
    <w:name w:val="样式 表格内字体 + Char1"/>
    <w:autoRedefine/>
    <w:qFormat/>
    <w:uiPriority w:val="0"/>
    <w:rPr>
      <w:rFonts w:ascii="宋体" w:hAnsi="宋体"/>
      <w:szCs w:val="24"/>
    </w:rPr>
  </w:style>
  <w:style w:type="character" w:customStyle="1" w:styleId="1210">
    <w:name w:val="样式 样式 样式 宋体 小四 行距: 多倍行距 1.4 字行2 + 黑色 + Times New Roman2 Char"/>
    <w:link w:val="1211"/>
    <w:autoRedefine/>
    <w:qFormat/>
    <w:uiPriority w:val="0"/>
    <w:rPr>
      <w:rFonts w:cs="宋体"/>
      <w:b/>
      <w:color w:val="000000"/>
      <w:spacing w:val="10"/>
    </w:rPr>
  </w:style>
  <w:style w:type="paragraph" w:customStyle="1" w:styleId="1211">
    <w:name w:val="样式 样式 样式 宋体 小四 行距: 多倍行距 1.4 字行2 + 黑色 + Times New Roman2"/>
    <w:basedOn w:val="700"/>
    <w:link w:val="1210"/>
    <w:autoRedefine/>
    <w:qFormat/>
    <w:uiPriority w:val="0"/>
    <w:pPr>
      <w:spacing w:line="360" w:lineRule="auto"/>
      <w:ind w:firstLine="200"/>
    </w:pPr>
  </w:style>
  <w:style w:type="character" w:customStyle="1" w:styleId="1212">
    <w:name w:val="文档结构图 Char3"/>
    <w:autoRedefine/>
    <w:qFormat/>
    <w:uiPriority w:val="0"/>
    <w:rPr>
      <w:rFonts w:eastAsia="宋体"/>
      <w:kern w:val="2"/>
      <w:sz w:val="21"/>
      <w:szCs w:val="24"/>
      <w:shd w:val="clear" w:color="auto" w:fill="000080"/>
      <w:lang w:val="en-US" w:eastAsia="zh-CN" w:bidi="ar-SA"/>
    </w:rPr>
  </w:style>
  <w:style w:type="character" w:customStyle="1" w:styleId="1213">
    <w:name w:val="表题1 Char41"/>
    <w:autoRedefine/>
    <w:qFormat/>
    <w:uiPriority w:val="0"/>
    <w:rPr>
      <w:rFonts w:ascii="黑体" w:hAnsi="Arial" w:eastAsia="黑体" w:cs="Arial"/>
      <w:b/>
      <w:kern w:val="2"/>
      <w:sz w:val="24"/>
      <w:szCs w:val="24"/>
      <w:lang w:val="en-US" w:eastAsia="zh-CN" w:bidi="ar-SA"/>
    </w:rPr>
  </w:style>
  <w:style w:type="character" w:customStyle="1" w:styleId="1214">
    <w:name w:val="图题 Char2"/>
    <w:autoRedefine/>
    <w:qFormat/>
    <w:uiPriority w:val="0"/>
    <w:rPr>
      <w:rFonts w:ascii="黑体" w:hAnsi="宋体" w:eastAsia="黑体" w:cs="宋体"/>
      <w:b/>
      <w:bCs/>
      <w:kern w:val="2"/>
      <w:sz w:val="24"/>
      <w:szCs w:val="24"/>
      <w:lang w:val="en-US" w:eastAsia="zh-CN" w:bidi="ar-SA"/>
    </w:rPr>
  </w:style>
  <w:style w:type="character" w:customStyle="1" w:styleId="1215">
    <w:name w:val="unnamed91"/>
    <w:autoRedefine/>
    <w:qFormat/>
    <w:uiPriority w:val="0"/>
    <w:rPr>
      <w:rFonts w:hint="eastAsia" w:ascii="宋体" w:hAnsi="宋体" w:eastAsia="宋体"/>
      <w:color w:val="000000"/>
      <w:spacing w:val="10"/>
      <w:kern w:val="44"/>
      <w:sz w:val="18"/>
      <w:szCs w:val="18"/>
      <w:u w:val="none"/>
      <w:lang w:val="en-US" w:eastAsia="zh-CN"/>
    </w:rPr>
  </w:style>
  <w:style w:type="character" w:customStyle="1" w:styleId="1216">
    <w:name w:val="标题 2 Char6"/>
    <w:autoRedefine/>
    <w:qFormat/>
    <w:uiPriority w:val="0"/>
    <w:rPr>
      <w:rFonts w:ascii="黑体" w:hAnsi="Arial" w:eastAsia="黑体"/>
      <w:b/>
      <w:bCs/>
      <w:kern w:val="2"/>
      <w:sz w:val="30"/>
      <w:szCs w:val="30"/>
      <w:lang w:val="en-US" w:eastAsia="zh-CN" w:bidi="ar-SA"/>
    </w:rPr>
  </w:style>
  <w:style w:type="character" w:customStyle="1" w:styleId="1217">
    <w:name w:val="表题1 Char71"/>
    <w:autoRedefine/>
    <w:qFormat/>
    <w:uiPriority w:val="0"/>
    <w:rPr>
      <w:rFonts w:ascii="黑体" w:hAnsi="Arial" w:eastAsia="黑体" w:cs="Arial"/>
      <w:b/>
      <w:kern w:val="2"/>
      <w:sz w:val="24"/>
      <w:szCs w:val="24"/>
      <w:lang w:val="en-US" w:eastAsia="zh-CN" w:bidi="ar-SA"/>
    </w:rPr>
  </w:style>
  <w:style w:type="character" w:customStyle="1" w:styleId="1218">
    <w:name w:val="表中文字 Char26"/>
    <w:autoRedefine/>
    <w:qFormat/>
    <w:uiPriority w:val="0"/>
    <w:rPr>
      <w:rFonts w:ascii="宋体" w:eastAsia="宋体"/>
      <w:kern w:val="2"/>
      <w:sz w:val="21"/>
      <w:szCs w:val="21"/>
      <w:lang w:val="en-US" w:eastAsia="zh-CN" w:bidi="ar-SA"/>
    </w:rPr>
  </w:style>
  <w:style w:type="character" w:customStyle="1" w:styleId="1219">
    <w:name w:val="表内5 Char3"/>
    <w:autoRedefine/>
    <w:qFormat/>
    <w:uiPriority w:val="0"/>
    <w:rPr>
      <w:rFonts w:ascii="宋体" w:hAnsi="宋体" w:eastAsia="宋体" w:cs="Times New Roman"/>
      <w:kern w:val="2"/>
      <w:sz w:val="24"/>
      <w:szCs w:val="24"/>
      <w:lang w:val="en-US" w:eastAsia="zh-CN" w:bidi="ar-SA"/>
    </w:rPr>
  </w:style>
  <w:style w:type="character" w:customStyle="1" w:styleId="1220">
    <w:name w:val="Char Char64"/>
    <w:autoRedefine/>
    <w:qFormat/>
    <w:uiPriority w:val="0"/>
    <w:rPr>
      <w:rFonts w:ascii="黑体" w:eastAsia="黑体"/>
      <w:b/>
      <w:bCs/>
      <w:kern w:val="2"/>
      <w:sz w:val="28"/>
      <w:szCs w:val="28"/>
      <w:lang w:val="en-US" w:eastAsia="zh-CN" w:bidi="ar-SA"/>
    </w:rPr>
  </w:style>
  <w:style w:type="character" w:customStyle="1" w:styleId="1221">
    <w:name w:val="样式 表内小5 + 黑体 加粗 倾斜 下划线 Char2"/>
    <w:autoRedefine/>
    <w:qFormat/>
    <w:uiPriority w:val="0"/>
    <w:rPr>
      <w:rFonts w:ascii="黑体" w:hAnsi="黑体" w:eastAsia="黑体"/>
      <w:b/>
      <w:bCs/>
      <w:i/>
      <w:iCs/>
      <w:kern w:val="2"/>
      <w:sz w:val="18"/>
      <w:szCs w:val="24"/>
      <w:u w:val="single"/>
      <w:lang w:val="en-US" w:eastAsia="zh-CN" w:bidi="ar-SA"/>
    </w:rPr>
  </w:style>
  <w:style w:type="character" w:customStyle="1" w:styleId="1222">
    <w:name w:val="正文文本缩进 2 Char1"/>
    <w:autoRedefine/>
    <w:qFormat/>
    <w:uiPriority w:val="0"/>
    <w:rPr>
      <w:rFonts w:ascii="Calibri" w:hAnsi="Calibri" w:eastAsia="宋体" w:cs="Times New Roman"/>
    </w:rPr>
  </w:style>
  <w:style w:type="character" w:customStyle="1" w:styleId="1223">
    <w:name w:val="style391"/>
    <w:autoRedefine/>
    <w:qFormat/>
    <w:uiPriority w:val="0"/>
    <w:rPr>
      <w:b/>
      <w:bCs/>
      <w:color w:val="CC0000"/>
    </w:rPr>
  </w:style>
  <w:style w:type="character" w:customStyle="1" w:styleId="1224">
    <w:name w:val="part"/>
    <w:basedOn w:val="90"/>
    <w:autoRedefine/>
    <w:qFormat/>
    <w:uiPriority w:val="0"/>
  </w:style>
  <w:style w:type="character" w:customStyle="1" w:styleId="1225">
    <w:name w:val="正文缩进 Char14"/>
    <w:autoRedefine/>
    <w:qFormat/>
    <w:uiPriority w:val="0"/>
    <w:rPr>
      <w:rFonts w:ascii="宋体" w:hAnsi="宋体" w:eastAsia="宋体" w:cs="宋体"/>
      <w:color w:val="000000"/>
      <w:kern w:val="2"/>
      <w:sz w:val="24"/>
      <w:szCs w:val="24"/>
      <w:lang w:val="en-US" w:eastAsia="zh-CN" w:bidi="ar-SA"/>
    </w:rPr>
  </w:style>
  <w:style w:type="character" w:customStyle="1" w:styleId="1226">
    <w:name w:val="Char Char213"/>
    <w:autoRedefine/>
    <w:qFormat/>
    <w:uiPriority w:val="0"/>
    <w:rPr>
      <w:rFonts w:ascii="黑体" w:eastAsia="宋体"/>
      <w:kern w:val="2"/>
      <w:sz w:val="16"/>
      <w:szCs w:val="16"/>
      <w:lang w:val="en-US" w:eastAsia="zh-CN" w:bidi="ar-SA"/>
    </w:rPr>
  </w:style>
  <w:style w:type="character" w:customStyle="1" w:styleId="1227">
    <w:name w:val="文本 Char Char"/>
    <w:autoRedefine/>
    <w:qFormat/>
    <w:uiPriority w:val="0"/>
    <w:rPr>
      <w:rFonts w:eastAsia="宋体" w:cs="宋体"/>
      <w:sz w:val="24"/>
    </w:rPr>
  </w:style>
  <w:style w:type="character" w:customStyle="1" w:styleId="1228">
    <w:name w:val="河石管道4 Char4"/>
    <w:autoRedefine/>
    <w:qFormat/>
    <w:uiPriority w:val="0"/>
    <w:rPr>
      <w:rFonts w:ascii="黑体" w:hAnsi="Arial" w:eastAsia="黑体"/>
      <w:bCs/>
      <w:kern w:val="2"/>
      <w:sz w:val="24"/>
      <w:szCs w:val="24"/>
      <w:lang w:val="en-US" w:eastAsia="zh-CN" w:bidi="ar-SA"/>
    </w:rPr>
  </w:style>
  <w:style w:type="character" w:customStyle="1" w:styleId="1229">
    <w:name w:val="表题1 Char44"/>
    <w:autoRedefine/>
    <w:qFormat/>
    <w:uiPriority w:val="0"/>
    <w:rPr>
      <w:rFonts w:ascii="黑体" w:hAnsi="Arial" w:eastAsia="黑体" w:cs="Arial"/>
      <w:b/>
      <w:kern w:val="2"/>
      <w:sz w:val="24"/>
      <w:szCs w:val="24"/>
      <w:lang w:val="en-US" w:eastAsia="zh-CN" w:bidi="ar-SA"/>
    </w:rPr>
  </w:style>
  <w:style w:type="paragraph" w:customStyle="1" w:styleId="1230">
    <w:name w:val="页眉左"/>
    <w:basedOn w:val="57"/>
    <w:autoRedefine/>
    <w:qFormat/>
    <w:uiPriority w:val="99"/>
    <w:rPr>
      <w:rFonts w:ascii="Calibri" w:hAnsi="Calibri"/>
      <w:szCs w:val="18"/>
      <w:lang w:val="en-US"/>
    </w:rPr>
  </w:style>
  <w:style w:type="paragraph" w:customStyle="1" w:styleId="1231">
    <w:name w:val="正文格式7"/>
    <w:basedOn w:val="1"/>
    <w:autoRedefine/>
    <w:qFormat/>
    <w:uiPriority w:val="0"/>
    <w:pPr>
      <w:spacing w:line="360" w:lineRule="auto"/>
      <w:ind w:firstLine="482"/>
    </w:pPr>
    <w:rPr>
      <w:rFonts w:ascii="宋体" w:hAnsi="宋体"/>
      <w:sz w:val="24"/>
    </w:rPr>
  </w:style>
  <w:style w:type="paragraph" w:customStyle="1" w:styleId="1232">
    <w:name w:val="表里"/>
    <w:basedOn w:val="1"/>
    <w:autoRedefine/>
    <w:qFormat/>
    <w:uiPriority w:val="39"/>
    <w:pPr>
      <w:jc w:val="center"/>
      <w:outlineLvl w:val="8"/>
    </w:pPr>
    <w:rPr>
      <w:sz w:val="24"/>
    </w:rPr>
  </w:style>
  <w:style w:type="paragraph" w:customStyle="1" w:styleId="1233">
    <w:name w:val="xl158"/>
    <w:basedOn w:val="1"/>
    <w:autoRedefine/>
    <w:qFormat/>
    <w:uiPriority w:val="99"/>
    <w:pPr>
      <w:widowControl/>
      <w:pBdr>
        <w:bottom w:val="single" w:color="auto" w:sz="8" w:space="0"/>
        <w:righ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1234">
    <w:name w:val="图题13"/>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1235">
    <w:name w:val="xl90"/>
    <w:basedOn w:val="1"/>
    <w:autoRedefine/>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236">
    <w:name w:val="标题 3  标题1.1.1"/>
    <w:basedOn w:val="1"/>
    <w:autoRedefine/>
    <w:qFormat/>
    <w:uiPriority w:val="0"/>
    <w:pPr>
      <w:keepNext/>
      <w:keepLines/>
      <w:adjustRightInd w:val="0"/>
      <w:snapToGrid w:val="0"/>
      <w:spacing w:beforeLines="50" w:afterLines="50"/>
      <w:ind w:right="-176" w:rightChars="-84"/>
      <w:textAlignment w:val="baseline"/>
      <w:outlineLvl w:val="2"/>
    </w:pPr>
    <w:rPr>
      <w:rFonts w:ascii="黑体" w:hAnsi="宋体" w:eastAsia="黑体" w:cs="宋体"/>
      <w:color w:val="000000"/>
      <w:kern w:val="0"/>
      <w:sz w:val="24"/>
    </w:rPr>
  </w:style>
  <w:style w:type="paragraph" w:customStyle="1" w:styleId="1237">
    <w:name w:val="默认段落字体 Para Char52"/>
    <w:basedOn w:val="1"/>
    <w:next w:val="1"/>
    <w:autoRedefine/>
    <w:qFormat/>
    <w:uiPriority w:val="0"/>
    <w:pPr>
      <w:spacing w:line="480" w:lineRule="exact"/>
      <w:ind w:firstLine="200" w:firstLineChars="200"/>
      <w:jc w:val="left"/>
    </w:pPr>
    <w:rPr>
      <w:rFonts w:ascii="宋体" w:hAnsi="宋体" w:eastAsia="汉鼎简书宋" w:cs="宋体"/>
      <w:sz w:val="28"/>
    </w:rPr>
  </w:style>
  <w:style w:type="character" w:customStyle="1" w:styleId="1238">
    <w:name w:val="副标题 Char1"/>
    <w:autoRedefine/>
    <w:qFormat/>
    <w:uiPriority w:val="11"/>
    <w:rPr>
      <w:rFonts w:ascii="等线 Light" w:hAnsi="等线 Light" w:cs="Times New Roman"/>
      <w:b/>
      <w:bCs/>
      <w:kern w:val="28"/>
      <w:sz w:val="32"/>
      <w:szCs w:val="32"/>
    </w:rPr>
  </w:style>
  <w:style w:type="paragraph" w:customStyle="1" w:styleId="1239">
    <w:name w:val="表内文字小31"/>
    <w:basedOn w:val="1"/>
    <w:autoRedefine/>
    <w:qFormat/>
    <w:uiPriority w:val="0"/>
    <w:pPr>
      <w:adjustRightInd w:val="0"/>
      <w:snapToGrid w:val="0"/>
      <w:jc w:val="center"/>
    </w:pPr>
    <w:rPr>
      <w:rFonts w:ascii="宋体" w:hAnsi="Times" w:cs="宋体"/>
      <w:bCs/>
      <w:color w:val="003366"/>
      <w:szCs w:val="20"/>
    </w:rPr>
  </w:style>
  <w:style w:type="paragraph" w:customStyle="1" w:styleId="1240">
    <w:name w:val="表中字"/>
    <w:autoRedefine/>
    <w:qFormat/>
    <w:uiPriority w:val="0"/>
    <w:pPr>
      <w:widowControl w:val="0"/>
      <w:adjustRightInd w:val="0"/>
      <w:snapToGrid w:val="0"/>
      <w:jc w:val="center"/>
    </w:pPr>
    <w:rPr>
      <w:rFonts w:ascii="Times New Roman" w:hAnsi="Times New Roman" w:eastAsia="宋体" w:cs="Times New Roman"/>
      <w:w w:val="90"/>
      <w:sz w:val="21"/>
      <w:lang w:val="en-US" w:eastAsia="zh-CN" w:bidi="ar-SA"/>
    </w:rPr>
  </w:style>
  <w:style w:type="paragraph" w:customStyle="1" w:styleId="1241">
    <w:name w:val="xl155"/>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1242">
    <w:name w:val="表内字"/>
    <w:autoRedefine/>
    <w:qFormat/>
    <w:uiPriority w:val="99"/>
    <w:pPr>
      <w:spacing w:line="312" w:lineRule="auto"/>
      <w:jc w:val="center"/>
    </w:pPr>
    <w:rPr>
      <w:rFonts w:ascii="Times New Roman" w:hAnsi="Times New Roman" w:eastAsia="宋体" w:cs="Times New Roman"/>
      <w:color w:val="000000"/>
      <w:sz w:val="21"/>
      <w:lang w:val="en-US" w:eastAsia="zh-CN" w:bidi="ar-SA"/>
    </w:rPr>
  </w:style>
  <w:style w:type="paragraph" w:customStyle="1" w:styleId="1243">
    <w:name w:val="xl163"/>
    <w:basedOn w:val="1"/>
    <w:autoRedefine/>
    <w:qFormat/>
    <w:uiPriority w:val="99"/>
    <w:pPr>
      <w:widowControl/>
      <w:pBdr>
        <w:left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1244">
    <w:name w:val="正文文本缩进1"/>
    <w:basedOn w:val="1"/>
    <w:autoRedefine/>
    <w:qFormat/>
    <w:uiPriority w:val="99"/>
    <w:pPr>
      <w:spacing w:after="120" w:line="360" w:lineRule="auto"/>
      <w:ind w:left="420" w:leftChars="200" w:firstLine="200" w:firstLineChars="200"/>
    </w:pPr>
    <w:rPr>
      <w:sz w:val="24"/>
    </w:rPr>
  </w:style>
  <w:style w:type="paragraph" w:customStyle="1" w:styleId="1245">
    <w:name w:val="燕山正文1312"/>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1246">
    <w:name w:val="xl105"/>
    <w:basedOn w:val="1"/>
    <w:autoRedefine/>
    <w:qFormat/>
    <w:uiPriority w:val="0"/>
    <w:pPr>
      <w:widowControl/>
      <w:spacing w:before="100" w:beforeAutospacing="1" w:after="100" w:afterAutospacing="1"/>
      <w:jc w:val="center"/>
      <w:textAlignment w:val="center"/>
    </w:pPr>
    <w:rPr>
      <w:rFonts w:ascii="Arial Unicode MS" w:hAnsi="Arial Unicode MS"/>
      <w:kern w:val="0"/>
    </w:rPr>
  </w:style>
  <w:style w:type="paragraph" w:customStyle="1" w:styleId="1247">
    <w:name w:val="黑体三号34"/>
    <w:basedOn w:val="416"/>
    <w:autoRedefine/>
    <w:qFormat/>
    <w:uiPriority w:val="0"/>
    <w:pPr>
      <w:jc w:val="center"/>
    </w:pPr>
    <w:rPr>
      <w:rFonts w:ascii="黑体" w:hAnsi="宋体" w:eastAsia="黑体" w:cs="宋体"/>
      <w:bCs/>
      <w:spacing w:val="0"/>
      <w:sz w:val="32"/>
    </w:rPr>
  </w:style>
  <w:style w:type="paragraph" w:customStyle="1" w:styleId="1248">
    <w:name w:val="列出段落2"/>
    <w:basedOn w:val="1"/>
    <w:autoRedefine/>
    <w:qFormat/>
    <w:uiPriority w:val="99"/>
    <w:pPr>
      <w:ind w:firstLine="420" w:firstLineChars="200"/>
    </w:pPr>
    <w:rPr>
      <w:szCs w:val="22"/>
    </w:rPr>
  </w:style>
  <w:style w:type="paragraph" w:customStyle="1" w:styleId="1249">
    <w:name w:val="样式 样式 标题 4 + 黑色 左侧:  -0.01 厘米 首行缩进:  0.01 厘米 + 左侧:  0 厘米 首行缩进: ..."/>
    <w:basedOn w:val="1"/>
    <w:autoRedefine/>
    <w:qFormat/>
    <w:uiPriority w:val="99"/>
    <w:pPr>
      <w:keepNext/>
      <w:keepLines/>
      <w:tabs>
        <w:tab w:val="left" w:pos="851"/>
      </w:tabs>
      <w:spacing w:before="156" w:line="324" w:lineRule="auto"/>
      <w:ind w:left="851" w:hanging="851"/>
    </w:pPr>
    <w:rPr>
      <w:rFonts w:ascii="仿宋_GB2312" w:hAnsi="Arial" w:eastAsia="仿宋_GB2312"/>
      <w:color w:val="000000"/>
      <w:sz w:val="28"/>
      <w:szCs w:val="20"/>
    </w:rPr>
  </w:style>
  <w:style w:type="paragraph" w:customStyle="1" w:styleId="1250">
    <w:name w:val="表内宋5中24"/>
    <w:basedOn w:val="1"/>
    <w:autoRedefine/>
    <w:qFormat/>
    <w:uiPriority w:val="0"/>
    <w:pPr>
      <w:adjustRightInd w:val="0"/>
      <w:snapToGrid w:val="0"/>
      <w:jc w:val="center"/>
      <w:textAlignment w:val="baseline"/>
    </w:pPr>
    <w:rPr>
      <w:rFonts w:ascii="宋体" w:hAnsi="宋体"/>
      <w:kern w:val="0"/>
      <w:szCs w:val="20"/>
    </w:rPr>
  </w:style>
  <w:style w:type="paragraph" w:customStyle="1" w:styleId="1251">
    <w:name w:val="样式 标题 1 + 段前: 1.5 行 段后: 1.5 行"/>
    <w:basedOn w:val="3"/>
    <w:autoRedefine/>
    <w:qFormat/>
    <w:uiPriority w:val="0"/>
    <w:pPr>
      <w:keepLines/>
      <w:tabs>
        <w:tab w:val="left" w:pos="432"/>
      </w:tabs>
      <w:overflowPunct/>
      <w:adjustRightInd w:val="0"/>
      <w:spacing w:before="100" w:after="100" w:line="300" w:lineRule="auto"/>
      <w:ind w:left="431" w:hanging="431"/>
    </w:pPr>
    <w:rPr>
      <w:rFonts w:ascii="仿宋_GB2312" w:eastAsia="仿宋_GB2312"/>
      <w:bCs w:val="0"/>
      <w:color w:val="auto"/>
      <w:sz w:val="32"/>
      <w:szCs w:val="20"/>
    </w:rPr>
  </w:style>
  <w:style w:type="paragraph" w:customStyle="1" w:styleId="1252">
    <w:name w:val="xl57"/>
    <w:basedOn w:val="1"/>
    <w:autoRedefine/>
    <w:qFormat/>
    <w:uiPriority w:val="0"/>
    <w:pPr>
      <w:widowControl/>
      <w:spacing w:before="100" w:beforeAutospacing="1" w:after="100" w:afterAutospacing="1"/>
      <w:jc w:val="left"/>
    </w:pPr>
    <w:rPr>
      <w:rFonts w:ascii="Arial Unicode MS" w:hAnsi="Arial Unicode MS"/>
      <w:kern w:val="0"/>
      <w:sz w:val="12"/>
      <w:szCs w:val="12"/>
    </w:rPr>
  </w:style>
  <w:style w:type="paragraph" w:customStyle="1" w:styleId="1253">
    <w:name w:val="表字1"/>
    <w:basedOn w:val="1"/>
    <w:autoRedefine/>
    <w:qFormat/>
    <w:uiPriority w:val="99"/>
    <w:pPr>
      <w:adjustRightInd w:val="0"/>
      <w:spacing w:line="360" w:lineRule="auto"/>
      <w:jc w:val="center"/>
      <w:textAlignment w:val="baseline"/>
    </w:pPr>
    <w:rPr>
      <w:rFonts w:ascii="宋体"/>
      <w:kern w:val="0"/>
      <w:szCs w:val="20"/>
    </w:rPr>
  </w:style>
  <w:style w:type="paragraph" w:customStyle="1" w:styleId="1254">
    <w:name w:val="Char Char Char1 Char1"/>
    <w:basedOn w:val="1"/>
    <w:autoRedefine/>
    <w:qFormat/>
    <w:uiPriority w:val="0"/>
    <w:rPr>
      <w:szCs w:val="20"/>
    </w:rPr>
  </w:style>
  <w:style w:type="paragraph" w:customStyle="1" w:styleId="1255">
    <w:name w:val="font8"/>
    <w:basedOn w:val="1"/>
    <w:autoRedefine/>
    <w:qFormat/>
    <w:uiPriority w:val="0"/>
    <w:pPr>
      <w:widowControl/>
      <w:spacing w:before="100" w:beforeAutospacing="1" w:after="100" w:afterAutospacing="1"/>
      <w:jc w:val="left"/>
    </w:pPr>
    <w:rPr>
      <w:kern w:val="0"/>
      <w:sz w:val="12"/>
      <w:szCs w:val="12"/>
    </w:rPr>
  </w:style>
  <w:style w:type="paragraph" w:customStyle="1" w:styleId="1256">
    <w:name w:val="表8"/>
    <w:basedOn w:val="1"/>
    <w:autoRedefine/>
    <w:qFormat/>
    <w:uiPriority w:val="0"/>
    <w:pPr>
      <w:tabs>
        <w:tab w:val="left" w:pos="1200"/>
      </w:tabs>
      <w:ind w:left="1200" w:hanging="360"/>
      <w:jc w:val="center"/>
    </w:pPr>
    <w:rPr>
      <w:b/>
      <w:szCs w:val="21"/>
    </w:rPr>
  </w:style>
  <w:style w:type="paragraph" w:customStyle="1" w:styleId="1257">
    <w:name w:val="xl101"/>
    <w:basedOn w:val="1"/>
    <w:autoRedefine/>
    <w:qFormat/>
    <w:uiPriority w:val="0"/>
    <w:pPr>
      <w:widowControl/>
      <w:pBdr>
        <w:left w:val="single" w:color="auto" w:sz="4" w:space="0"/>
        <w:right w:val="single" w:color="auto" w:sz="12"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258">
    <w:name w:val="高表标"/>
    <w:basedOn w:val="1"/>
    <w:autoRedefine/>
    <w:qFormat/>
    <w:uiPriority w:val="99"/>
    <w:pPr>
      <w:snapToGrid w:val="0"/>
      <w:spacing w:line="300" w:lineRule="auto"/>
      <w:jc w:val="right"/>
    </w:pPr>
    <w:rPr>
      <w:rFonts w:ascii="Arial" w:hAnsi="Arial" w:eastAsia="黑体"/>
      <w:bCs/>
      <w:sz w:val="24"/>
    </w:rPr>
  </w:style>
  <w:style w:type="paragraph" w:customStyle="1" w:styleId="1259">
    <w:name w:val="－列表2"/>
    <w:basedOn w:val="1"/>
    <w:autoRedefine/>
    <w:qFormat/>
    <w:uiPriority w:val="0"/>
    <w:pPr>
      <w:jc w:val="center"/>
    </w:pPr>
    <w:rPr>
      <w:szCs w:val="21"/>
    </w:rPr>
  </w:style>
  <w:style w:type="paragraph" w:customStyle="1" w:styleId="1260">
    <w:name w:val="纯文本2"/>
    <w:basedOn w:val="1"/>
    <w:autoRedefine/>
    <w:qFormat/>
    <w:uiPriority w:val="99"/>
    <w:pPr>
      <w:adjustRightInd w:val="0"/>
      <w:textAlignment w:val="baseline"/>
    </w:pPr>
    <w:rPr>
      <w:rFonts w:ascii="宋体" w:hAnsi="Courier New"/>
      <w:szCs w:val="20"/>
    </w:rPr>
  </w:style>
  <w:style w:type="paragraph" w:customStyle="1" w:styleId="1261">
    <w:name w:val="c"/>
    <w:autoRedefine/>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1262">
    <w:name w:val="封面"/>
    <w:basedOn w:val="1"/>
    <w:autoRedefine/>
    <w:qFormat/>
    <w:uiPriority w:val="0"/>
    <w:pPr>
      <w:adjustRightInd w:val="0"/>
      <w:spacing w:before="60" w:line="360" w:lineRule="auto"/>
      <w:ind w:firstLine="482"/>
      <w:jc w:val="center"/>
      <w:textAlignment w:val="baseline"/>
    </w:pPr>
    <w:rPr>
      <w:rFonts w:ascii="Arial" w:hAnsi="Arial" w:eastAsia="仿宋_GB2312"/>
      <w:b/>
      <w:kern w:val="0"/>
      <w:sz w:val="30"/>
      <w:szCs w:val="20"/>
    </w:rPr>
  </w:style>
  <w:style w:type="paragraph" w:customStyle="1" w:styleId="1263">
    <w:name w:val="文件册号"/>
    <w:basedOn w:val="1"/>
    <w:next w:val="1"/>
    <w:autoRedefine/>
    <w:qFormat/>
    <w:uiPriority w:val="0"/>
    <w:pPr>
      <w:spacing w:line="800" w:lineRule="atLeast"/>
      <w:jc w:val="center"/>
    </w:pPr>
    <w:rPr>
      <w:sz w:val="52"/>
      <w:szCs w:val="20"/>
    </w:rPr>
  </w:style>
  <w:style w:type="paragraph" w:customStyle="1" w:styleId="1264">
    <w:name w:val="正文格式3"/>
    <w:basedOn w:val="1"/>
    <w:autoRedefine/>
    <w:qFormat/>
    <w:uiPriority w:val="0"/>
    <w:pPr>
      <w:spacing w:line="360" w:lineRule="auto"/>
      <w:ind w:firstLine="482"/>
    </w:pPr>
    <w:rPr>
      <w:rFonts w:ascii="宋体" w:hAnsi="宋体"/>
      <w:sz w:val="24"/>
    </w:rPr>
  </w:style>
  <w:style w:type="paragraph" w:customStyle="1" w:styleId="1265">
    <w:name w:val="xl98"/>
    <w:basedOn w:val="1"/>
    <w:autoRedefine/>
    <w:qFormat/>
    <w:uiPriority w:val="0"/>
    <w:pPr>
      <w:widowControl/>
      <w:pBdr>
        <w:righ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266">
    <w:name w:val="xl31"/>
    <w:basedOn w:val="1"/>
    <w:autoRedefine/>
    <w:qFormat/>
    <w:uiPriority w:val="0"/>
    <w:pPr>
      <w:widowControl/>
      <w:pBdr>
        <w:bottom w:val="single" w:color="auto" w:sz="4" w:space="0"/>
        <w:right w:val="single" w:color="auto" w:sz="4" w:space="0"/>
      </w:pBdr>
      <w:spacing w:before="100" w:beforeAutospacing="1" w:after="100" w:afterAutospacing="1"/>
      <w:textAlignment w:val="center"/>
    </w:pPr>
    <w:rPr>
      <w:rFonts w:ascii="Arial Unicode MS" w:hAnsi="Arial Unicode MS" w:eastAsia="Arial Unicode MS"/>
      <w:kern w:val="0"/>
      <w:sz w:val="24"/>
      <w:szCs w:val="20"/>
    </w:rPr>
  </w:style>
  <w:style w:type="paragraph" w:customStyle="1" w:styleId="1267">
    <w:name w:val="表中文字11"/>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1268">
    <w:name w:val="Char Char Char Char Char Char Char Char Char Char Char Char Char Char Char Char Char Char Char Char Char Char Char Char Char Char Char Char Char Char Char Char Char Char Char Char Char Char Char"/>
    <w:basedOn w:val="1"/>
    <w:autoRedefine/>
    <w:qFormat/>
    <w:uiPriority w:val="99"/>
    <w:rPr>
      <w:sz w:val="24"/>
      <w:szCs w:val="20"/>
    </w:rPr>
  </w:style>
  <w:style w:type="paragraph" w:customStyle="1" w:styleId="1269">
    <w:name w:val="表格文字1"/>
    <w:basedOn w:val="1"/>
    <w:autoRedefine/>
    <w:qFormat/>
    <w:uiPriority w:val="0"/>
    <w:pPr>
      <w:tabs>
        <w:tab w:val="left" w:pos="0"/>
      </w:tabs>
      <w:autoSpaceDE w:val="0"/>
      <w:autoSpaceDN w:val="0"/>
      <w:adjustRightInd w:val="0"/>
      <w:spacing w:before="60"/>
      <w:ind w:left="57" w:right="57"/>
      <w:jc w:val="center"/>
      <w:textAlignment w:val="baseline"/>
    </w:pPr>
    <w:rPr>
      <w:rFonts w:ascii="宋体"/>
      <w:szCs w:val="20"/>
    </w:rPr>
  </w:style>
  <w:style w:type="paragraph" w:customStyle="1" w:styleId="1270">
    <w:name w:val="xl129"/>
    <w:basedOn w:val="1"/>
    <w:autoRedefine/>
    <w:qFormat/>
    <w:uiPriority w:val="99"/>
    <w:pPr>
      <w:widowControl/>
      <w:pBdr>
        <w:right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271">
    <w:name w:val="Char Char Char Char"/>
    <w:basedOn w:val="26"/>
    <w:autoRedefine/>
    <w:qFormat/>
    <w:uiPriority w:val="0"/>
    <w:pPr>
      <w:widowControl/>
      <w:adjustRightInd w:val="0"/>
      <w:snapToGrid w:val="0"/>
      <w:spacing w:line="360" w:lineRule="auto"/>
      <w:jc w:val="left"/>
    </w:pPr>
    <w:rPr>
      <w:rFonts w:ascii="Tahoma" w:hAnsi="Tahoma" w:cs="宋体"/>
      <w:sz w:val="24"/>
      <w:szCs w:val="24"/>
    </w:rPr>
  </w:style>
  <w:style w:type="paragraph" w:customStyle="1" w:styleId="1272">
    <w:name w:val="默认段落字体 Para Char Char Char1 Char Char Char Char Char Char Char Char Char Char Char Char1"/>
    <w:basedOn w:val="1"/>
    <w:autoRedefine/>
    <w:qFormat/>
    <w:uiPriority w:val="39"/>
    <w:rPr>
      <w:sz w:val="24"/>
    </w:rPr>
  </w:style>
  <w:style w:type="paragraph" w:customStyle="1" w:styleId="1273">
    <w:name w:val="zg1"/>
    <w:basedOn w:val="35"/>
    <w:autoRedefine/>
    <w:qFormat/>
    <w:uiPriority w:val="39"/>
    <w:pPr>
      <w:spacing w:after="0" w:line="360" w:lineRule="auto"/>
      <w:ind w:left="0" w:leftChars="0" w:firstLine="425"/>
    </w:pPr>
    <w:rPr>
      <w:lang w:val="en-US"/>
    </w:rPr>
  </w:style>
  <w:style w:type="paragraph" w:customStyle="1" w:styleId="1274">
    <w:name w:val="燕山正文8"/>
    <w:basedOn w:val="1"/>
    <w:autoRedefine/>
    <w:qFormat/>
    <w:uiPriority w:val="0"/>
    <w:pPr>
      <w:tabs>
        <w:tab w:val="left" w:pos="4680"/>
      </w:tabs>
      <w:adjustRightInd w:val="0"/>
      <w:snapToGrid w:val="0"/>
      <w:spacing w:line="480" w:lineRule="exact"/>
    </w:pPr>
    <w:rPr>
      <w:rFonts w:ascii="宋体" w:cs="宋体"/>
      <w:sz w:val="24"/>
    </w:rPr>
  </w:style>
  <w:style w:type="paragraph" w:customStyle="1" w:styleId="1275">
    <w:name w:val="标题ab"/>
    <w:basedOn w:val="1"/>
    <w:next w:val="84"/>
    <w:autoRedefine/>
    <w:qFormat/>
    <w:uiPriority w:val="39"/>
    <w:pPr>
      <w:spacing w:line="1500" w:lineRule="exact"/>
      <w:jc w:val="center"/>
    </w:pPr>
    <w:rPr>
      <w:rFonts w:ascii="宋体" w:hAnsi="宋体"/>
      <w:b/>
      <w:color w:val="000000"/>
      <w:sz w:val="44"/>
    </w:rPr>
  </w:style>
  <w:style w:type="paragraph" w:customStyle="1" w:styleId="1276">
    <w:name w:val="样式 正文文字 + 首行缩进:  0.99 厘米"/>
    <w:basedOn w:val="34"/>
    <w:autoRedefine/>
    <w:qFormat/>
    <w:uiPriority w:val="39"/>
    <w:pPr>
      <w:widowControl w:val="0"/>
      <w:tabs>
        <w:tab w:val="left" w:pos="0"/>
      </w:tabs>
      <w:snapToGrid/>
      <w:spacing w:before="0" w:after="0" w:line="600" w:lineRule="exact"/>
      <w:ind w:right="0" w:firstLine="560"/>
    </w:pPr>
    <w:rPr>
      <w:spacing w:val="-2"/>
      <w:sz w:val="28"/>
      <w:szCs w:val="28"/>
      <w:lang w:val="en-US"/>
    </w:rPr>
  </w:style>
  <w:style w:type="paragraph" w:customStyle="1" w:styleId="1277">
    <w:name w:val="Char Char Char Char Char Char Char Char1 Char Char Char Char Char Char Char Char Char Char Char Char"/>
    <w:basedOn w:val="1"/>
    <w:autoRedefine/>
    <w:qFormat/>
    <w:uiPriority w:val="39"/>
    <w:rPr>
      <w:sz w:val="24"/>
    </w:rPr>
  </w:style>
  <w:style w:type="paragraph" w:customStyle="1" w:styleId="1278">
    <w:name w:val="Char Char2 Char Char Char Char11"/>
    <w:basedOn w:val="1"/>
    <w:autoRedefine/>
    <w:qFormat/>
    <w:uiPriority w:val="0"/>
  </w:style>
  <w:style w:type="paragraph" w:customStyle="1" w:styleId="1279">
    <w:name w:val="Char2 Char Char"/>
    <w:basedOn w:val="1"/>
    <w:autoRedefine/>
    <w:qFormat/>
    <w:uiPriority w:val="0"/>
    <w:rPr>
      <w:szCs w:val="21"/>
    </w:rPr>
  </w:style>
  <w:style w:type="paragraph" w:customStyle="1" w:styleId="1280">
    <w:name w:val="图章"/>
    <w:basedOn w:val="1"/>
    <w:autoRedefine/>
    <w:qFormat/>
    <w:uiPriority w:val="39"/>
    <w:pPr>
      <w:tabs>
        <w:tab w:val="left" w:pos="1727"/>
        <w:tab w:val="left" w:pos="1884"/>
      </w:tabs>
      <w:adjustRightInd w:val="0"/>
      <w:snapToGrid w:val="0"/>
      <w:ind w:left="26"/>
      <w:jc w:val="left"/>
      <w:outlineLvl w:val="0"/>
    </w:pPr>
    <w:rPr>
      <w:rFonts w:ascii="宋体" w:hAnsi="宋体"/>
      <w:snapToGrid w:val="0"/>
      <w:kern w:val="0"/>
      <w:sz w:val="18"/>
      <w:szCs w:val="20"/>
    </w:rPr>
  </w:style>
  <w:style w:type="paragraph" w:customStyle="1" w:styleId="1281">
    <w:name w:val="Body Text Indent2"/>
    <w:basedOn w:val="1"/>
    <w:autoRedefine/>
    <w:qFormat/>
    <w:uiPriority w:val="39"/>
    <w:pPr>
      <w:spacing w:after="120" w:line="360" w:lineRule="auto"/>
      <w:ind w:left="420" w:leftChars="200" w:firstLine="200" w:firstLineChars="200"/>
    </w:pPr>
    <w:rPr>
      <w:sz w:val="24"/>
    </w:rPr>
  </w:style>
  <w:style w:type="paragraph" w:customStyle="1" w:styleId="1282">
    <w:name w:val="Char11"/>
    <w:basedOn w:val="1"/>
    <w:autoRedefine/>
    <w:qFormat/>
    <w:uiPriority w:val="99"/>
  </w:style>
  <w:style w:type="character" w:customStyle="1" w:styleId="1283">
    <w:name w:val="正文首行缩进 2 Char4"/>
    <w:autoRedefine/>
    <w:qFormat/>
    <w:uiPriority w:val="0"/>
    <w:rPr>
      <w:rFonts w:ascii="Times New Roman" w:hAnsi="Times New Roman" w:eastAsia="宋体"/>
      <w:kern w:val="2"/>
      <w:sz w:val="21"/>
      <w:szCs w:val="24"/>
    </w:rPr>
  </w:style>
  <w:style w:type="paragraph" w:customStyle="1" w:styleId="1284">
    <w:name w:val="Char Char Char Char Char Char Char Char Char Char Char Char Char Char Char Char Char Char Char Char Char Char Char Char Char Char Char Char Char Char Char Char Char Char Char Char Char Char"/>
    <w:basedOn w:val="1"/>
    <w:autoRedefine/>
    <w:qFormat/>
    <w:uiPriority w:val="99"/>
    <w:rPr>
      <w:sz w:val="24"/>
    </w:rPr>
  </w:style>
  <w:style w:type="paragraph" w:customStyle="1" w:styleId="1285">
    <w:name w:val="目录 2 Char Char"/>
    <w:basedOn w:val="1"/>
    <w:next w:val="1"/>
    <w:autoRedefine/>
    <w:qFormat/>
    <w:uiPriority w:val="0"/>
    <w:pPr>
      <w:spacing w:line="351" w:lineRule="atLeast"/>
      <w:ind w:left="209" w:firstLine="419"/>
      <w:jc w:val="left"/>
    </w:pPr>
    <w:rPr>
      <w:rFonts w:hint="eastAsia"/>
      <w:szCs w:val="20"/>
    </w:rPr>
  </w:style>
  <w:style w:type="paragraph" w:customStyle="1" w:styleId="1286">
    <w:name w:val="样式7"/>
    <w:basedOn w:val="1"/>
    <w:next w:val="1"/>
    <w:autoRedefine/>
    <w:qFormat/>
    <w:uiPriority w:val="0"/>
    <w:pPr>
      <w:spacing w:line="360" w:lineRule="auto"/>
      <w:ind w:firstLine="480" w:firstLineChars="200"/>
    </w:pPr>
    <w:rPr>
      <w:rFonts w:ascii="宋体" w:hAnsi="宋体" w:cs="宋体"/>
      <w:color w:val="000000"/>
      <w:sz w:val="24"/>
    </w:rPr>
  </w:style>
  <w:style w:type="paragraph" w:customStyle="1" w:styleId="1287">
    <w:name w:val="正文.11"/>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288">
    <w:name w:val="xl46"/>
    <w:basedOn w:val="1"/>
    <w:autoRedefine/>
    <w:qFormat/>
    <w:uiPriority w:val="0"/>
    <w:pPr>
      <w:widowControl/>
      <w:pBdr>
        <w:bottom w:val="single" w:color="auto" w:sz="12" w:space="0"/>
        <w:right w:val="single" w:color="auto" w:sz="12" w:space="0"/>
      </w:pBdr>
      <w:spacing w:before="100" w:beforeAutospacing="1" w:after="100" w:afterAutospacing="1"/>
      <w:jc w:val="left"/>
    </w:pPr>
    <w:rPr>
      <w:rFonts w:ascii="Arial Unicode MS" w:hAnsi="Arial Unicode MS"/>
      <w:kern w:val="0"/>
      <w:sz w:val="16"/>
      <w:szCs w:val="16"/>
    </w:rPr>
  </w:style>
  <w:style w:type="paragraph" w:customStyle="1" w:styleId="1289">
    <w:name w:val="小五表文"/>
    <w:autoRedefine/>
    <w:qFormat/>
    <w:uiPriority w:val="0"/>
    <w:pPr>
      <w:jc w:val="center"/>
    </w:pPr>
    <w:rPr>
      <w:rFonts w:ascii="Times New Roman" w:hAnsi="Times New Roman" w:eastAsia="仿宋_GB2312" w:cs="Times New Roman"/>
      <w:sz w:val="18"/>
      <w:lang w:val="en-US" w:eastAsia="zh-CN" w:bidi="ar-SA"/>
    </w:rPr>
  </w:style>
  <w:style w:type="paragraph" w:customStyle="1" w:styleId="1290">
    <w:name w:val="xl58"/>
    <w:basedOn w:val="1"/>
    <w:autoRedefine/>
    <w:qFormat/>
    <w:uiPriority w:val="0"/>
    <w:pPr>
      <w:widowControl/>
      <w:spacing w:before="100" w:beforeAutospacing="1" w:after="100" w:afterAutospacing="1"/>
      <w:jc w:val="left"/>
      <w:textAlignment w:val="center"/>
    </w:pPr>
    <w:rPr>
      <w:rFonts w:ascii="Arial Unicode MS" w:hAnsi="Arial Unicode MS"/>
      <w:kern w:val="0"/>
      <w:sz w:val="12"/>
      <w:szCs w:val="12"/>
    </w:rPr>
  </w:style>
  <w:style w:type="paragraph" w:customStyle="1" w:styleId="1291">
    <w:name w:val="表格内字体214"/>
    <w:basedOn w:val="416"/>
    <w:next w:val="416"/>
    <w:autoRedefine/>
    <w:qFormat/>
    <w:uiPriority w:val="0"/>
    <w:pPr>
      <w:spacing w:line="240" w:lineRule="auto"/>
      <w:ind w:firstLine="0"/>
      <w:jc w:val="center"/>
    </w:pPr>
    <w:rPr>
      <w:rFonts w:ascii="宋体" w:hAnsi="宋体"/>
      <w:b w:val="0"/>
      <w:spacing w:val="0"/>
      <w:szCs w:val="24"/>
    </w:rPr>
  </w:style>
  <w:style w:type="paragraph" w:customStyle="1" w:styleId="1292">
    <w:name w:val="xl40"/>
    <w:basedOn w:val="1"/>
    <w:autoRedefine/>
    <w:qFormat/>
    <w:uiPriority w:val="0"/>
    <w:pPr>
      <w:widowControl/>
      <w:pBdr>
        <w:top w:val="single" w:color="auto" w:sz="12" w:space="0"/>
        <w:right w:val="single" w:color="auto" w:sz="12" w:space="0"/>
      </w:pBdr>
      <w:spacing w:before="100" w:beforeAutospacing="1" w:after="100" w:afterAutospacing="1"/>
      <w:jc w:val="center"/>
      <w:textAlignment w:val="center"/>
    </w:pPr>
    <w:rPr>
      <w:rFonts w:ascii="Arial Unicode MS" w:hAnsi="Arial Unicode MS"/>
      <w:kern w:val="0"/>
      <w:sz w:val="16"/>
      <w:szCs w:val="16"/>
    </w:rPr>
  </w:style>
  <w:style w:type="character" w:customStyle="1" w:styleId="1293">
    <w:name w:val="正文首行缩进 Char2"/>
    <w:autoRedefine/>
    <w:qFormat/>
    <w:uiPriority w:val="0"/>
    <w:rPr>
      <w:kern w:val="2"/>
      <w:sz w:val="21"/>
      <w:szCs w:val="24"/>
    </w:rPr>
  </w:style>
  <w:style w:type="paragraph" w:customStyle="1" w:styleId="1294">
    <w:name w:val="正文格式54"/>
    <w:basedOn w:val="1"/>
    <w:autoRedefine/>
    <w:qFormat/>
    <w:uiPriority w:val="0"/>
    <w:pPr>
      <w:spacing w:line="360" w:lineRule="auto"/>
      <w:ind w:firstLine="482"/>
    </w:pPr>
    <w:rPr>
      <w:rFonts w:ascii="宋体" w:hAnsi="宋体"/>
      <w:sz w:val="24"/>
    </w:rPr>
  </w:style>
  <w:style w:type="paragraph" w:customStyle="1" w:styleId="1295">
    <w:name w:val="xl44"/>
    <w:basedOn w:val="1"/>
    <w:autoRedefine/>
    <w:qFormat/>
    <w:uiPriority w:val="0"/>
    <w:pPr>
      <w:widowControl/>
      <w:pBdr>
        <w:right w:val="single" w:color="auto" w:sz="12" w:space="0"/>
      </w:pBdr>
      <w:spacing w:before="100" w:beforeAutospacing="1" w:after="100" w:afterAutospacing="1"/>
      <w:jc w:val="left"/>
    </w:pPr>
    <w:rPr>
      <w:rFonts w:ascii="Arial Unicode MS" w:hAnsi="Arial Unicode MS"/>
      <w:kern w:val="0"/>
      <w:sz w:val="16"/>
      <w:szCs w:val="16"/>
    </w:rPr>
  </w:style>
  <w:style w:type="paragraph" w:customStyle="1" w:styleId="1296">
    <w:name w:val="xl43"/>
    <w:basedOn w:val="1"/>
    <w:autoRedefine/>
    <w:qFormat/>
    <w:uiPriority w:val="0"/>
    <w:pPr>
      <w:widowControl/>
      <w:pBdr>
        <w:right w:val="single" w:color="auto" w:sz="12"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297">
    <w:name w:val="表内5415"/>
    <w:basedOn w:val="1"/>
    <w:autoRedefine/>
    <w:qFormat/>
    <w:uiPriority w:val="0"/>
    <w:pPr>
      <w:adjustRightInd w:val="0"/>
      <w:snapToGrid w:val="0"/>
      <w:spacing w:line="300" w:lineRule="auto"/>
      <w:jc w:val="center"/>
    </w:pPr>
    <w:rPr>
      <w:rFonts w:ascii="宋体" w:hAnsi="宋体" w:cs="宋体"/>
      <w:szCs w:val="20"/>
    </w:rPr>
  </w:style>
  <w:style w:type="paragraph" w:customStyle="1" w:styleId="1298">
    <w:name w:val="表文字"/>
    <w:basedOn w:val="1"/>
    <w:autoRedefine/>
    <w:qFormat/>
    <w:uiPriority w:val="0"/>
    <w:pPr>
      <w:jc w:val="center"/>
    </w:pPr>
    <w:rPr>
      <w:szCs w:val="21"/>
    </w:rPr>
  </w:style>
  <w:style w:type="character" w:customStyle="1" w:styleId="1299">
    <w:name w:val="正文文本 3 Char4"/>
    <w:autoRedefine/>
    <w:qFormat/>
    <w:uiPriority w:val="0"/>
    <w:rPr>
      <w:kern w:val="2"/>
      <w:sz w:val="16"/>
      <w:szCs w:val="16"/>
    </w:rPr>
  </w:style>
  <w:style w:type="character" w:customStyle="1" w:styleId="1300">
    <w:name w:val="HTML 预设格式 Char1"/>
    <w:autoRedefine/>
    <w:qFormat/>
    <w:uiPriority w:val="99"/>
    <w:rPr>
      <w:rFonts w:ascii="Courier New" w:hAnsi="Courier New" w:cs="Courier New"/>
      <w:kern w:val="2"/>
    </w:rPr>
  </w:style>
  <w:style w:type="paragraph" w:customStyle="1" w:styleId="1301">
    <w:name w:val="Style1"/>
    <w:basedOn w:val="1"/>
    <w:autoRedefine/>
    <w:qFormat/>
    <w:uiPriority w:val="0"/>
    <w:pPr>
      <w:spacing w:after="120"/>
      <w:ind w:left="851"/>
    </w:pPr>
    <w:rPr>
      <w:szCs w:val="20"/>
    </w:rPr>
  </w:style>
  <w:style w:type="paragraph" w:customStyle="1" w:styleId="1302">
    <w:name w:val="样式 标题 3 + 段前: 12 磅12"/>
    <w:basedOn w:val="5"/>
    <w:autoRedefine/>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lang w:val="en-US"/>
    </w:rPr>
  </w:style>
  <w:style w:type="paragraph" w:customStyle="1" w:styleId="1303">
    <w:name w:val="目录 4 Char Char"/>
    <w:basedOn w:val="1"/>
    <w:next w:val="1"/>
    <w:autoRedefine/>
    <w:qFormat/>
    <w:uiPriority w:val="0"/>
    <w:pPr>
      <w:spacing w:line="351" w:lineRule="atLeast"/>
      <w:ind w:left="629" w:firstLine="419"/>
      <w:jc w:val="left"/>
    </w:pPr>
    <w:rPr>
      <w:rFonts w:hint="eastAsia"/>
      <w:szCs w:val="20"/>
    </w:rPr>
  </w:style>
  <w:style w:type="paragraph" w:customStyle="1" w:styleId="1304">
    <w:name w:val="样式3"/>
    <w:basedOn w:val="5"/>
    <w:autoRedefine/>
    <w:qFormat/>
    <w:uiPriority w:val="0"/>
    <w:pPr>
      <w:ind w:left="720" w:hanging="432"/>
    </w:pPr>
    <w:rPr>
      <w:kern w:val="0"/>
      <w:lang w:val="en-US"/>
    </w:rPr>
  </w:style>
  <w:style w:type="paragraph" w:customStyle="1" w:styleId="1305">
    <w:name w:val="表内宋5115"/>
    <w:basedOn w:val="81"/>
    <w:autoRedefine/>
    <w:qFormat/>
    <w:uiPriority w:val="0"/>
    <w:pPr>
      <w:widowControl w:val="0"/>
      <w:spacing w:before="0" w:beforeAutospacing="0" w:after="0" w:afterAutospacing="0"/>
      <w:jc w:val="both"/>
    </w:pPr>
    <w:rPr>
      <w:rFonts w:ascii="Times New Roman" w:hAnsi="Times New Roman"/>
      <w:kern w:val="2"/>
      <w:szCs w:val="24"/>
      <w:lang w:val="en-US"/>
    </w:rPr>
  </w:style>
  <w:style w:type="paragraph" w:customStyle="1" w:styleId="1306">
    <w:name w:val="黑体三号112"/>
    <w:basedOn w:val="416"/>
    <w:autoRedefine/>
    <w:qFormat/>
    <w:uiPriority w:val="0"/>
    <w:pPr>
      <w:jc w:val="center"/>
    </w:pPr>
    <w:rPr>
      <w:rFonts w:ascii="黑体" w:hAnsi="宋体" w:eastAsia="黑体" w:cs="宋体"/>
      <w:bCs/>
      <w:spacing w:val="0"/>
      <w:sz w:val="32"/>
    </w:rPr>
  </w:style>
  <w:style w:type="paragraph" w:customStyle="1" w:styleId="1307">
    <w:name w:val="表文字534"/>
    <w:basedOn w:val="1"/>
    <w:autoRedefine/>
    <w:qFormat/>
    <w:uiPriority w:val="0"/>
    <w:pPr>
      <w:adjustRightInd w:val="0"/>
      <w:jc w:val="left"/>
      <w:textAlignment w:val="baseline"/>
    </w:pPr>
    <w:rPr>
      <w:rFonts w:ascii="宋体"/>
      <w:kern w:val="0"/>
      <w:szCs w:val="20"/>
    </w:rPr>
  </w:style>
  <w:style w:type="paragraph" w:customStyle="1" w:styleId="1308">
    <w:name w:val="xl113"/>
    <w:basedOn w:val="1"/>
    <w:autoRedefine/>
    <w:qFormat/>
    <w:uiPriority w:val="99"/>
    <w:pPr>
      <w:widowControl/>
      <w:pBdr>
        <w:top w:val="single" w:color="auto" w:sz="8" w:space="0"/>
        <w:bottom w:val="single" w:color="auto" w:sz="12" w:space="0"/>
      </w:pBdr>
      <w:spacing w:before="100" w:beforeAutospacing="1" w:after="100" w:afterAutospacing="1"/>
      <w:jc w:val="left"/>
    </w:pPr>
    <w:rPr>
      <w:rFonts w:ascii="Arial Unicode MS" w:hAnsi="Arial Unicode MS"/>
      <w:kern w:val="0"/>
      <w:sz w:val="16"/>
      <w:szCs w:val="16"/>
    </w:rPr>
  </w:style>
  <w:style w:type="paragraph" w:customStyle="1" w:styleId="1309">
    <w:name w:val="目录 9 Char Char"/>
    <w:basedOn w:val="1"/>
    <w:next w:val="1"/>
    <w:autoRedefine/>
    <w:qFormat/>
    <w:uiPriority w:val="0"/>
    <w:pPr>
      <w:spacing w:line="351" w:lineRule="atLeast"/>
      <w:ind w:left="1678" w:firstLine="419"/>
      <w:jc w:val="left"/>
    </w:pPr>
    <w:rPr>
      <w:rFonts w:hint="eastAsia"/>
      <w:szCs w:val="20"/>
    </w:rPr>
  </w:style>
  <w:style w:type="paragraph" w:customStyle="1" w:styleId="1310">
    <w:name w:val="源程序"/>
    <w:autoRedefine/>
    <w:qFormat/>
    <w:uiPriority w:val="99"/>
    <w:pPr>
      <w:widowControl w:val="0"/>
      <w:kinsoku w:val="0"/>
      <w:wordWrap w:val="0"/>
      <w:overflowPunct w:val="0"/>
      <w:autoSpaceDE w:val="0"/>
      <w:autoSpaceDN w:val="0"/>
      <w:adjustRightInd w:val="0"/>
      <w:ind w:left="482"/>
    </w:pPr>
    <w:rPr>
      <w:rFonts w:ascii="Courier New" w:hAnsi="Courier New" w:eastAsia="仿宋_GB2312" w:cs="Times New Roman"/>
      <w:snapToGrid w:val="0"/>
      <w:sz w:val="24"/>
      <w:lang w:val="en-US" w:eastAsia="zh-CN" w:bidi="ar-SA"/>
    </w:rPr>
  </w:style>
  <w:style w:type="paragraph" w:customStyle="1" w:styleId="1311">
    <w:name w:val="font9"/>
    <w:basedOn w:val="1"/>
    <w:autoRedefine/>
    <w:qFormat/>
    <w:uiPriority w:val="0"/>
    <w:pPr>
      <w:widowControl/>
      <w:spacing w:before="100" w:beforeAutospacing="1" w:after="100" w:afterAutospacing="1"/>
      <w:jc w:val="left"/>
    </w:pPr>
    <w:rPr>
      <w:kern w:val="0"/>
      <w:sz w:val="24"/>
    </w:rPr>
  </w:style>
  <w:style w:type="paragraph" w:customStyle="1" w:styleId="1312">
    <w:name w:val="正文格式21"/>
    <w:basedOn w:val="1"/>
    <w:autoRedefine/>
    <w:qFormat/>
    <w:uiPriority w:val="0"/>
    <w:pPr>
      <w:spacing w:line="360" w:lineRule="auto"/>
      <w:ind w:firstLine="482"/>
    </w:pPr>
    <w:rPr>
      <w:rFonts w:ascii="宋体" w:hAnsi="宋体"/>
      <w:sz w:val="24"/>
    </w:rPr>
  </w:style>
  <w:style w:type="paragraph" w:customStyle="1" w:styleId="1313">
    <w:name w:val="表12"/>
    <w:basedOn w:val="1"/>
    <w:autoRedefine/>
    <w:qFormat/>
    <w:uiPriority w:val="0"/>
    <w:pPr>
      <w:tabs>
        <w:tab w:val="left" w:pos="840"/>
        <w:tab w:val="left" w:pos="2479"/>
      </w:tabs>
      <w:spacing w:line="360" w:lineRule="auto"/>
      <w:ind w:left="840" w:hanging="360"/>
      <w:jc w:val="center"/>
    </w:pPr>
    <w:rPr>
      <w:b/>
      <w:sz w:val="24"/>
    </w:rPr>
  </w:style>
  <w:style w:type="paragraph" w:customStyle="1" w:styleId="1314">
    <w:name w:val="4"/>
    <w:basedOn w:val="1"/>
    <w:next w:val="45"/>
    <w:autoRedefine/>
    <w:qFormat/>
    <w:uiPriority w:val="0"/>
    <w:rPr>
      <w:rFonts w:ascii="宋体" w:hAnsi="Courier New" w:cs="Courier New"/>
      <w:szCs w:val="21"/>
    </w:rPr>
  </w:style>
  <w:style w:type="paragraph" w:customStyle="1" w:styleId="1315">
    <w:name w:val="1 Char"/>
    <w:basedOn w:val="1"/>
    <w:autoRedefine/>
    <w:qFormat/>
    <w:uiPriority w:val="0"/>
    <w:rPr>
      <w:sz w:val="24"/>
    </w:rPr>
  </w:style>
  <w:style w:type="paragraph" w:customStyle="1" w:styleId="1316">
    <w:name w:val="xl128"/>
    <w:basedOn w:val="1"/>
    <w:autoRedefine/>
    <w:qFormat/>
    <w:uiPriority w:val="99"/>
    <w:pPr>
      <w:widowControl/>
      <w:pBdr>
        <w:bottom w:val="single" w:color="auto" w:sz="8"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317">
    <w:name w:val="表格文字居中 Char"/>
    <w:basedOn w:val="66"/>
    <w:autoRedefine/>
    <w:qFormat/>
    <w:uiPriority w:val="0"/>
    <w:pPr>
      <w:keepNext/>
      <w:tabs>
        <w:tab w:val="left" w:pos="-1820"/>
        <w:tab w:val="left" w:pos="1727"/>
        <w:tab w:val="left" w:pos="1884"/>
      </w:tabs>
      <w:spacing w:line="360" w:lineRule="auto"/>
      <w:ind w:left="-2" w:leftChars="-4" w:right="-176" w:rightChars="-84" w:hanging="6"/>
    </w:pPr>
    <w:rPr>
      <w:rFonts w:ascii="楷体_GB2312" w:hAnsi="楷体_GB2312" w:eastAsia="楷体_GB2312"/>
      <w:kern w:val="0"/>
    </w:rPr>
  </w:style>
  <w:style w:type="character" w:customStyle="1" w:styleId="1318">
    <w:name w:val="标题 Char2"/>
    <w:autoRedefine/>
    <w:qFormat/>
    <w:uiPriority w:val="10"/>
    <w:rPr>
      <w:rFonts w:ascii="等线 Light" w:hAnsi="等线 Light" w:cs="Times New Roman"/>
      <w:b/>
      <w:bCs/>
      <w:kern w:val="2"/>
      <w:sz w:val="32"/>
      <w:szCs w:val="32"/>
    </w:rPr>
  </w:style>
  <w:style w:type="paragraph" w:customStyle="1" w:styleId="1319">
    <w:name w:val="图题7"/>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1320">
    <w:name w:val="xl69"/>
    <w:basedOn w:val="1"/>
    <w:autoRedefine/>
    <w:qFormat/>
    <w:uiPriority w:val="0"/>
    <w:pPr>
      <w:widowControl/>
      <w:pBdr>
        <w:bottom w:val="single" w:color="auto" w:sz="8" w:space="0"/>
      </w:pBdr>
      <w:spacing w:before="100" w:beforeAutospacing="1" w:after="100" w:afterAutospacing="1"/>
      <w:jc w:val="center"/>
    </w:pPr>
    <w:rPr>
      <w:rFonts w:ascii="宋体" w:hAnsi="宋体" w:cs="宋体"/>
      <w:color w:val="FF0000"/>
      <w:kern w:val="0"/>
      <w:szCs w:val="21"/>
    </w:rPr>
  </w:style>
  <w:style w:type="paragraph" w:customStyle="1" w:styleId="1321">
    <w:name w:val="Default3"/>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1322">
    <w:name w:val="Body Text 21"/>
    <w:basedOn w:val="1"/>
    <w:autoRedefine/>
    <w:qFormat/>
    <w:uiPriority w:val="0"/>
    <w:pPr>
      <w:adjustRightInd w:val="0"/>
      <w:textAlignment w:val="baseline"/>
    </w:pPr>
    <w:rPr>
      <w:rFonts w:eastAsia="仿宋体"/>
      <w:sz w:val="24"/>
      <w:szCs w:val="20"/>
    </w:rPr>
  </w:style>
  <w:style w:type="paragraph" w:customStyle="1" w:styleId="1323">
    <w:name w:val="ISO标题3"/>
    <w:basedOn w:val="1324"/>
    <w:autoRedefine/>
    <w:qFormat/>
    <w:uiPriority w:val="0"/>
    <w:pPr>
      <w:tabs>
        <w:tab w:val="left" w:pos="360"/>
        <w:tab w:val="left" w:pos="425"/>
      </w:tabs>
      <w:ind w:left="709" w:hanging="709"/>
      <w:outlineLvl w:val="2"/>
    </w:pPr>
  </w:style>
  <w:style w:type="paragraph" w:customStyle="1" w:styleId="1324">
    <w:name w:val="ISO标题2"/>
    <w:basedOn w:val="1325"/>
    <w:autoRedefine/>
    <w:qFormat/>
    <w:uiPriority w:val="0"/>
    <w:pPr>
      <w:tabs>
        <w:tab w:val="left" w:pos="360"/>
        <w:tab w:val="left" w:pos="425"/>
      </w:tabs>
      <w:ind w:left="567" w:hanging="567"/>
      <w:outlineLvl w:val="1"/>
    </w:pPr>
  </w:style>
  <w:style w:type="paragraph" w:customStyle="1" w:styleId="1325">
    <w:name w:val="ISO标题1."/>
    <w:autoRedefine/>
    <w:qFormat/>
    <w:uiPriority w:val="0"/>
    <w:pPr>
      <w:tabs>
        <w:tab w:val="left" w:pos="425"/>
      </w:tabs>
      <w:autoSpaceDE w:val="0"/>
      <w:autoSpaceDN w:val="0"/>
      <w:adjustRightInd w:val="0"/>
      <w:ind w:left="425" w:hanging="425"/>
      <w:outlineLvl w:val="0"/>
    </w:pPr>
    <w:rPr>
      <w:rFonts w:ascii="宋体" w:hAnsi="宋体" w:eastAsia="宋体" w:cs="Times New Roman"/>
      <w:color w:val="000000"/>
      <w:sz w:val="24"/>
      <w:lang w:val="en-US" w:eastAsia="zh-CN" w:bidi="ar-SA"/>
    </w:rPr>
  </w:style>
  <w:style w:type="paragraph" w:customStyle="1" w:styleId="1326">
    <w:name w:val="xl146"/>
    <w:basedOn w:val="1"/>
    <w:autoRedefine/>
    <w:qFormat/>
    <w:uiPriority w:val="99"/>
    <w:pPr>
      <w:widowControl/>
      <w:spacing w:before="100" w:beforeAutospacing="1" w:after="100" w:afterAutospacing="1"/>
      <w:jc w:val="left"/>
    </w:pPr>
    <w:rPr>
      <w:rFonts w:ascii="Arial Unicode MS" w:hAnsi="Arial Unicode MS"/>
      <w:kern w:val="0"/>
      <w:sz w:val="16"/>
      <w:szCs w:val="16"/>
    </w:rPr>
  </w:style>
  <w:style w:type="paragraph" w:customStyle="1" w:styleId="1327">
    <w:name w:val="Char Char Char1 Char Char Char1 Char Char Char1 Char Char Char 字元 字元 Char Char 字元 字元 字元 字元 字元"/>
    <w:basedOn w:val="1"/>
    <w:autoRedefine/>
    <w:qFormat/>
    <w:uiPriority w:val="0"/>
    <w:pPr>
      <w:spacing w:line="400" w:lineRule="exact"/>
      <w:ind w:firstLine="200" w:firstLineChars="200"/>
    </w:pPr>
    <w:rPr>
      <w:sz w:val="28"/>
      <w:szCs w:val="28"/>
    </w:rPr>
  </w:style>
  <w:style w:type="paragraph" w:customStyle="1" w:styleId="1328">
    <w:name w:val="目录标题"/>
    <w:basedOn w:val="1"/>
    <w:next w:val="1"/>
    <w:autoRedefine/>
    <w:qFormat/>
    <w:uiPriority w:val="0"/>
    <w:pPr>
      <w:widowControl/>
      <w:spacing w:before="215" w:after="419" w:line="436" w:lineRule="atLeast"/>
      <w:ind w:firstLine="419"/>
      <w:jc w:val="center"/>
      <w:textAlignment w:val="baseline"/>
    </w:pPr>
    <w:rPr>
      <w:rFonts w:ascii="Arial" w:eastAsia="黑体"/>
      <w:color w:val="000000"/>
      <w:spacing w:val="283"/>
      <w:kern w:val="0"/>
      <w:sz w:val="42"/>
      <w:szCs w:val="20"/>
      <w:u w:color="000000"/>
    </w:rPr>
  </w:style>
  <w:style w:type="paragraph" w:customStyle="1" w:styleId="1329">
    <w:name w:val="表内文字小211"/>
    <w:basedOn w:val="1"/>
    <w:autoRedefine/>
    <w:qFormat/>
    <w:uiPriority w:val="0"/>
    <w:pPr>
      <w:adjustRightInd w:val="0"/>
      <w:snapToGrid w:val="0"/>
      <w:jc w:val="center"/>
    </w:pPr>
    <w:rPr>
      <w:rFonts w:ascii="宋体" w:hAnsi="Times"/>
      <w:bCs/>
      <w:color w:val="000000"/>
      <w:szCs w:val="20"/>
    </w:rPr>
  </w:style>
  <w:style w:type="paragraph" w:customStyle="1" w:styleId="1330">
    <w:name w:val="Normal1"/>
    <w:autoRedefine/>
    <w:qFormat/>
    <w:uiPriority w:val="99"/>
    <w:pPr>
      <w:widowControl w:val="0"/>
      <w:adjustRightInd w:val="0"/>
      <w:spacing w:line="312" w:lineRule="atLeast"/>
      <w:jc w:val="both"/>
    </w:pPr>
    <w:rPr>
      <w:rFonts w:ascii="Arial" w:hAnsi="Times New Roman" w:eastAsia="楷体_GB2312" w:cs="Times New Roman"/>
      <w:spacing w:val="-6"/>
      <w:sz w:val="28"/>
      <w:lang w:val="en-US" w:eastAsia="zh-CN" w:bidi="ar-SA"/>
    </w:rPr>
  </w:style>
  <w:style w:type="paragraph" w:customStyle="1" w:styleId="1331">
    <w:name w:val="Char Char Char Char Char Char Char Char Char1 Char Char Char Char"/>
    <w:basedOn w:val="1"/>
    <w:autoRedefine/>
    <w:qFormat/>
    <w:uiPriority w:val="0"/>
    <w:rPr>
      <w:szCs w:val="20"/>
    </w:rPr>
  </w:style>
  <w:style w:type="paragraph" w:customStyle="1" w:styleId="1332">
    <w:name w:val="xl136"/>
    <w:basedOn w:val="1"/>
    <w:autoRedefine/>
    <w:qFormat/>
    <w:uiPriority w:val="99"/>
    <w:pPr>
      <w:widowControl/>
      <w:spacing w:before="100" w:beforeAutospacing="1" w:after="100" w:afterAutospacing="1"/>
      <w:jc w:val="left"/>
    </w:pPr>
    <w:rPr>
      <w:rFonts w:ascii="Arial Unicode MS" w:hAnsi="Arial Unicode MS"/>
      <w:kern w:val="0"/>
      <w:sz w:val="12"/>
      <w:szCs w:val="12"/>
    </w:rPr>
  </w:style>
  <w:style w:type="paragraph" w:customStyle="1" w:styleId="1333">
    <w:name w:val="xl189"/>
    <w:basedOn w:val="1"/>
    <w:autoRedefine/>
    <w:qFormat/>
    <w:uiPriority w:val="99"/>
    <w:pPr>
      <w:widowControl/>
      <w:pBdr>
        <w:bottom w:val="single" w:color="auto" w:sz="12" w:space="0"/>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1334">
    <w:name w:val="表后注"/>
    <w:basedOn w:val="1"/>
    <w:autoRedefine/>
    <w:qFormat/>
    <w:uiPriority w:val="99"/>
    <w:pPr>
      <w:spacing w:line="500" w:lineRule="exact"/>
      <w:ind w:firstLine="584"/>
    </w:pPr>
    <w:rPr>
      <w:sz w:val="24"/>
    </w:rPr>
  </w:style>
  <w:style w:type="paragraph" w:customStyle="1" w:styleId="1335">
    <w:name w:val="xl182"/>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16"/>
      <w:szCs w:val="16"/>
    </w:rPr>
  </w:style>
  <w:style w:type="paragraph" w:customStyle="1" w:styleId="1336">
    <w:name w:val="Char Char Char1 Char Char Char Char Char Char Char Char Char1"/>
    <w:basedOn w:val="1"/>
    <w:autoRedefine/>
    <w:qFormat/>
    <w:uiPriority w:val="39"/>
    <w:rPr>
      <w:szCs w:val="21"/>
    </w:rPr>
  </w:style>
  <w:style w:type="paragraph" w:customStyle="1" w:styleId="1337">
    <w:name w:val="表题142"/>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1338">
    <w:name w:val="二级无标题条"/>
    <w:basedOn w:val="1"/>
    <w:autoRedefine/>
    <w:qFormat/>
    <w:uiPriority w:val="0"/>
    <w:pPr>
      <w:ind w:left="210"/>
    </w:pPr>
    <w:rPr>
      <w:szCs w:val="20"/>
    </w:rPr>
  </w:style>
  <w:style w:type="paragraph" w:customStyle="1" w:styleId="1339">
    <w:name w:val="xl55"/>
    <w:basedOn w:val="1"/>
    <w:autoRedefine/>
    <w:qFormat/>
    <w:uiPriority w:val="0"/>
    <w:pPr>
      <w:widowControl/>
      <w:pBdr>
        <w:bottom w:val="single" w:color="auto" w:sz="12" w:space="0"/>
      </w:pBdr>
      <w:spacing w:before="100" w:beforeAutospacing="1" w:after="100" w:afterAutospacing="1"/>
      <w:jc w:val="left"/>
    </w:pPr>
    <w:rPr>
      <w:rFonts w:ascii="Arial Unicode MS" w:hAnsi="Arial Unicode MS"/>
      <w:kern w:val="0"/>
      <w:sz w:val="12"/>
      <w:szCs w:val="12"/>
    </w:rPr>
  </w:style>
  <w:style w:type="paragraph" w:customStyle="1" w:styleId="1340">
    <w:name w:val="样式 标题 4无效格式无效格式1河石管道4H4H41小小节河石管道41H42H411小小节1河石管道42...2"/>
    <w:basedOn w:val="6"/>
    <w:autoRedefine/>
    <w:qFormat/>
    <w:uiPriority w:val="0"/>
    <w:pPr>
      <w:adjustRightInd w:val="0"/>
      <w:snapToGrid w:val="0"/>
      <w:spacing w:before="0" w:after="0" w:line="360" w:lineRule="auto"/>
      <w:ind w:left="1404" w:hanging="864"/>
    </w:pPr>
    <w:rPr>
      <w:rFonts w:ascii="黑体"/>
      <w:b w:val="0"/>
      <w:bCs w:val="0"/>
      <w:sz w:val="24"/>
      <w:szCs w:val="24"/>
    </w:rPr>
  </w:style>
  <w:style w:type="paragraph" w:customStyle="1" w:styleId="1341">
    <w:name w:val="xl34"/>
    <w:basedOn w:val="1"/>
    <w:autoRedefine/>
    <w:qFormat/>
    <w:uiPriority w:val="0"/>
    <w:pPr>
      <w:widowControl/>
      <w:pBdr>
        <w:left w:val="single" w:color="auto" w:sz="12" w:space="0"/>
      </w:pBdr>
      <w:spacing w:before="100" w:beforeAutospacing="1" w:after="100" w:afterAutospacing="1"/>
      <w:jc w:val="left"/>
    </w:pPr>
    <w:rPr>
      <w:rFonts w:ascii="Arial Unicode MS" w:hAnsi="Arial Unicode MS"/>
      <w:kern w:val="0"/>
      <w:sz w:val="16"/>
      <w:szCs w:val="16"/>
    </w:rPr>
  </w:style>
  <w:style w:type="paragraph" w:customStyle="1" w:styleId="1342">
    <w:name w:val="Char Char2 Char Char Char Char Char Char"/>
    <w:basedOn w:val="1"/>
    <w:autoRedefine/>
    <w:qFormat/>
    <w:uiPriority w:val="39"/>
    <w:pPr>
      <w:spacing w:line="480" w:lineRule="exact"/>
    </w:pPr>
    <w:rPr>
      <w:sz w:val="22"/>
    </w:rPr>
  </w:style>
  <w:style w:type="paragraph" w:customStyle="1" w:styleId="1343">
    <w:name w:val="xl192"/>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344">
    <w:name w:val="表文字54"/>
    <w:basedOn w:val="1"/>
    <w:autoRedefine/>
    <w:qFormat/>
    <w:uiPriority w:val="0"/>
    <w:pPr>
      <w:adjustRightInd w:val="0"/>
      <w:jc w:val="left"/>
      <w:textAlignment w:val="baseline"/>
    </w:pPr>
    <w:rPr>
      <w:rFonts w:ascii="宋体"/>
      <w:kern w:val="0"/>
      <w:szCs w:val="20"/>
    </w:rPr>
  </w:style>
  <w:style w:type="paragraph" w:customStyle="1" w:styleId="1345">
    <w:name w:val="Char Char Char Char Char Char Char Char Char Char Char Char Char Char Char Char Char Char Char Char Char Char Char Char Char Char Char Char Char Char Char Char Char Char Char Char Char Char Char Char1"/>
    <w:basedOn w:val="1"/>
    <w:autoRedefine/>
    <w:qFormat/>
    <w:uiPriority w:val="39"/>
    <w:rPr>
      <w:sz w:val="24"/>
    </w:rPr>
  </w:style>
  <w:style w:type="paragraph" w:customStyle="1" w:styleId="1346">
    <w:name w:val="表格标题"/>
    <w:basedOn w:val="1"/>
    <w:autoRedefine/>
    <w:qFormat/>
    <w:uiPriority w:val="99"/>
    <w:pPr>
      <w:adjustRightInd w:val="0"/>
      <w:spacing w:before="120" w:line="480" w:lineRule="exact"/>
      <w:jc w:val="center"/>
      <w:textAlignment w:val="baseline"/>
    </w:pPr>
    <w:rPr>
      <w:rFonts w:eastAsia="文鼎CS中宋"/>
      <w:spacing w:val="8"/>
      <w:kern w:val="0"/>
      <w:sz w:val="24"/>
      <w:szCs w:val="20"/>
    </w:rPr>
  </w:style>
  <w:style w:type="paragraph" w:customStyle="1" w:styleId="1347">
    <w:name w:val="xl95"/>
    <w:basedOn w:val="1"/>
    <w:autoRedefine/>
    <w:qFormat/>
    <w:uiPriority w:val="0"/>
    <w:pPr>
      <w:widowControl/>
      <w:spacing w:before="100" w:beforeAutospacing="1" w:after="100" w:afterAutospacing="1"/>
      <w:jc w:val="right"/>
    </w:pPr>
    <w:rPr>
      <w:rFonts w:ascii="Arial Unicode MS" w:hAnsi="Arial Unicode MS"/>
      <w:kern w:val="0"/>
      <w:sz w:val="12"/>
      <w:szCs w:val="12"/>
    </w:rPr>
  </w:style>
  <w:style w:type="paragraph" w:customStyle="1" w:styleId="1348">
    <w:name w:val="xl175"/>
    <w:basedOn w:val="1"/>
    <w:autoRedefine/>
    <w:qFormat/>
    <w:uiPriority w:val="99"/>
    <w:pPr>
      <w:widowControl/>
      <w:pBdr>
        <w:left w:val="single" w:color="auto" w:sz="12" w:space="0"/>
        <w:right w:val="single" w:color="auto" w:sz="4" w:space="0"/>
      </w:pBdr>
      <w:spacing w:before="100" w:beforeAutospacing="1" w:after="100" w:afterAutospacing="1"/>
      <w:jc w:val="left"/>
    </w:pPr>
    <w:rPr>
      <w:rFonts w:ascii="Arial Unicode MS" w:hAnsi="Arial Unicode MS"/>
      <w:kern w:val="0"/>
    </w:rPr>
  </w:style>
  <w:style w:type="paragraph" w:customStyle="1" w:styleId="1349">
    <w:name w:val="样式标题5"/>
    <w:basedOn w:val="1"/>
    <w:next w:val="476"/>
    <w:autoRedefine/>
    <w:qFormat/>
    <w:uiPriority w:val="99"/>
    <w:pPr>
      <w:spacing w:line="360" w:lineRule="auto"/>
      <w:ind w:firstLine="400"/>
    </w:pPr>
    <w:rPr>
      <w:sz w:val="24"/>
    </w:rPr>
  </w:style>
  <w:style w:type="paragraph" w:customStyle="1" w:styleId="1350">
    <w:name w:val="默认段落字体 Para Char Char Char Char4"/>
    <w:basedOn w:val="1"/>
    <w:autoRedefine/>
    <w:qFormat/>
    <w:uiPriority w:val="0"/>
  </w:style>
  <w:style w:type="paragraph" w:customStyle="1" w:styleId="1351">
    <w:name w:val="附件2"/>
    <w:basedOn w:val="3"/>
    <w:next w:val="416"/>
    <w:autoRedefine/>
    <w:qFormat/>
    <w:uiPriority w:val="0"/>
    <w:pPr>
      <w:keepLines/>
      <w:tabs>
        <w:tab w:val="left" w:pos="1566"/>
      </w:tabs>
      <w:overflowPunct/>
      <w:snapToGrid/>
      <w:spacing w:before="0" w:after="210" w:line="360" w:lineRule="auto"/>
      <w:ind w:left="0" w:firstLine="0"/>
      <w:jc w:val="left"/>
    </w:pPr>
    <w:rPr>
      <w:rFonts w:ascii="黑体" w:hAnsi="宋体"/>
      <w:b w:val="0"/>
      <w:color w:val="auto"/>
      <w:sz w:val="32"/>
      <w:szCs w:val="32"/>
    </w:rPr>
  </w:style>
  <w:style w:type="paragraph" w:customStyle="1" w:styleId="1352">
    <w:name w:val="表"/>
    <w:autoRedefine/>
    <w:qFormat/>
    <w:uiPriority w:val="0"/>
    <w:pPr>
      <w:widowControl w:val="0"/>
      <w:adjustRightInd w:val="0"/>
      <w:snapToGrid w:val="0"/>
      <w:jc w:val="center"/>
    </w:pPr>
    <w:rPr>
      <w:rFonts w:ascii="Times New Roman" w:hAnsi="Times New Roman" w:eastAsia="宋体" w:cs="Times New Roman"/>
      <w:color w:val="000000"/>
      <w:kern w:val="2"/>
      <w:position w:val="-6"/>
      <w:sz w:val="21"/>
      <w:lang w:val="en-US" w:eastAsia="zh-CN" w:bidi="ar-SA"/>
    </w:rPr>
  </w:style>
  <w:style w:type="paragraph" w:customStyle="1" w:styleId="1353">
    <w:name w:val="样式 表格内字体 +11"/>
    <w:basedOn w:val="415"/>
    <w:autoRedefine/>
    <w:qFormat/>
    <w:uiPriority w:val="0"/>
    <w:pPr>
      <w:spacing w:line="280" w:lineRule="exact"/>
      <w:ind w:firstLine="36"/>
      <w:jc w:val="both"/>
    </w:pPr>
  </w:style>
  <w:style w:type="paragraph" w:customStyle="1" w:styleId="1354">
    <w:name w:val="xl72"/>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Cs w:val="21"/>
    </w:rPr>
  </w:style>
  <w:style w:type="paragraph" w:customStyle="1" w:styleId="1355">
    <w:name w:val="Char27"/>
    <w:basedOn w:val="1"/>
    <w:autoRedefine/>
    <w:qFormat/>
    <w:uiPriority w:val="0"/>
    <w:pPr>
      <w:ind w:left="-48"/>
    </w:pPr>
  </w:style>
  <w:style w:type="paragraph" w:customStyle="1" w:styleId="1356">
    <w:name w:val="表11"/>
    <w:basedOn w:val="1"/>
    <w:autoRedefine/>
    <w:qFormat/>
    <w:uiPriority w:val="0"/>
    <w:pPr>
      <w:adjustRightInd w:val="0"/>
      <w:snapToGrid w:val="0"/>
      <w:jc w:val="center"/>
    </w:pPr>
    <w:rPr>
      <w:rFonts w:eastAsia="仿宋_GB2312"/>
      <w:sz w:val="24"/>
    </w:rPr>
  </w:style>
  <w:style w:type="paragraph" w:customStyle="1" w:styleId="1357">
    <w:name w:val="Char2 Char Char Char Char Char2"/>
    <w:basedOn w:val="1"/>
    <w:autoRedefine/>
    <w:qFormat/>
    <w:uiPriority w:val="39"/>
    <w:rPr>
      <w:sz w:val="24"/>
    </w:rPr>
  </w:style>
  <w:style w:type="paragraph" w:customStyle="1" w:styleId="1358">
    <w:name w:val="xl87"/>
    <w:basedOn w:val="1"/>
    <w:autoRedefine/>
    <w:qFormat/>
    <w:uiPriority w:val="0"/>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1359">
    <w:name w:val="表内宋5中114"/>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1360">
    <w:name w:val="表题3111"/>
    <w:basedOn w:val="35"/>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1361">
    <w:name w:val="xl48"/>
    <w:basedOn w:val="1"/>
    <w:autoRedefine/>
    <w:qFormat/>
    <w:uiPriority w:val="0"/>
    <w:pPr>
      <w:widowControl/>
      <w:pBdr>
        <w:left w:val="single" w:color="auto" w:sz="12" w:space="0"/>
        <w:bottom w:val="single" w:color="auto" w:sz="12" w:space="0"/>
      </w:pBdr>
      <w:spacing w:before="100" w:beforeAutospacing="1" w:after="100" w:afterAutospacing="1"/>
      <w:jc w:val="left"/>
    </w:pPr>
    <w:rPr>
      <w:rFonts w:ascii="Arial Unicode MS" w:hAnsi="Arial Unicode MS"/>
      <w:kern w:val="0"/>
      <w:sz w:val="16"/>
      <w:szCs w:val="16"/>
    </w:rPr>
  </w:style>
  <w:style w:type="paragraph" w:customStyle="1" w:styleId="1362">
    <w:name w:val="Char103"/>
    <w:basedOn w:val="1"/>
    <w:autoRedefine/>
    <w:qFormat/>
    <w:uiPriority w:val="0"/>
    <w:pPr>
      <w:adjustRightInd w:val="0"/>
      <w:snapToGrid w:val="0"/>
      <w:spacing w:line="360" w:lineRule="auto"/>
    </w:pPr>
  </w:style>
  <w:style w:type="paragraph" w:customStyle="1" w:styleId="1363">
    <w:name w:val="Char113"/>
    <w:basedOn w:val="1"/>
    <w:autoRedefine/>
    <w:qFormat/>
    <w:uiPriority w:val="0"/>
    <w:pPr>
      <w:ind w:left="-48"/>
    </w:pPr>
  </w:style>
  <w:style w:type="paragraph" w:customStyle="1" w:styleId="1364">
    <w:name w:val="xl93"/>
    <w:basedOn w:val="1"/>
    <w:autoRedefine/>
    <w:qFormat/>
    <w:uiPriority w:val="0"/>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1365">
    <w:name w:val="默认段落字体 Para Char Char Char Char Char Char Char Char Char"/>
    <w:basedOn w:val="1"/>
    <w:autoRedefine/>
    <w:qFormat/>
    <w:uiPriority w:val="99"/>
    <w:pPr>
      <w:keepNext/>
      <w:keepLines/>
      <w:spacing w:line="360" w:lineRule="auto"/>
      <w:jc w:val="left"/>
    </w:pPr>
    <w:rPr>
      <w:rFonts w:ascii="Tahoma" w:hAnsi="Tahoma"/>
      <w:b/>
      <w:sz w:val="30"/>
      <w:szCs w:val="20"/>
    </w:rPr>
  </w:style>
  <w:style w:type="paragraph" w:customStyle="1" w:styleId="1366">
    <w:name w:val="xl47"/>
    <w:basedOn w:val="1"/>
    <w:autoRedefine/>
    <w:qFormat/>
    <w:uiPriority w:val="0"/>
    <w:pPr>
      <w:widowControl/>
      <w:pBdr>
        <w:top w:val="single" w:color="auto" w:sz="12"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367">
    <w:name w:val="表内文字小3114"/>
    <w:basedOn w:val="1"/>
    <w:autoRedefine/>
    <w:qFormat/>
    <w:uiPriority w:val="0"/>
    <w:pPr>
      <w:adjustRightInd w:val="0"/>
      <w:snapToGrid w:val="0"/>
      <w:jc w:val="center"/>
    </w:pPr>
    <w:rPr>
      <w:rFonts w:ascii="宋体" w:hAnsi="Times" w:cs="宋体"/>
      <w:bCs/>
      <w:color w:val="003366"/>
      <w:szCs w:val="20"/>
    </w:rPr>
  </w:style>
  <w:style w:type="paragraph" w:customStyle="1" w:styleId="1368">
    <w:name w:val="表文字541"/>
    <w:basedOn w:val="1"/>
    <w:autoRedefine/>
    <w:qFormat/>
    <w:uiPriority w:val="0"/>
    <w:pPr>
      <w:adjustRightInd w:val="0"/>
      <w:jc w:val="left"/>
      <w:textAlignment w:val="baseline"/>
    </w:pPr>
    <w:rPr>
      <w:rFonts w:ascii="宋体"/>
      <w:kern w:val="0"/>
      <w:szCs w:val="20"/>
    </w:rPr>
  </w:style>
  <w:style w:type="paragraph" w:customStyle="1" w:styleId="1369">
    <w:name w:val="正文格式72"/>
    <w:basedOn w:val="1"/>
    <w:autoRedefine/>
    <w:qFormat/>
    <w:uiPriority w:val="0"/>
    <w:pPr>
      <w:spacing w:line="360" w:lineRule="auto"/>
      <w:ind w:firstLine="482"/>
    </w:pPr>
    <w:rPr>
      <w:rFonts w:ascii="宋体" w:hAnsi="宋体"/>
      <w:sz w:val="24"/>
    </w:rPr>
  </w:style>
  <w:style w:type="paragraph" w:customStyle="1" w:styleId="1370">
    <w:name w:val="5号表文"/>
    <w:autoRedefine/>
    <w:qFormat/>
    <w:uiPriority w:val="0"/>
    <w:pPr>
      <w:widowControl w:val="0"/>
      <w:autoSpaceDE w:val="0"/>
      <w:adjustRightInd w:val="0"/>
      <w:snapToGrid w:val="0"/>
      <w:jc w:val="center"/>
    </w:pPr>
    <w:rPr>
      <w:rFonts w:ascii="宋体" w:hAnsi="宋体" w:eastAsia="宋体" w:cs="Times New Roman"/>
      <w:kern w:val="2"/>
      <w:sz w:val="21"/>
      <w:szCs w:val="21"/>
      <w:lang w:val="en-US" w:eastAsia="zh-CN" w:bidi="ar-SA"/>
    </w:rPr>
  </w:style>
  <w:style w:type="paragraph" w:customStyle="1" w:styleId="1371">
    <w:name w:val="标准3"/>
    <w:basedOn w:val="1"/>
    <w:autoRedefine/>
    <w:qFormat/>
    <w:uiPriority w:val="0"/>
    <w:pPr>
      <w:adjustRightInd w:val="0"/>
      <w:spacing w:before="120" w:line="336" w:lineRule="auto"/>
      <w:jc w:val="center"/>
      <w:textAlignment w:val="baseline"/>
    </w:pPr>
    <w:rPr>
      <w:rFonts w:ascii="黑体" w:eastAsia="黑体"/>
      <w:szCs w:val="20"/>
    </w:rPr>
  </w:style>
  <w:style w:type="paragraph" w:customStyle="1" w:styleId="1372">
    <w:name w:val="黑体三号33"/>
    <w:basedOn w:val="416"/>
    <w:autoRedefine/>
    <w:qFormat/>
    <w:uiPriority w:val="0"/>
    <w:pPr>
      <w:jc w:val="center"/>
    </w:pPr>
    <w:rPr>
      <w:rFonts w:ascii="黑体" w:hAnsi="宋体" w:eastAsia="黑体" w:cs="宋体"/>
      <w:bCs/>
      <w:spacing w:val="0"/>
      <w:sz w:val="32"/>
    </w:rPr>
  </w:style>
  <w:style w:type="paragraph" w:customStyle="1" w:styleId="1373">
    <w:name w:val="表内字体"/>
    <w:basedOn w:val="1"/>
    <w:autoRedefine/>
    <w:qFormat/>
    <w:uiPriority w:val="99"/>
    <w:pPr>
      <w:jc w:val="center"/>
    </w:pPr>
    <w:rPr>
      <w:rFonts w:hAnsi="宋体" w:eastAsia="华文中宋"/>
      <w:szCs w:val="28"/>
    </w:rPr>
  </w:style>
  <w:style w:type="paragraph" w:customStyle="1" w:styleId="1374">
    <w:name w:val="xl144"/>
    <w:basedOn w:val="1"/>
    <w:autoRedefine/>
    <w:qFormat/>
    <w:uiPriority w:val="99"/>
    <w:pPr>
      <w:widowControl/>
      <w:pBdr>
        <w:left w:val="single" w:color="auto" w:sz="4"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375">
    <w:name w:val="表格内字体22"/>
    <w:basedOn w:val="416"/>
    <w:next w:val="416"/>
    <w:autoRedefine/>
    <w:qFormat/>
    <w:uiPriority w:val="0"/>
    <w:pPr>
      <w:spacing w:line="240" w:lineRule="auto"/>
      <w:ind w:firstLine="0"/>
      <w:jc w:val="center"/>
    </w:pPr>
    <w:rPr>
      <w:rFonts w:ascii="宋体" w:hAnsi="宋体"/>
      <w:b w:val="0"/>
      <w:spacing w:val="0"/>
      <w:szCs w:val="24"/>
    </w:rPr>
  </w:style>
  <w:style w:type="paragraph" w:customStyle="1" w:styleId="1376">
    <w:name w:val="正文.14"/>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377">
    <w:name w:val="表格样式2"/>
    <w:basedOn w:val="1"/>
    <w:autoRedefine/>
    <w:qFormat/>
    <w:uiPriority w:val="99"/>
    <w:pPr>
      <w:spacing w:line="320" w:lineRule="exact"/>
      <w:jc w:val="center"/>
    </w:pPr>
    <w:rPr>
      <w:color w:val="000000"/>
      <w:szCs w:val="21"/>
    </w:rPr>
  </w:style>
  <w:style w:type="paragraph" w:customStyle="1" w:styleId="1378">
    <w:name w:val="高段文"/>
    <w:basedOn w:val="1"/>
    <w:autoRedefine/>
    <w:qFormat/>
    <w:uiPriority w:val="99"/>
    <w:pPr>
      <w:spacing w:line="300" w:lineRule="auto"/>
      <w:ind w:firstLine="200" w:firstLineChars="200"/>
    </w:pPr>
    <w:rPr>
      <w:rFonts w:ascii="Arial" w:hAnsi="Arial" w:eastAsia="楷体_GB2312"/>
      <w:sz w:val="28"/>
      <w:szCs w:val="28"/>
    </w:rPr>
  </w:style>
  <w:style w:type="paragraph" w:customStyle="1" w:styleId="1379">
    <w:name w:val="图题54"/>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1380">
    <w:name w:val="Char Char Char Char1 Char Char Char12"/>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381">
    <w:name w:val="宋体 行距: 固定值 12 磅"/>
    <w:basedOn w:val="57"/>
    <w:autoRedefine/>
    <w:qFormat/>
    <w:uiPriority w:val="39"/>
    <w:rPr>
      <w:rFonts w:ascii="Calibri" w:hAnsi="Calibri"/>
      <w:szCs w:val="18"/>
      <w:lang w:val="en-US"/>
    </w:rPr>
  </w:style>
  <w:style w:type="paragraph" w:customStyle="1" w:styleId="1382">
    <w:name w:val="正文修改24"/>
    <w:basedOn w:val="192"/>
    <w:autoRedefine/>
    <w:qFormat/>
    <w:uiPriority w:val="0"/>
    <w:rPr>
      <w:rFonts w:hAnsi="宋体"/>
      <w:color w:val="000000"/>
    </w:rPr>
  </w:style>
  <w:style w:type="paragraph" w:customStyle="1" w:styleId="1383">
    <w:name w:val="表内5中411"/>
    <w:basedOn w:val="1"/>
    <w:autoRedefine/>
    <w:qFormat/>
    <w:uiPriority w:val="0"/>
    <w:pPr>
      <w:adjustRightInd w:val="0"/>
      <w:snapToGrid w:val="0"/>
      <w:jc w:val="center"/>
    </w:pPr>
    <w:rPr>
      <w:rFonts w:ascii="宋体"/>
      <w:bCs/>
      <w:szCs w:val="20"/>
    </w:rPr>
  </w:style>
  <w:style w:type="paragraph" w:customStyle="1" w:styleId="1384">
    <w:name w:val="jcss"/>
    <w:basedOn w:val="1"/>
    <w:autoRedefine/>
    <w:qFormat/>
    <w:uiPriority w:val="39"/>
    <w:pPr>
      <w:widowControl/>
      <w:spacing w:before="100" w:beforeAutospacing="1" w:after="100" w:afterAutospacing="1" w:line="375" w:lineRule="atLeast"/>
      <w:jc w:val="left"/>
    </w:pPr>
    <w:rPr>
      <w:rFonts w:ascii="宋体" w:hAnsi="宋体" w:cs="宋体"/>
      <w:color w:val="000000"/>
      <w:kern w:val="0"/>
      <w:sz w:val="18"/>
      <w:szCs w:val="18"/>
    </w:rPr>
  </w:style>
  <w:style w:type="paragraph" w:customStyle="1" w:styleId="1385">
    <w:name w:val="标题水污染"/>
    <w:basedOn w:val="6"/>
    <w:autoRedefine/>
    <w:qFormat/>
    <w:uiPriority w:val="99"/>
    <w:pPr>
      <w:tabs>
        <w:tab w:val="left" w:pos="0"/>
      </w:tabs>
      <w:spacing w:before="0" w:after="0" w:line="360" w:lineRule="auto"/>
      <w:ind w:left="1890" w:hanging="420"/>
      <w:jc w:val="left"/>
    </w:pPr>
    <w:rPr>
      <w:rFonts w:ascii="宋体" w:eastAsia="宋体"/>
      <w:b w:val="0"/>
      <w:color w:val="000000"/>
      <w:sz w:val="24"/>
    </w:rPr>
  </w:style>
  <w:style w:type="paragraph" w:customStyle="1" w:styleId="1386">
    <w:name w:val="1 Char Char Char Char Char Char Char Char"/>
    <w:basedOn w:val="1"/>
    <w:autoRedefine/>
    <w:qFormat/>
    <w:uiPriority w:val="39"/>
    <w:rPr>
      <w:sz w:val="24"/>
    </w:rPr>
  </w:style>
  <w:style w:type="paragraph" w:customStyle="1" w:styleId="1387">
    <w:name w:val="Char117"/>
    <w:basedOn w:val="1"/>
    <w:autoRedefine/>
    <w:qFormat/>
    <w:uiPriority w:val="0"/>
    <w:pPr>
      <w:ind w:left="-48"/>
    </w:pPr>
  </w:style>
  <w:style w:type="paragraph" w:customStyle="1" w:styleId="1388">
    <w:name w:val="xl125"/>
    <w:basedOn w:val="1"/>
    <w:autoRedefine/>
    <w:qFormat/>
    <w:uiPriority w:val="99"/>
    <w:pPr>
      <w:widowControl/>
      <w:spacing w:before="100" w:beforeAutospacing="1" w:after="100" w:afterAutospacing="1"/>
      <w:jc w:val="left"/>
      <w:textAlignment w:val="center"/>
    </w:pPr>
    <w:rPr>
      <w:rFonts w:ascii="Arial Unicode MS" w:hAnsi="Arial Unicode MS"/>
      <w:kern w:val="0"/>
      <w:sz w:val="16"/>
      <w:szCs w:val="16"/>
    </w:rPr>
  </w:style>
  <w:style w:type="paragraph" w:customStyle="1" w:styleId="1389">
    <w:name w:val="默认段落字体 Para Char Char Char Char22"/>
    <w:basedOn w:val="1"/>
    <w:autoRedefine/>
    <w:qFormat/>
    <w:uiPriority w:val="0"/>
  </w:style>
  <w:style w:type="paragraph" w:customStyle="1" w:styleId="1390">
    <w:name w:val="验方正文"/>
    <w:basedOn w:val="1"/>
    <w:autoRedefine/>
    <w:qFormat/>
    <w:uiPriority w:val="39"/>
    <w:pPr>
      <w:adjustRightInd w:val="0"/>
      <w:spacing w:line="312" w:lineRule="atLeast"/>
      <w:ind w:firstLine="686"/>
      <w:textAlignment w:val="baseline"/>
    </w:pPr>
    <w:rPr>
      <w:rFonts w:ascii="仿宋_GB2312" w:hAnsi="Courier New" w:eastAsia="仿宋_GB2312"/>
      <w:kern w:val="0"/>
      <w:sz w:val="28"/>
      <w:szCs w:val="20"/>
    </w:rPr>
  </w:style>
  <w:style w:type="paragraph" w:customStyle="1" w:styleId="1391">
    <w:name w:val="表中文字122"/>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1392">
    <w:name w:val="正文格式64"/>
    <w:basedOn w:val="1"/>
    <w:autoRedefine/>
    <w:qFormat/>
    <w:uiPriority w:val="0"/>
    <w:pPr>
      <w:spacing w:line="360" w:lineRule="auto"/>
      <w:ind w:firstLine="482"/>
    </w:pPr>
    <w:rPr>
      <w:rFonts w:ascii="宋体" w:hAnsi="宋体"/>
      <w:sz w:val="24"/>
    </w:rPr>
  </w:style>
  <w:style w:type="paragraph" w:customStyle="1" w:styleId="1393">
    <w:name w:val="xl109"/>
    <w:basedOn w:val="1"/>
    <w:autoRedefine/>
    <w:qFormat/>
    <w:uiPriority w:val="99"/>
    <w:pPr>
      <w:widowControl/>
      <w:pBdr>
        <w:top w:val="single" w:color="auto" w:sz="12"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394">
    <w:name w:val="黑体三号311"/>
    <w:basedOn w:val="416"/>
    <w:autoRedefine/>
    <w:qFormat/>
    <w:uiPriority w:val="0"/>
    <w:pPr>
      <w:jc w:val="center"/>
    </w:pPr>
    <w:rPr>
      <w:rFonts w:ascii="黑体" w:hAnsi="宋体" w:eastAsia="黑体" w:cs="宋体"/>
      <w:bCs/>
      <w:spacing w:val="0"/>
      <w:sz w:val="32"/>
    </w:rPr>
  </w:style>
  <w:style w:type="paragraph" w:customStyle="1" w:styleId="1395">
    <w:name w:val="表格内字体222"/>
    <w:basedOn w:val="416"/>
    <w:next w:val="416"/>
    <w:autoRedefine/>
    <w:qFormat/>
    <w:uiPriority w:val="0"/>
    <w:pPr>
      <w:spacing w:line="240" w:lineRule="auto"/>
      <w:ind w:firstLine="0"/>
      <w:jc w:val="center"/>
    </w:pPr>
    <w:rPr>
      <w:rFonts w:ascii="宋体" w:hAnsi="宋体"/>
      <w:b w:val="0"/>
      <w:spacing w:val="0"/>
      <w:szCs w:val="24"/>
    </w:rPr>
  </w:style>
  <w:style w:type="paragraph" w:customStyle="1" w:styleId="1396">
    <w:name w:val="目录B"/>
    <w:basedOn w:val="1"/>
    <w:autoRedefine/>
    <w:qFormat/>
    <w:uiPriority w:val="99"/>
    <w:pPr>
      <w:spacing w:line="480" w:lineRule="exact"/>
      <w:outlineLvl w:val="1"/>
    </w:pPr>
    <w:rPr>
      <w:rFonts w:ascii="黑体" w:eastAsia="黑体"/>
      <w:sz w:val="28"/>
      <w:szCs w:val="28"/>
    </w:rPr>
  </w:style>
  <w:style w:type="paragraph" w:customStyle="1" w:styleId="1397">
    <w:name w:val="xl27"/>
    <w:basedOn w:val="1"/>
    <w:autoRedefine/>
    <w:qFormat/>
    <w:uiPriority w:val="0"/>
    <w:pPr>
      <w:widowControl/>
      <w:pBdr>
        <w:left w:val="single" w:color="auto" w:sz="12" w:space="0"/>
        <w:bottom w:val="single" w:color="auto" w:sz="12" w:space="0"/>
      </w:pBdr>
      <w:spacing w:before="100" w:beforeAutospacing="1" w:after="100" w:afterAutospacing="1"/>
      <w:jc w:val="left"/>
    </w:pPr>
    <w:rPr>
      <w:rFonts w:ascii="Arial Unicode MS" w:hAnsi="Arial Unicode MS"/>
      <w:kern w:val="0"/>
    </w:rPr>
  </w:style>
  <w:style w:type="paragraph" w:customStyle="1" w:styleId="1398">
    <w:name w:val="样式 样式 标题2.2 + 段前: 0.5 行2"/>
    <w:basedOn w:val="1399"/>
    <w:autoRedefine/>
    <w:qFormat/>
    <w:uiPriority w:val="99"/>
    <w:pPr>
      <w:spacing w:beforeLines="0"/>
    </w:pPr>
  </w:style>
  <w:style w:type="paragraph" w:customStyle="1" w:styleId="1399">
    <w:name w:val="样式 标题2.2"/>
    <w:basedOn w:val="1400"/>
    <w:autoRedefine/>
    <w:qFormat/>
    <w:uiPriority w:val="99"/>
    <w:pPr>
      <w:outlineLvl w:val="2"/>
    </w:pPr>
    <w:rPr>
      <w:rFonts w:eastAsia="宋体"/>
    </w:rPr>
  </w:style>
  <w:style w:type="paragraph" w:customStyle="1" w:styleId="1400">
    <w:name w:val="标题3  2.6.1"/>
    <w:basedOn w:val="4"/>
    <w:autoRedefine/>
    <w:qFormat/>
    <w:uiPriority w:val="99"/>
    <w:pPr>
      <w:spacing w:beforeLines="50" w:after="0" w:line="360" w:lineRule="auto"/>
    </w:pPr>
    <w:rPr>
      <w:rFonts w:ascii="Times New Roman" w:hAnsi="Times New Roman" w:eastAsia="黑体" w:cs="宋体"/>
      <w:sz w:val="28"/>
      <w:szCs w:val="24"/>
    </w:rPr>
  </w:style>
  <w:style w:type="paragraph" w:customStyle="1" w:styleId="1401">
    <w:name w:val="图题21"/>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1402">
    <w:name w:val="表内文字小223"/>
    <w:basedOn w:val="1"/>
    <w:autoRedefine/>
    <w:qFormat/>
    <w:uiPriority w:val="0"/>
    <w:pPr>
      <w:adjustRightInd w:val="0"/>
      <w:snapToGrid w:val="0"/>
      <w:jc w:val="center"/>
    </w:pPr>
    <w:rPr>
      <w:rFonts w:ascii="宋体" w:hAnsi="Times"/>
      <w:bCs/>
      <w:color w:val="000000"/>
      <w:szCs w:val="20"/>
    </w:rPr>
  </w:style>
  <w:style w:type="paragraph" w:customStyle="1" w:styleId="1403">
    <w:name w:val="Char Char Char Char Char Char Char Char Char1 Char Char Char Char Char Char Char2"/>
    <w:basedOn w:val="1"/>
    <w:autoRedefine/>
    <w:qFormat/>
    <w:uiPriority w:val="39"/>
    <w:rPr>
      <w:szCs w:val="21"/>
    </w:rPr>
  </w:style>
  <w:style w:type="paragraph" w:customStyle="1" w:styleId="1404">
    <w:name w:val="Char Char1 Char Char Char Char2"/>
    <w:basedOn w:val="1"/>
    <w:autoRedefine/>
    <w:qFormat/>
    <w:uiPriority w:val="99"/>
    <w:rPr>
      <w:szCs w:val="20"/>
    </w:rPr>
  </w:style>
  <w:style w:type="paragraph" w:customStyle="1" w:styleId="1405">
    <w:name w:val="表内文字小3124"/>
    <w:basedOn w:val="1"/>
    <w:autoRedefine/>
    <w:qFormat/>
    <w:uiPriority w:val="0"/>
    <w:pPr>
      <w:adjustRightInd w:val="0"/>
      <w:snapToGrid w:val="0"/>
      <w:jc w:val="center"/>
    </w:pPr>
    <w:rPr>
      <w:rFonts w:ascii="宋体" w:hAnsi="Times" w:cs="宋体"/>
      <w:bCs/>
      <w:color w:val="003366"/>
      <w:szCs w:val="20"/>
    </w:rPr>
  </w:style>
  <w:style w:type="paragraph" w:customStyle="1" w:styleId="1406">
    <w:name w:val="表内文字小2211"/>
    <w:basedOn w:val="1"/>
    <w:autoRedefine/>
    <w:qFormat/>
    <w:uiPriority w:val="0"/>
    <w:pPr>
      <w:adjustRightInd w:val="0"/>
      <w:snapToGrid w:val="0"/>
      <w:jc w:val="center"/>
    </w:pPr>
    <w:rPr>
      <w:rFonts w:ascii="宋体" w:hAnsi="Times"/>
      <w:bCs/>
      <w:color w:val="000000"/>
      <w:szCs w:val="20"/>
    </w:rPr>
  </w:style>
  <w:style w:type="paragraph" w:customStyle="1" w:styleId="1407">
    <w:name w:val="表内文字小232"/>
    <w:basedOn w:val="1"/>
    <w:autoRedefine/>
    <w:qFormat/>
    <w:uiPriority w:val="0"/>
    <w:pPr>
      <w:adjustRightInd w:val="0"/>
      <w:snapToGrid w:val="0"/>
      <w:jc w:val="center"/>
    </w:pPr>
    <w:rPr>
      <w:rFonts w:ascii="宋体" w:hAnsi="Times"/>
      <w:bCs/>
      <w:color w:val="000000"/>
      <w:szCs w:val="20"/>
    </w:rPr>
  </w:style>
  <w:style w:type="paragraph" w:customStyle="1" w:styleId="1408">
    <w:name w:val="xl143"/>
    <w:basedOn w:val="1"/>
    <w:autoRedefine/>
    <w:qFormat/>
    <w:uiPriority w:val="99"/>
    <w:pPr>
      <w:widowControl/>
      <w:pBdr>
        <w:top w:val="single" w:color="auto" w:sz="8" w:space="0"/>
        <w:left w:val="single" w:color="auto" w:sz="4"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409">
    <w:name w:val="正文格式711"/>
    <w:basedOn w:val="1"/>
    <w:autoRedefine/>
    <w:qFormat/>
    <w:uiPriority w:val="0"/>
    <w:pPr>
      <w:spacing w:line="360" w:lineRule="auto"/>
      <w:ind w:firstLine="482"/>
    </w:pPr>
    <w:rPr>
      <w:rFonts w:ascii="宋体" w:hAnsi="宋体"/>
      <w:sz w:val="24"/>
    </w:rPr>
  </w:style>
  <w:style w:type="paragraph" w:customStyle="1" w:styleId="1410">
    <w:name w:val="TOC 标题1"/>
    <w:basedOn w:val="3"/>
    <w:next w:val="1"/>
    <w:autoRedefine/>
    <w:qFormat/>
    <w:uiPriority w:val="9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1411">
    <w:name w:val="公式"/>
    <w:basedOn w:val="1"/>
    <w:autoRedefine/>
    <w:qFormat/>
    <w:uiPriority w:val="0"/>
    <w:pPr>
      <w:adjustRightInd w:val="0"/>
      <w:snapToGrid w:val="0"/>
      <w:spacing w:line="360" w:lineRule="auto"/>
      <w:ind w:right="-11" w:firstLine="573"/>
    </w:pPr>
    <w:rPr>
      <w:rFonts w:ascii="仿宋_GB2312" w:eastAsia="仿宋_GB2312"/>
      <w:position w:val="-28"/>
      <w:sz w:val="28"/>
      <w:szCs w:val="20"/>
    </w:rPr>
  </w:style>
  <w:style w:type="paragraph" w:customStyle="1" w:styleId="1412">
    <w:name w:val="图题34"/>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1413">
    <w:name w:val="样式 宋体 小四 左 段前: 6 磅 段后: 6 磅 行距: 1.5 倍行距2"/>
    <w:basedOn w:val="1"/>
    <w:autoRedefine/>
    <w:qFormat/>
    <w:uiPriority w:val="39"/>
    <w:pPr>
      <w:spacing w:line="300" w:lineRule="exact"/>
      <w:jc w:val="center"/>
    </w:pPr>
    <w:rPr>
      <w:szCs w:val="21"/>
    </w:rPr>
  </w:style>
  <w:style w:type="paragraph" w:customStyle="1" w:styleId="1414">
    <w:name w:val="表111"/>
    <w:basedOn w:val="1"/>
    <w:autoRedefine/>
    <w:qFormat/>
    <w:uiPriority w:val="0"/>
    <w:pPr>
      <w:adjustRightInd w:val="0"/>
      <w:snapToGrid w:val="0"/>
      <w:jc w:val="center"/>
    </w:pPr>
    <w:rPr>
      <w:rFonts w:eastAsia="仿宋_GB2312"/>
      <w:sz w:val="24"/>
    </w:rPr>
  </w:style>
  <w:style w:type="paragraph" w:customStyle="1" w:styleId="1415">
    <w:name w:val="正文缩12"/>
    <w:basedOn w:val="1"/>
    <w:autoRedefine/>
    <w:qFormat/>
    <w:uiPriority w:val="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1416">
    <w:name w:val="样式 样式 标题 4 + 加粗 + 黑色"/>
    <w:basedOn w:val="1"/>
    <w:autoRedefine/>
    <w:qFormat/>
    <w:uiPriority w:val="39"/>
    <w:pPr>
      <w:keepNext/>
      <w:keepLines/>
      <w:spacing w:line="360" w:lineRule="auto"/>
      <w:ind w:left="709" w:hanging="709"/>
      <w:outlineLvl w:val="3"/>
    </w:pPr>
    <w:rPr>
      <w:color w:val="000000"/>
      <w:sz w:val="24"/>
      <w:szCs w:val="28"/>
    </w:rPr>
  </w:style>
  <w:style w:type="paragraph" w:customStyle="1" w:styleId="1417">
    <w:name w:val="正文格式511"/>
    <w:basedOn w:val="1"/>
    <w:autoRedefine/>
    <w:qFormat/>
    <w:uiPriority w:val="0"/>
    <w:pPr>
      <w:spacing w:line="360" w:lineRule="auto"/>
      <w:ind w:firstLine="482"/>
    </w:pPr>
    <w:rPr>
      <w:rFonts w:ascii="宋体" w:hAnsi="宋体"/>
      <w:sz w:val="24"/>
    </w:rPr>
  </w:style>
  <w:style w:type="paragraph" w:customStyle="1" w:styleId="1418">
    <w:name w:val="样式 Times New Roman 四号 加粗 行距: 1.5 倍行距"/>
    <w:basedOn w:val="1419"/>
    <w:autoRedefine/>
    <w:qFormat/>
    <w:uiPriority w:val="99"/>
    <w:rPr>
      <w:bCs/>
      <w:sz w:val="24"/>
    </w:rPr>
  </w:style>
  <w:style w:type="paragraph" w:customStyle="1" w:styleId="1419">
    <w:name w:val="样式 标题 3条标题1.1.1H3BOD 0Heading 3 - oldLevel 3 Headh33rd le...1"/>
    <w:basedOn w:val="5"/>
    <w:autoRedefine/>
    <w:qFormat/>
    <w:uiPriority w:val="99"/>
    <w:pPr>
      <w:spacing w:beforeLines="50" w:after="0" w:line="360" w:lineRule="auto"/>
    </w:pPr>
    <w:rPr>
      <w:rFonts w:cs="宋体"/>
      <w:bCs w:val="0"/>
      <w:kern w:val="0"/>
      <w:sz w:val="28"/>
      <w:szCs w:val="20"/>
      <w:lang w:val="en-US"/>
    </w:rPr>
  </w:style>
  <w:style w:type="paragraph" w:customStyle="1" w:styleId="1420">
    <w:name w:val="xl29"/>
    <w:basedOn w:val="1"/>
    <w:autoRedefine/>
    <w:qFormat/>
    <w:uiPriority w:val="0"/>
    <w:pPr>
      <w:widowControl/>
      <w:spacing w:before="100" w:beforeAutospacing="1" w:after="100" w:afterAutospacing="1"/>
      <w:jc w:val="left"/>
      <w:textAlignment w:val="center"/>
    </w:pPr>
    <w:rPr>
      <w:kern w:val="0"/>
      <w:sz w:val="16"/>
      <w:szCs w:val="16"/>
    </w:rPr>
  </w:style>
  <w:style w:type="paragraph" w:customStyle="1" w:styleId="1421">
    <w:name w:val="Char Char Char Char Char Char Char18"/>
    <w:basedOn w:val="1"/>
    <w:autoRedefine/>
    <w:qFormat/>
    <w:uiPriority w:val="0"/>
  </w:style>
  <w:style w:type="paragraph" w:customStyle="1" w:styleId="1422">
    <w:name w:val="燕山正文1124"/>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1423">
    <w:name w:val="正文格式＝311"/>
    <w:basedOn w:val="416"/>
    <w:next w:val="416"/>
    <w:autoRedefine/>
    <w:qFormat/>
    <w:uiPriority w:val="0"/>
    <w:rPr>
      <w:rFonts w:ascii="宋体" w:hAnsi="宋体"/>
      <w:b w:val="0"/>
      <w:spacing w:val="0"/>
      <w:sz w:val="24"/>
      <w:szCs w:val="24"/>
    </w:rPr>
  </w:style>
  <w:style w:type="paragraph" w:customStyle="1" w:styleId="1424">
    <w:name w:val="Char2"/>
    <w:basedOn w:val="1"/>
    <w:autoRedefine/>
    <w:qFormat/>
    <w:uiPriority w:val="0"/>
    <w:rPr>
      <w:sz w:val="24"/>
      <w:szCs w:val="20"/>
    </w:rPr>
  </w:style>
  <w:style w:type="paragraph" w:customStyle="1" w:styleId="1425">
    <w:name w:val="列出段落5"/>
    <w:basedOn w:val="1"/>
    <w:autoRedefine/>
    <w:qFormat/>
    <w:uiPriority w:val="39"/>
    <w:pPr>
      <w:ind w:firstLine="420" w:firstLineChars="200"/>
    </w:pPr>
    <w:rPr>
      <w:szCs w:val="22"/>
    </w:rPr>
  </w:style>
  <w:style w:type="paragraph" w:customStyle="1" w:styleId="1426">
    <w:name w:val="五级无标题条"/>
    <w:basedOn w:val="1"/>
    <w:autoRedefine/>
    <w:qFormat/>
    <w:uiPriority w:val="99"/>
    <w:rPr>
      <w:szCs w:val="20"/>
    </w:rPr>
  </w:style>
  <w:style w:type="paragraph" w:customStyle="1" w:styleId="1427">
    <w:name w:val="表格内字体63"/>
    <w:basedOn w:val="416"/>
    <w:next w:val="416"/>
    <w:autoRedefine/>
    <w:qFormat/>
    <w:uiPriority w:val="0"/>
    <w:pPr>
      <w:spacing w:line="240" w:lineRule="auto"/>
      <w:ind w:firstLine="0"/>
      <w:jc w:val="center"/>
    </w:pPr>
    <w:rPr>
      <w:rFonts w:ascii="宋体" w:hAnsi="宋体"/>
      <w:b w:val="0"/>
      <w:spacing w:val="0"/>
      <w:szCs w:val="24"/>
    </w:rPr>
  </w:style>
  <w:style w:type="paragraph" w:customStyle="1" w:styleId="1428">
    <w:name w:val="2.2.1.1"/>
    <w:basedOn w:val="1"/>
    <w:autoRedefine/>
    <w:qFormat/>
    <w:uiPriority w:val="99"/>
    <w:pPr>
      <w:tabs>
        <w:tab w:val="left" w:pos="0"/>
      </w:tabs>
      <w:spacing w:line="360" w:lineRule="auto"/>
      <w:ind w:left="644" w:firstLine="200" w:firstLineChars="200"/>
    </w:pPr>
    <w:rPr>
      <w:rFonts w:ascii="宋体" w:hAnsi="宋体"/>
      <w:color w:val="000000"/>
      <w:sz w:val="24"/>
      <w:szCs w:val="21"/>
    </w:rPr>
  </w:style>
  <w:style w:type="paragraph" w:customStyle="1" w:styleId="1429">
    <w:name w:val="xl194"/>
    <w:basedOn w:val="1"/>
    <w:autoRedefine/>
    <w:qFormat/>
    <w:uiPriority w:val="99"/>
    <w:pPr>
      <w:widowControl/>
      <w:spacing w:before="100" w:beforeAutospacing="1" w:after="100" w:afterAutospacing="1"/>
      <w:jc w:val="center"/>
    </w:pPr>
    <w:rPr>
      <w:kern w:val="0"/>
      <w:sz w:val="16"/>
      <w:szCs w:val="16"/>
    </w:rPr>
  </w:style>
  <w:style w:type="paragraph" w:customStyle="1" w:styleId="1430">
    <w:name w:val="Char Char2 Char Char Char Char5"/>
    <w:basedOn w:val="1"/>
    <w:autoRedefine/>
    <w:qFormat/>
    <w:uiPriority w:val="0"/>
  </w:style>
  <w:style w:type="paragraph" w:customStyle="1" w:styleId="1431">
    <w:name w:val="样式 样式2.4.4 + 段前: 0.5 行"/>
    <w:basedOn w:val="1432"/>
    <w:autoRedefine/>
    <w:qFormat/>
    <w:uiPriority w:val="99"/>
    <w:pPr>
      <w:tabs>
        <w:tab w:val="left" w:pos="0"/>
        <w:tab w:val="left" w:pos="360"/>
      </w:tabs>
      <w:spacing w:beforeLines="0"/>
      <w:ind w:left="360" w:hanging="360"/>
    </w:pPr>
    <w:rPr>
      <w:rFonts w:cs="宋体"/>
      <w:b/>
      <w:szCs w:val="20"/>
    </w:rPr>
  </w:style>
  <w:style w:type="paragraph" w:customStyle="1" w:styleId="1432">
    <w:name w:val="样式2.5.3"/>
    <w:basedOn w:val="1"/>
    <w:autoRedefine/>
    <w:qFormat/>
    <w:uiPriority w:val="99"/>
    <w:pPr>
      <w:spacing w:beforeLines="50" w:line="360" w:lineRule="auto"/>
      <w:outlineLvl w:val="3"/>
    </w:pPr>
    <w:rPr>
      <w:color w:val="000000"/>
      <w:sz w:val="24"/>
    </w:rPr>
  </w:style>
  <w:style w:type="paragraph" w:customStyle="1" w:styleId="1433">
    <w:name w:val="Char Char Char Char Char2"/>
    <w:basedOn w:val="1"/>
    <w:autoRedefine/>
    <w:qFormat/>
    <w:uiPriority w:val="99"/>
    <w:rPr>
      <w:sz w:val="24"/>
    </w:rPr>
  </w:style>
  <w:style w:type="paragraph" w:customStyle="1" w:styleId="1434">
    <w:name w:val="正文格式＝23"/>
    <w:basedOn w:val="416"/>
    <w:next w:val="416"/>
    <w:autoRedefine/>
    <w:qFormat/>
    <w:uiPriority w:val="0"/>
    <w:rPr>
      <w:rFonts w:ascii="宋体" w:hAnsi="宋体"/>
      <w:b w:val="0"/>
      <w:spacing w:val="0"/>
      <w:sz w:val="24"/>
      <w:szCs w:val="24"/>
    </w:rPr>
  </w:style>
  <w:style w:type="paragraph" w:customStyle="1" w:styleId="1435">
    <w:name w:val="正文格式16"/>
    <w:basedOn w:val="1"/>
    <w:autoRedefine/>
    <w:qFormat/>
    <w:uiPriority w:val="0"/>
    <w:pPr>
      <w:spacing w:line="360" w:lineRule="auto"/>
      <w:ind w:firstLine="482"/>
    </w:pPr>
    <w:rPr>
      <w:rFonts w:ascii="宋体" w:hAnsi="宋体"/>
      <w:sz w:val="24"/>
    </w:rPr>
  </w:style>
  <w:style w:type="paragraph" w:customStyle="1" w:styleId="1436">
    <w:name w:val="正文格式＝412"/>
    <w:basedOn w:val="416"/>
    <w:next w:val="416"/>
    <w:autoRedefine/>
    <w:qFormat/>
    <w:uiPriority w:val="0"/>
    <w:rPr>
      <w:rFonts w:ascii="宋体" w:hAnsi="宋体"/>
      <w:b w:val="0"/>
      <w:spacing w:val="0"/>
      <w:sz w:val="24"/>
      <w:szCs w:val="24"/>
    </w:rPr>
  </w:style>
  <w:style w:type="paragraph" w:customStyle="1" w:styleId="1437">
    <w:name w:val="默认段落字体 Para Char Char Char1 Char Char Char"/>
    <w:basedOn w:val="1"/>
    <w:autoRedefine/>
    <w:qFormat/>
    <w:uiPriority w:val="99"/>
    <w:rPr>
      <w:sz w:val="24"/>
      <w:szCs w:val="20"/>
    </w:rPr>
  </w:style>
  <w:style w:type="paragraph" w:customStyle="1" w:styleId="1438">
    <w:name w:val="图题11"/>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1439">
    <w:name w:val="正文缩进31"/>
    <w:basedOn w:val="1"/>
    <w:autoRedefine/>
    <w:qFormat/>
    <w:uiPriority w:val="39"/>
    <w:pPr>
      <w:adjustRightInd w:val="0"/>
      <w:ind w:firstLine="420" w:firstLineChars="200"/>
      <w:textAlignment w:val="baseline"/>
    </w:pPr>
    <w:rPr>
      <w:rFonts w:hint="eastAsia" w:hAnsi="宋体"/>
      <w:sz w:val="24"/>
      <w:szCs w:val="20"/>
    </w:rPr>
  </w:style>
  <w:style w:type="paragraph" w:customStyle="1" w:styleId="1440">
    <w:name w:val="xl53"/>
    <w:basedOn w:val="1"/>
    <w:autoRedefine/>
    <w:qFormat/>
    <w:uiPriority w:val="0"/>
    <w:pPr>
      <w:widowControl/>
      <w:pBdr>
        <w:top w:val="single" w:color="auto" w:sz="12" w:space="0"/>
        <w:bottom w:val="single" w:color="auto" w:sz="12"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441">
    <w:name w:val="图表名称4"/>
    <w:basedOn w:val="86"/>
    <w:autoRedefine/>
    <w:qFormat/>
    <w:uiPriority w:val="0"/>
    <w:pPr>
      <w:widowControl/>
      <w:adjustRightInd w:val="0"/>
      <w:snapToGrid w:val="0"/>
      <w:spacing w:after="0" w:line="480" w:lineRule="exact"/>
      <w:ind w:firstLine="0" w:firstLineChars="0"/>
      <w:jc w:val="center"/>
    </w:pPr>
    <w:rPr>
      <w:rFonts w:ascii="宋体" w:hAnsi="宋体"/>
      <w:bCs/>
      <w:sz w:val="24"/>
      <w:szCs w:val="24"/>
    </w:rPr>
  </w:style>
  <w:style w:type="paragraph" w:customStyle="1" w:styleId="1442">
    <w:name w:val="xl141"/>
    <w:basedOn w:val="1"/>
    <w:autoRedefine/>
    <w:qFormat/>
    <w:uiPriority w:val="99"/>
    <w:pPr>
      <w:widowControl/>
      <w:spacing w:before="100" w:beforeAutospacing="1" w:after="100" w:afterAutospacing="1"/>
      <w:jc w:val="left"/>
    </w:pPr>
    <w:rPr>
      <w:rFonts w:ascii="Arial Unicode MS" w:hAnsi="Arial Unicode MS"/>
      <w:kern w:val="0"/>
      <w:sz w:val="16"/>
      <w:szCs w:val="16"/>
    </w:rPr>
  </w:style>
  <w:style w:type="paragraph" w:customStyle="1" w:styleId="1443">
    <w:name w:val="题1"/>
    <w:basedOn w:val="1"/>
    <w:autoRedefine/>
    <w:qFormat/>
    <w:uiPriority w:val="99"/>
    <w:pPr>
      <w:jc w:val="center"/>
    </w:pPr>
    <w:rPr>
      <w:rFonts w:eastAsia="黑体"/>
      <w:b/>
      <w:bCs/>
      <w:sz w:val="30"/>
    </w:rPr>
  </w:style>
  <w:style w:type="paragraph" w:customStyle="1" w:styleId="1444">
    <w:name w:val="表格内字体11"/>
    <w:basedOn w:val="416"/>
    <w:autoRedefine/>
    <w:qFormat/>
    <w:uiPriority w:val="0"/>
    <w:pPr>
      <w:spacing w:line="240" w:lineRule="auto"/>
      <w:ind w:firstLine="0"/>
      <w:jc w:val="center"/>
    </w:pPr>
    <w:rPr>
      <w:rFonts w:ascii="宋体" w:hAnsi="Times New Roman" w:cs="宋体"/>
      <w:b w:val="0"/>
      <w:spacing w:val="0"/>
    </w:rPr>
  </w:style>
  <w:style w:type="paragraph" w:customStyle="1" w:styleId="1445">
    <w:name w:val="正文格式＝24"/>
    <w:basedOn w:val="416"/>
    <w:next w:val="416"/>
    <w:autoRedefine/>
    <w:qFormat/>
    <w:uiPriority w:val="0"/>
    <w:rPr>
      <w:rFonts w:ascii="宋体" w:hAnsi="宋体"/>
      <w:b w:val="0"/>
      <w:spacing w:val="0"/>
      <w:sz w:val="24"/>
      <w:szCs w:val="24"/>
    </w:rPr>
  </w:style>
  <w:style w:type="paragraph" w:customStyle="1" w:styleId="1446">
    <w:name w:val="Char Char Char Char Char Char Char Char Char1 Char Char Char Char Char Char Char Char1 Char Char Char"/>
    <w:basedOn w:val="1"/>
    <w:autoRedefine/>
    <w:qFormat/>
    <w:uiPriority w:val="99"/>
    <w:pPr>
      <w:snapToGrid w:val="0"/>
      <w:spacing w:line="360" w:lineRule="auto"/>
      <w:ind w:firstLine="200" w:firstLineChars="200"/>
    </w:pPr>
    <w:rPr>
      <w:rFonts w:eastAsia="仿宋_GB2312"/>
      <w:sz w:val="24"/>
    </w:rPr>
  </w:style>
  <w:style w:type="paragraph" w:customStyle="1" w:styleId="1447">
    <w:name w:val="表格内字体54"/>
    <w:basedOn w:val="416"/>
    <w:next w:val="416"/>
    <w:autoRedefine/>
    <w:qFormat/>
    <w:uiPriority w:val="0"/>
    <w:pPr>
      <w:adjustRightInd w:val="0"/>
      <w:snapToGrid w:val="0"/>
      <w:spacing w:line="240" w:lineRule="auto"/>
      <w:ind w:firstLine="0"/>
    </w:pPr>
    <w:rPr>
      <w:rFonts w:ascii="宋体" w:hAnsi="宋体"/>
      <w:b w:val="0"/>
      <w:spacing w:val="0"/>
      <w:szCs w:val="24"/>
    </w:rPr>
  </w:style>
  <w:style w:type="paragraph" w:customStyle="1" w:styleId="1448">
    <w:name w:val="正文修改52"/>
    <w:basedOn w:val="192"/>
    <w:autoRedefine/>
    <w:qFormat/>
    <w:uiPriority w:val="0"/>
    <w:rPr>
      <w:rFonts w:hAnsi="宋体"/>
      <w:color w:val="000000"/>
    </w:rPr>
  </w:style>
  <w:style w:type="paragraph" w:customStyle="1" w:styleId="1449">
    <w:name w:val="Char3 Char Char Char"/>
    <w:basedOn w:val="1"/>
    <w:autoRedefine/>
    <w:qFormat/>
    <w:uiPriority w:val="99"/>
    <w:rPr>
      <w:sz w:val="28"/>
    </w:rPr>
  </w:style>
  <w:style w:type="paragraph" w:customStyle="1" w:styleId="1450">
    <w:name w:val="标题413"/>
    <w:basedOn w:val="6"/>
    <w:next w:val="1"/>
    <w:autoRedefine/>
    <w:qFormat/>
    <w:uiPriority w:val="0"/>
    <w:pPr>
      <w:spacing w:before="160" w:after="170" w:line="360" w:lineRule="auto"/>
      <w:ind w:left="0" w:firstLine="0"/>
    </w:pPr>
    <w:rPr>
      <w:rFonts w:ascii="黑体"/>
      <w:sz w:val="24"/>
    </w:rPr>
  </w:style>
  <w:style w:type="paragraph" w:customStyle="1" w:styleId="1451">
    <w:name w:val="CM15"/>
    <w:basedOn w:val="107"/>
    <w:next w:val="107"/>
    <w:autoRedefine/>
    <w:qFormat/>
    <w:uiPriority w:val="39"/>
    <w:pPr>
      <w:spacing w:line="440" w:lineRule="atLeast"/>
    </w:pPr>
    <w:rPr>
      <w:rFonts w:ascii="楷体_GB2312" w:hAnsi="Times New Roman" w:eastAsia="楷体_GB2312" w:cs="Times New Roman"/>
      <w:color w:val="auto"/>
    </w:rPr>
  </w:style>
  <w:style w:type="paragraph" w:customStyle="1" w:styleId="1452">
    <w:name w:val="正文格式214"/>
    <w:basedOn w:val="1"/>
    <w:autoRedefine/>
    <w:qFormat/>
    <w:uiPriority w:val="0"/>
    <w:pPr>
      <w:spacing w:line="360" w:lineRule="auto"/>
      <w:ind w:firstLine="482"/>
    </w:pPr>
    <w:rPr>
      <w:rFonts w:ascii="宋体" w:hAnsi="宋体"/>
      <w:sz w:val="24"/>
    </w:rPr>
  </w:style>
  <w:style w:type="paragraph" w:customStyle="1" w:styleId="1453">
    <w:name w:val="表内文字小81"/>
    <w:basedOn w:val="1"/>
    <w:autoRedefine/>
    <w:qFormat/>
    <w:uiPriority w:val="0"/>
    <w:pPr>
      <w:adjustRightInd w:val="0"/>
      <w:snapToGrid w:val="0"/>
      <w:jc w:val="center"/>
    </w:pPr>
    <w:rPr>
      <w:rFonts w:ascii="宋体" w:hAnsi="Times" w:cs="宋体"/>
      <w:szCs w:val="20"/>
    </w:rPr>
  </w:style>
  <w:style w:type="paragraph" w:customStyle="1" w:styleId="1454">
    <w:name w:val="xl176"/>
    <w:basedOn w:val="1"/>
    <w:autoRedefine/>
    <w:qFormat/>
    <w:uiPriority w:val="99"/>
    <w:pPr>
      <w:widowControl/>
      <w:pBdr>
        <w:top w:val="single" w:color="auto" w:sz="12" w:space="0"/>
        <w:left w:val="single" w:color="auto" w:sz="12" w:space="0"/>
      </w:pBdr>
      <w:spacing w:before="100" w:beforeAutospacing="1" w:after="100" w:afterAutospacing="1"/>
      <w:jc w:val="left"/>
    </w:pPr>
    <w:rPr>
      <w:rFonts w:ascii="Arial Unicode MS" w:hAnsi="Arial Unicode MS"/>
      <w:kern w:val="0"/>
    </w:rPr>
  </w:style>
  <w:style w:type="paragraph" w:customStyle="1" w:styleId="1455">
    <w:name w:val="表内513"/>
    <w:basedOn w:val="1"/>
    <w:autoRedefine/>
    <w:qFormat/>
    <w:uiPriority w:val="0"/>
    <w:pPr>
      <w:adjustRightInd w:val="0"/>
      <w:snapToGrid w:val="0"/>
      <w:jc w:val="center"/>
    </w:pPr>
    <w:rPr>
      <w:rFonts w:ascii="宋体" w:hAnsi="宋体"/>
      <w:szCs w:val="21"/>
    </w:rPr>
  </w:style>
  <w:style w:type="paragraph" w:customStyle="1" w:styleId="1456">
    <w:name w:val="正文格式＝53"/>
    <w:basedOn w:val="416"/>
    <w:next w:val="416"/>
    <w:autoRedefine/>
    <w:qFormat/>
    <w:uiPriority w:val="0"/>
    <w:rPr>
      <w:rFonts w:ascii="宋体" w:hAnsi="宋体"/>
      <w:b w:val="0"/>
      <w:spacing w:val="0"/>
      <w:sz w:val="24"/>
      <w:szCs w:val="24"/>
    </w:rPr>
  </w:style>
  <w:style w:type="paragraph" w:customStyle="1" w:styleId="1457">
    <w:name w:val="样式 标题 3 + 段前: 12 磅3"/>
    <w:basedOn w:val="5"/>
    <w:autoRedefine/>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lang w:val="en-US"/>
    </w:rPr>
  </w:style>
  <w:style w:type="paragraph" w:customStyle="1" w:styleId="1458">
    <w:name w:val="Char1 Char Char Char Char Char Char Char Char Char Char Char Char"/>
    <w:basedOn w:val="1"/>
    <w:next w:val="1"/>
    <w:autoRedefine/>
    <w:qFormat/>
    <w:uiPriority w:val="99"/>
    <w:pPr>
      <w:keepNext/>
      <w:keepLines/>
      <w:widowControl/>
      <w:adjustRightInd w:val="0"/>
      <w:spacing w:before="40" w:after="40" w:line="360" w:lineRule="auto"/>
      <w:ind w:firstLine="200" w:firstLineChars="200"/>
      <w:textAlignment w:val="baseline"/>
    </w:pPr>
    <w:rPr>
      <w:rFonts w:cs="宋体"/>
      <w:kern w:val="0"/>
      <w:sz w:val="24"/>
      <w:szCs w:val="28"/>
    </w:rPr>
  </w:style>
  <w:style w:type="paragraph" w:customStyle="1" w:styleId="1459">
    <w:name w:val="正文样式"/>
    <w:basedOn w:val="1"/>
    <w:autoRedefine/>
    <w:qFormat/>
    <w:uiPriority w:val="39"/>
    <w:pPr>
      <w:adjustRightInd w:val="0"/>
      <w:snapToGrid w:val="0"/>
      <w:spacing w:beforeLines="50" w:afterLines="50" w:line="312" w:lineRule="auto"/>
      <w:ind w:firstLine="480" w:firstLineChars="200"/>
    </w:pPr>
    <w:rPr>
      <w:rFonts w:cs="宋体"/>
      <w:sz w:val="24"/>
    </w:rPr>
  </w:style>
  <w:style w:type="paragraph" w:customStyle="1" w:styleId="1460">
    <w:name w:val="样式 正文缩进 + 宋体 黑色4"/>
    <w:basedOn w:val="9"/>
    <w:autoRedefine/>
    <w:qFormat/>
    <w:uiPriority w:val="0"/>
    <w:pPr>
      <w:spacing w:line="360" w:lineRule="auto"/>
      <w:ind w:firstLine="200"/>
      <w:jc w:val="left"/>
    </w:pPr>
    <w:rPr>
      <w:rFonts w:ascii="宋体" w:hAnsi="宋体"/>
      <w:color w:val="000000"/>
      <w:kern w:val="0"/>
      <w:sz w:val="24"/>
      <w:lang w:val="en-US"/>
    </w:rPr>
  </w:style>
  <w:style w:type="paragraph" w:customStyle="1" w:styleId="1461">
    <w:name w:val="表内5中1"/>
    <w:basedOn w:val="1"/>
    <w:autoRedefine/>
    <w:qFormat/>
    <w:uiPriority w:val="0"/>
    <w:pPr>
      <w:adjustRightInd w:val="0"/>
      <w:snapToGrid w:val="0"/>
      <w:jc w:val="center"/>
    </w:pPr>
    <w:rPr>
      <w:rFonts w:ascii="宋体" w:hAnsi="宋体" w:cs="Arial"/>
      <w:snapToGrid w:val="0"/>
      <w:color w:val="000000"/>
      <w:szCs w:val="21"/>
    </w:rPr>
  </w:style>
  <w:style w:type="paragraph" w:customStyle="1" w:styleId="1462">
    <w:name w:val="表题1511"/>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1463">
    <w:name w:val="gb1"/>
    <w:basedOn w:val="1"/>
    <w:autoRedefine/>
    <w:qFormat/>
    <w:uiPriority w:val="0"/>
    <w:pPr>
      <w:widowControl/>
      <w:tabs>
        <w:tab w:val="left" w:pos="227"/>
      </w:tabs>
      <w:overflowPunct w:val="0"/>
      <w:autoSpaceDE w:val="0"/>
      <w:autoSpaceDN w:val="0"/>
      <w:adjustRightInd w:val="0"/>
      <w:spacing w:before="120" w:after="120"/>
      <w:jc w:val="left"/>
      <w:textAlignment w:val="baseline"/>
    </w:pPr>
    <w:rPr>
      <w:rFonts w:ascii="Arial" w:hAnsi="Arial" w:eastAsia="仿宋体" w:cs="Arial"/>
      <w:kern w:val="0"/>
      <w:sz w:val="20"/>
    </w:rPr>
  </w:style>
  <w:style w:type="paragraph" w:customStyle="1" w:styleId="1464">
    <w:name w:val="xl243"/>
    <w:basedOn w:val="1"/>
    <w:autoRedefine/>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1465">
    <w:name w:val="表格内字体122"/>
    <w:basedOn w:val="416"/>
    <w:next w:val="416"/>
    <w:autoRedefine/>
    <w:qFormat/>
    <w:uiPriority w:val="0"/>
    <w:pPr>
      <w:spacing w:line="240" w:lineRule="auto"/>
      <w:ind w:firstLine="0"/>
      <w:jc w:val="center"/>
    </w:pPr>
    <w:rPr>
      <w:rFonts w:ascii="宋体" w:hAnsi="宋体"/>
      <w:b w:val="0"/>
      <w:spacing w:val="0"/>
      <w:szCs w:val="24"/>
    </w:rPr>
  </w:style>
  <w:style w:type="paragraph" w:customStyle="1" w:styleId="1466">
    <w:name w:val="xl142"/>
    <w:basedOn w:val="1"/>
    <w:autoRedefine/>
    <w:qFormat/>
    <w:uiPriority w:val="99"/>
    <w:pPr>
      <w:widowControl/>
      <w:pBdr>
        <w:left w:val="single" w:color="auto" w:sz="4"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467">
    <w:name w:val="燕山正文1"/>
    <w:basedOn w:val="1"/>
    <w:autoRedefine/>
    <w:qFormat/>
    <w:uiPriority w:val="0"/>
    <w:pPr>
      <w:tabs>
        <w:tab w:val="left" w:pos="4680"/>
      </w:tabs>
      <w:adjustRightInd w:val="0"/>
      <w:snapToGrid w:val="0"/>
      <w:spacing w:line="480" w:lineRule="exact"/>
    </w:pPr>
    <w:rPr>
      <w:rFonts w:ascii="宋体" w:cs="宋体"/>
      <w:sz w:val="24"/>
    </w:rPr>
  </w:style>
  <w:style w:type="paragraph" w:customStyle="1" w:styleId="1468">
    <w:name w:val="Char Char Char1"/>
    <w:basedOn w:val="1"/>
    <w:autoRedefine/>
    <w:qFormat/>
    <w:uiPriority w:val="0"/>
    <w:rPr>
      <w:sz w:val="24"/>
    </w:rPr>
  </w:style>
  <w:style w:type="paragraph" w:customStyle="1" w:styleId="1469">
    <w:name w:val="样式 正文缩进 + 宋体 黑色3"/>
    <w:basedOn w:val="9"/>
    <w:autoRedefine/>
    <w:qFormat/>
    <w:uiPriority w:val="0"/>
    <w:pPr>
      <w:spacing w:line="360" w:lineRule="auto"/>
      <w:ind w:firstLine="200"/>
      <w:jc w:val="left"/>
    </w:pPr>
    <w:rPr>
      <w:rFonts w:ascii="宋体" w:hAnsi="宋体"/>
      <w:color w:val="000000"/>
      <w:kern w:val="0"/>
      <w:sz w:val="24"/>
      <w:lang w:val="en-US"/>
    </w:rPr>
  </w:style>
  <w:style w:type="paragraph" w:customStyle="1" w:styleId="1470">
    <w:name w:val="表内541212"/>
    <w:basedOn w:val="1"/>
    <w:autoRedefine/>
    <w:qFormat/>
    <w:uiPriority w:val="0"/>
    <w:pPr>
      <w:adjustRightInd w:val="0"/>
      <w:snapToGrid w:val="0"/>
      <w:spacing w:line="300" w:lineRule="auto"/>
      <w:jc w:val="center"/>
    </w:pPr>
    <w:rPr>
      <w:rFonts w:ascii="宋体" w:hAnsi="宋体" w:cs="宋体"/>
      <w:szCs w:val="20"/>
    </w:rPr>
  </w:style>
  <w:style w:type="paragraph" w:customStyle="1" w:styleId="1471">
    <w:name w:val="报告名"/>
    <w:basedOn w:val="1"/>
    <w:autoRedefine/>
    <w:qFormat/>
    <w:uiPriority w:val="39"/>
    <w:pPr>
      <w:tabs>
        <w:tab w:val="left" w:pos="1727"/>
        <w:tab w:val="left" w:pos="1884"/>
      </w:tabs>
      <w:adjustRightInd w:val="0"/>
      <w:snapToGrid w:val="0"/>
      <w:spacing w:line="360" w:lineRule="auto"/>
      <w:ind w:left="26"/>
      <w:jc w:val="center"/>
      <w:outlineLvl w:val="0"/>
    </w:pPr>
    <w:rPr>
      <w:rFonts w:ascii="文鼎大标宋简" w:hAnsi="宋体" w:eastAsia="文鼎大标宋简"/>
      <w:sz w:val="56"/>
      <w:szCs w:val="20"/>
    </w:rPr>
  </w:style>
  <w:style w:type="paragraph" w:customStyle="1" w:styleId="1472">
    <w:name w:val="副题"/>
    <w:basedOn w:val="1"/>
    <w:autoRedefine/>
    <w:qFormat/>
    <w:uiPriority w:val="99"/>
    <w:pPr>
      <w:jc w:val="center"/>
    </w:pPr>
    <w:rPr>
      <w:sz w:val="24"/>
    </w:rPr>
  </w:style>
  <w:style w:type="paragraph" w:customStyle="1" w:styleId="1473">
    <w:name w:val="xl100"/>
    <w:basedOn w:val="1"/>
    <w:autoRedefine/>
    <w:qFormat/>
    <w:uiPriority w:val="0"/>
    <w:pPr>
      <w:widowControl/>
      <w:spacing w:before="100" w:beforeAutospacing="1" w:after="100" w:afterAutospacing="1"/>
      <w:jc w:val="left"/>
    </w:pPr>
    <w:rPr>
      <w:rFonts w:ascii="Arial Unicode MS" w:hAnsi="Arial Unicode MS"/>
      <w:kern w:val="0"/>
      <w:sz w:val="12"/>
      <w:szCs w:val="12"/>
    </w:rPr>
  </w:style>
  <w:style w:type="paragraph" w:customStyle="1" w:styleId="1474">
    <w:name w:val="正文.21"/>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475">
    <w:name w:val="Char Char Char Char Char Char Char8"/>
    <w:basedOn w:val="1"/>
    <w:autoRedefine/>
    <w:qFormat/>
    <w:uiPriority w:val="0"/>
  </w:style>
  <w:style w:type="paragraph" w:customStyle="1" w:styleId="1476">
    <w:name w:val="表内文字小317"/>
    <w:basedOn w:val="1"/>
    <w:autoRedefine/>
    <w:qFormat/>
    <w:uiPriority w:val="0"/>
    <w:pPr>
      <w:adjustRightInd w:val="0"/>
      <w:snapToGrid w:val="0"/>
      <w:jc w:val="center"/>
    </w:pPr>
    <w:rPr>
      <w:rFonts w:ascii="宋体" w:hAnsi="Times" w:cs="宋体"/>
      <w:bCs/>
      <w:color w:val="003366"/>
      <w:szCs w:val="20"/>
    </w:rPr>
  </w:style>
  <w:style w:type="paragraph" w:customStyle="1" w:styleId="1477">
    <w:name w:val="表文字515"/>
    <w:basedOn w:val="1"/>
    <w:autoRedefine/>
    <w:qFormat/>
    <w:uiPriority w:val="0"/>
    <w:pPr>
      <w:adjustRightInd w:val="0"/>
      <w:jc w:val="left"/>
      <w:textAlignment w:val="baseline"/>
    </w:pPr>
    <w:rPr>
      <w:rFonts w:ascii="宋体"/>
      <w:kern w:val="0"/>
      <w:szCs w:val="20"/>
    </w:rPr>
  </w:style>
  <w:style w:type="paragraph" w:customStyle="1" w:styleId="1478">
    <w:name w:val="正文格式71"/>
    <w:basedOn w:val="1"/>
    <w:autoRedefine/>
    <w:qFormat/>
    <w:uiPriority w:val="0"/>
    <w:pPr>
      <w:spacing w:line="360" w:lineRule="auto"/>
      <w:ind w:firstLine="482"/>
    </w:pPr>
    <w:rPr>
      <w:rFonts w:ascii="宋体" w:hAnsi="宋体"/>
      <w:sz w:val="24"/>
    </w:rPr>
  </w:style>
  <w:style w:type="paragraph" w:customStyle="1" w:styleId="1479">
    <w:name w:val="xl22"/>
    <w:basedOn w:val="1"/>
    <w:autoRedefine/>
    <w:qFormat/>
    <w:uiPriority w:val="0"/>
    <w:pPr>
      <w:widowControl/>
      <w:spacing w:before="100" w:after="100"/>
      <w:jc w:val="center"/>
    </w:pPr>
    <w:rPr>
      <w:kern w:val="0"/>
      <w:sz w:val="24"/>
      <w:szCs w:val="20"/>
    </w:rPr>
  </w:style>
  <w:style w:type="paragraph" w:customStyle="1" w:styleId="1480">
    <w:name w:val="表内文字小1111"/>
    <w:basedOn w:val="1"/>
    <w:autoRedefine/>
    <w:qFormat/>
    <w:uiPriority w:val="0"/>
    <w:pPr>
      <w:adjustRightInd w:val="0"/>
      <w:snapToGrid w:val="0"/>
    </w:pPr>
    <w:rPr>
      <w:rFonts w:ascii="宋体" w:hAnsi="Times" w:cs="宋体"/>
      <w:szCs w:val="20"/>
    </w:rPr>
  </w:style>
  <w:style w:type="paragraph" w:customStyle="1" w:styleId="1481">
    <w:name w:val="ST20_1"/>
    <w:basedOn w:val="1"/>
    <w:autoRedefine/>
    <w:qFormat/>
    <w:uiPriority w:val="0"/>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1482">
    <w:name w:val="表内文字小3142"/>
    <w:basedOn w:val="1"/>
    <w:autoRedefine/>
    <w:qFormat/>
    <w:uiPriority w:val="0"/>
    <w:pPr>
      <w:adjustRightInd w:val="0"/>
      <w:snapToGrid w:val="0"/>
      <w:jc w:val="center"/>
    </w:pPr>
    <w:rPr>
      <w:rFonts w:ascii="宋体" w:hAnsi="Times" w:cs="宋体"/>
      <w:bCs/>
      <w:color w:val="003366"/>
      <w:szCs w:val="20"/>
    </w:rPr>
  </w:style>
  <w:style w:type="paragraph" w:customStyle="1" w:styleId="1483">
    <w:name w:val="xl65"/>
    <w:basedOn w:val="1"/>
    <w:autoRedefine/>
    <w:qFormat/>
    <w:uiPriority w:val="0"/>
    <w:pPr>
      <w:widowControl/>
      <w:pBdr>
        <w:top w:val="single" w:color="auto" w:sz="8" w:space="0"/>
        <w:right w:val="single" w:color="auto" w:sz="8" w:space="0"/>
      </w:pBdr>
      <w:spacing w:before="100" w:beforeAutospacing="1" w:after="100" w:afterAutospacing="1"/>
      <w:jc w:val="center"/>
    </w:pPr>
    <w:rPr>
      <w:rFonts w:ascii="宋体" w:hAnsi="宋体" w:cs="宋体"/>
      <w:kern w:val="0"/>
      <w:szCs w:val="21"/>
    </w:rPr>
  </w:style>
  <w:style w:type="paragraph" w:customStyle="1" w:styleId="1484">
    <w:name w:val="注释4"/>
    <w:basedOn w:val="416"/>
    <w:next w:val="34"/>
    <w:autoRedefine/>
    <w:qFormat/>
    <w:uiPriority w:val="0"/>
    <w:pPr>
      <w:spacing w:before="120" w:after="120" w:line="240" w:lineRule="auto"/>
      <w:ind w:firstLine="200" w:firstLineChars="200"/>
    </w:pPr>
    <w:rPr>
      <w:rFonts w:ascii="宋体" w:hAnsi="Times New Roman" w:cs="宋体"/>
      <w:b w:val="0"/>
      <w:spacing w:val="0"/>
    </w:rPr>
  </w:style>
  <w:style w:type="paragraph" w:customStyle="1" w:styleId="1485">
    <w:name w:val="xl32"/>
    <w:basedOn w:val="1"/>
    <w:autoRedefine/>
    <w:qFormat/>
    <w:uiPriority w:val="0"/>
    <w:pPr>
      <w:widowControl/>
      <w:pBdr>
        <w:top w:val="single" w:color="auto" w:sz="12" w:space="0"/>
        <w:left w:val="single" w:color="auto" w:sz="12" w:space="0"/>
      </w:pBdr>
      <w:spacing w:before="100" w:beforeAutospacing="1" w:after="100" w:afterAutospacing="1"/>
      <w:jc w:val="left"/>
    </w:pPr>
    <w:rPr>
      <w:rFonts w:ascii="Arial Unicode MS" w:hAnsi="Arial Unicode MS"/>
      <w:kern w:val="0"/>
      <w:sz w:val="16"/>
      <w:szCs w:val="16"/>
    </w:rPr>
  </w:style>
  <w:style w:type="paragraph" w:customStyle="1" w:styleId="1486">
    <w:name w:val="xl86"/>
    <w:basedOn w:val="1"/>
    <w:autoRedefine/>
    <w:qFormat/>
    <w:uiPriority w:val="0"/>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1487">
    <w:name w:val="Char118"/>
    <w:basedOn w:val="1"/>
    <w:autoRedefine/>
    <w:qFormat/>
    <w:uiPriority w:val="0"/>
    <w:pPr>
      <w:adjustRightInd w:val="0"/>
      <w:snapToGrid w:val="0"/>
      <w:spacing w:beforeLines="50" w:line="360" w:lineRule="auto"/>
    </w:pPr>
    <w:rPr>
      <w:rFonts w:ascii="黑体" w:eastAsia="黑体"/>
      <w:sz w:val="32"/>
      <w:szCs w:val="32"/>
    </w:rPr>
  </w:style>
  <w:style w:type="paragraph" w:customStyle="1" w:styleId="1488">
    <w:name w:val="正文格式31"/>
    <w:basedOn w:val="1"/>
    <w:autoRedefine/>
    <w:qFormat/>
    <w:uiPriority w:val="0"/>
    <w:pPr>
      <w:spacing w:line="360" w:lineRule="auto"/>
      <w:ind w:firstLine="482"/>
    </w:pPr>
    <w:rPr>
      <w:rFonts w:ascii="宋体" w:hAnsi="宋体"/>
      <w:sz w:val="24"/>
    </w:rPr>
  </w:style>
  <w:style w:type="paragraph" w:customStyle="1" w:styleId="1489">
    <w:name w:val="目录 3 Char Char"/>
    <w:basedOn w:val="1"/>
    <w:next w:val="1"/>
    <w:autoRedefine/>
    <w:qFormat/>
    <w:uiPriority w:val="0"/>
    <w:pPr>
      <w:spacing w:line="351" w:lineRule="atLeast"/>
      <w:ind w:left="419" w:firstLine="419"/>
      <w:jc w:val="left"/>
    </w:pPr>
    <w:rPr>
      <w:rFonts w:hint="eastAsia"/>
      <w:i/>
      <w:szCs w:val="20"/>
    </w:rPr>
  </w:style>
  <w:style w:type="paragraph" w:customStyle="1" w:styleId="1490">
    <w:name w:val="2.2.1"/>
    <w:basedOn w:val="6"/>
    <w:autoRedefine/>
    <w:qFormat/>
    <w:uiPriority w:val="99"/>
    <w:pPr>
      <w:tabs>
        <w:tab w:val="left" w:pos="0"/>
        <w:tab w:val="left" w:pos="864"/>
      </w:tabs>
      <w:spacing w:before="0" w:after="0" w:line="360" w:lineRule="auto"/>
      <w:ind w:left="2145" w:hanging="420"/>
      <w:jc w:val="left"/>
    </w:pPr>
    <w:rPr>
      <w:rFonts w:ascii="宋体" w:eastAsia="宋体"/>
      <w:b w:val="0"/>
      <w:color w:val="000000"/>
      <w:sz w:val="24"/>
    </w:rPr>
  </w:style>
  <w:style w:type="paragraph" w:customStyle="1" w:styleId="1491">
    <w:name w:val="Char Char Char Char Char Char Char Char Char Char Char Char Char Char"/>
    <w:basedOn w:val="1"/>
    <w:autoRedefine/>
    <w:qFormat/>
    <w:uiPriority w:val="99"/>
    <w:rPr>
      <w:sz w:val="24"/>
    </w:rPr>
  </w:style>
  <w:style w:type="paragraph" w:customStyle="1" w:styleId="1492">
    <w:name w:val="char"/>
    <w:basedOn w:val="1"/>
    <w:autoRedefine/>
    <w:qFormat/>
    <w:uiPriority w:val="99"/>
    <w:pPr>
      <w:widowControl/>
      <w:spacing w:after="160" w:line="240" w:lineRule="exact"/>
      <w:jc w:val="left"/>
    </w:pPr>
    <w:rPr>
      <w:rFonts w:ascii="Verdana" w:hAnsi="Verdana" w:eastAsia="仿宋_GB2312" w:cs="”“Times New Roman”“"/>
      <w:kern w:val="0"/>
      <w:sz w:val="24"/>
      <w:szCs w:val="20"/>
      <w:lang w:eastAsia="en-US"/>
    </w:rPr>
  </w:style>
  <w:style w:type="paragraph" w:customStyle="1" w:styleId="1493">
    <w:name w:val="xl110"/>
    <w:basedOn w:val="1"/>
    <w:autoRedefine/>
    <w:qFormat/>
    <w:uiPriority w:val="99"/>
    <w:pPr>
      <w:widowControl/>
      <w:pBdr>
        <w:top w:val="single" w:color="auto" w:sz="12" w:space="0"/>
        <w:bottom w:val="single" w:color="auto" w:sz="8" w:space="0"/>
      </w:pBdr>
      <w:spacing w:before="100" w:beforeAutospacing="1" w:after="100" w:afterAutospacing="1"/>
      <w:jc w:val="center"/>
      <w:textAlignment w:val="center"/>
    </w:pPr>
    <w:rPr>
      <w:rFonts w:ascii="Arial Unicode MS" w:hAnsi="Arial Unicode MS"/>
      <w:kern w:val="0"/>
    </w:rPr>
  </w:style>
  <w:style w:type="paragraph" w:customStyle="1" w:styleId="1494">
    <w:name w:val="表中文字44"/>
    <w:basedOn w:val="1"/>
    <w:autoRedefine/>
    <w:qFormat/>
    <w:uiPriority w:val="0"/>
    <w:pPr>
      <w:snapToGrid w:val="0"/>
      <w:spacing w:line="340" w:lineRule="exact"/>
      <w:ind w:firstLine="480" w:firstLineChars="200"/>
      <w:jc w:val="center"/>
    </w:pPr>
    <w:rPr>
      <w:rFonts w:ascii="Arial" w:hAnsi="Arial"/>
      <w:kern w:val="0"/>
      <w:sz w:val="20"/>
      <w:lang w:eastAsia="zh-TW"/>
    </w:rPr>
  </w:style>
  <w:style w:type="paragraph" w:customStyle="1" w:styleId="1495">
    <w:name w:val="Char210"/>
    <w:basedOn w:val="1"/>
    <w:autoRedefine/>
    <w:qFormat/>
    <w:uiPriority w:val="0"/>
    <w:pPr>
      <w:ind w:left="-48"/>
    </w:pPr>
  </w:style>
  <w:style w:type="paragraph" w:customStyle="1" w:styleId="1496">
    <w:name w:val="MFS正文 Char"/>
    <w:basedOn w:val="86"/>
    <w:autoRedefine/>
    <w:qFormat/>
    <w:uiPriority w:val="99"/>
    <w:pPr>
      <w:adjustRightInd w:val="0"/>
      <w:snapToGrid w:val="0"/>
      <w:spacing w:before="93" w:line="360" w:lineRule="auto"/>
      <w:ind w:firstLine="200" w:firstLineChars="200"/>
    </w:pPr>
    <w:rPr>
      <w:rFonts w:hAnsi="Calibri" w:eastAsia="楷体_GB2312"/>
      <w:sz w:val="24"/>
      <w:szCs w:val="22"/>
    </w:rPr>
  </w:style>
  <w:style w:type="paragraph" w:customStyle="1" w:styleId="1497">
    <w:name w:val="正文居中"/>
    <w:basedOn w:val="1"/>
    <w:autoRedefine/>
    <w:qFormat/>
    <w:uiPriority w:val="0"/>
    <w:pPr>
      <w:adjustRightInd w:val="0"/>
      <w:snapToGrid w:val="0"/>
      <w:spacing w:line="400" w:lineRule="exact"/>
      <w:jc w:val="center"/>
    </w:pPr>
    <w:rPr>
      <w:rFonts w:ascii="宋体"/>
      <w:snapToGrid w:val="0"/>
      <w:spacing w:val="6"/>
      <w:kern w:val="0"/>
      <w:szCs w:val="20"/>
    </w:rPr>
  </w:style>
  <w:style w:type="paragraph" w:customStyle="1" w:styleId="1498">
    <w:name w:val="样式 正文缩进 + 宋体 黑色 首行缩进:  2 字符4"/>
    <w:basedOn w:val="9"/>
    <w:autoRedefine/>
    <w:qFormat/>
    <w:uiPriority w:val="0"/>
    <w:pPr>
      <w:spacing w:line="360" w:lineRule="auto"/>
      <w:ind w:firstLine="480"/>
      <w:jc w:val="left"/>
    </w:pPr>
    <w:rPr>
      <w:rFonts w:ascii="宋体" w:hAnsi="宋体" w:cs="宋体"/>
      <w:color w:val="FF00FF"/>
      <w:kern w:val="0"/>
      <w:sz w:val="24"/>
      <w:szCs w:val="20"/>
      <w:lang w:val="en-US"/>
    </w:rPr>
  </w:style>
  <w:style w:type="paragraph" w:customStyle="1" w:styleId="1499">
    <w:name w:val="h"/>
    <w:basedOn w:val="1"/>
    <w:autoRedefine/>
    <w:qFormat/>
    <w:uiPriority w:val="0"/>
    <w:pPr>
      <w:spacing w:before="60"/>
      <w:ind w:firstLine="482"/>
    </w:pPr>
    <w:rPr>
      <w:rFonts w:ascii="Arial" w:hAnsi="Arial" w:eastAsia="仿宋_GB2312"/>
      <w:kern w:val="0"/>
      <w:sz w:val="24"/>
      <w:szCs w:val="20"/>
    </w:rPr>
  </w:style>
  <w:style w:type="paragraph" w:customStyle="1" w:styleId="1500">
    <w:name w:val="A正文3"/>
    <w:basedOn w:val="1"/>
    <w:autoRedefine/>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kern w:val="0"/>
      <w:sz w:val="24"/>
    </w:rPr>
  </w:style>
  <w:style w:type="paragraph" w:customStyle="1" w:styleId="1501">
    <w:name w:val="xl145"/>
    <w:basedOn w:val="1"/>
    <w:autoRedefine/>
    <w:qFormat/>
    <w:uiPriority w:val="99"/>
    <w:pPr>
      <w:widowControl/>
      <w:spacing w:before="100" w:beforeAutospacing="1" w:after="100" w:afterAutospacing="1"/>
      <w:jc w:val="left"/>
    </w:pPr>
    <w:rPr>
      <w:rFonts w:ascii="Arial Unicode MS" w:hAnsi="Arial Unicode MS"/>
      <w:kern w:val="0"/>
      <w:sz w:val="16"/>
      <w:szCs w:val="16"/>
    </w:rPr>
  </w:style>
  <w:style w:type="paragraph" w:customStyle="1" w:styleId="1502">
    <w:name w:val="燕山正文1123"/>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1503">
    <w:name w:val="表左"/>
    <w:basedOn w:val="1"/>
    <w:autoRedefine/>
    <w:qFormat/>
    <w:uiPriority w:val="39"/>
    <w:pPr>
      <w:keepNext/>
      <w:spacing w:line="200" w:lineRule="atLeast"/>
      <w:ind w:left="84" w:leftChars="30" w:right="84" w:rightChars="30"/>
      <w:jc w:val="center"/>
    </w:pPr>
    <w:rPr>
      <w:rFonts w:ascii="宋体" w:hAnsi="宋体"/>
      <w:color w:val="000000"/>
      <w:kern w:val="0"/>
      <w:sz w:val="24"/>
      <w:szCs w:val="20"/>
    </w:rPr>
  </w:style>
  <w:style w:type="paragraph" w:customStyle="1" w:styleId="1504">
    <w:name w:val="表题3134"/>
    <w:basedOn w:val="35"/>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1505">
    <w:name w:val="xl193"/>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1506">
    <w:name w:val="正文修改14"/>
    <w:basedOn w:val="192"/>
    <w:autoRedefine/>
    <w:qFormat/>
    <w:uiPriority w:val="0"/>
    <w:rPr>
      <w:rFonts w:hAnsi="宋体"/>
      <w:color w:val="000000"/>
    </w:rPr>
  </w:style>
  <w:style w:type="paragraph" w:customStyle="1" w:styleId="1507">
    <w:name w:val="Char31"/>
    <w:basedOn w:val="1"/>
    <w:autoRedefine/>
    <w:qFormat/>
    <w:uiPriority w:val="0"/>
    <w:rPr>
      <w:sz w:val="24"/>
    </w:rPr>
  </w:style>
  <w:style w:type="paragraph" w:customStyle="1" w:styleId="1508">
    <w:name w:val="标题6"/>
    <w:basedOn w:val="1"/>
    <w:autoRedefine/>
    <w:qFormat/>
    <w:uiPriority w:val="0"/>
    <w:pPr>
      <w:autoSpaceDE w:val="0"/>
      <w:autoSpaceDN w:val="0"/>
      <w:adjustRightInd w:val="0"/>
      <w:snapToGrid w:val="0"/>
      <w:spacing w:line="300" w:lineRule="auto"/>
      <w:ind w:firstLine="567"/>
      <w:outlineLvl w:val="5"/>
    </w:pPr>
    <w:rPr>
      <w:rFonts w:ascii="仿宋_GB2312" w:hAnsi="宋体" w:eastAsia="仿宋_GB2312"/>
      <w:sz w:val="24"/>
      <w:szCs w:val="21"/>
    </w:rPr>
  </w:style>
  <w:style w:type="paragraph" w:customStyle="1" w:styleId="1509">
    <w:name w:val="xl51"/>
    <w:basedOn w:val="1"/>
    <w:autoRedefine/>
    <w:qFormat/>
    <w:uiPriority w:val="0"/>
    <w:pPr>
      <w:widowControl/>
      <w:pBdr>
        <w:left w:val="single" w:color="auto" w:sz="4" w:space="0"/>
        <w:bottom w:val="single" w:color="auto" w:sz="12"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510">
    <w:name w:val="T正文"/>
    <w:autoRedefine/>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1511">
    <w:name w:val="默认段落字体 Para Char Char Char Char Char Char Char Char Char Char Char Char Char Char Char Char Char Char Char Char Char Char Char Char Char Char Char Char1 Char Char Char Char Char"/>
    <w:basedOn w:val="1"/>
    <w:autoRedefine/>
    <w:qFormat/>
    <w:uiPriority w:val="99"/>
    <w:rPr>
      <w:sz w:val="24"/>
      <w:szCs w:val="20"/>
    </w:rPr>
  </w:style>
  <w:style w:type="paragraph" w:customStyle="1" w:styleId="1512">
    <w:name w:val="xl197"/>
    <w:basedOn w:val="1"/>
    <w:autoRedefine/>
    <w:qFormat/>
    <w:uiPriority w:val="99"/>
    <w:pPr>
      <w:widowControl/>
      <w:pBdr>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kern w:val="0"/>
    </w:rPr>
  </w:style>
  <w:style w:type="paragraph" w:customStyle="1" w:styleId="1513">
    <w:name w:val="xl104"/>
    <w:basedOn w:val="1"/>
    <w:autoRedefine/>
    <w:qFormat/>
    <w:uiPriority w:val="0"/>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1514">
    <w:name w:val="正文格式＝41"/>
    <w:basedOn w:val="416"/>
    <w:next w:val="416"/>
    <w:autoRedefine/>
    <w:qFormat/>
    <w:uiPriority w:val="0"/>
    <w:rPr>
      <w:rFonts w:ascii="宋体" w:hAnsi="宋体"/>
      <w:b w:val="0"/>
      <w:spacing w:val="0"/>
      <w:sz w:val="24"/>
      <w:szCs w:val="24"/>
    </w:rPr>
  </w:style>
  <w:style w:type="paragraph" w:customStyle="1" w:styleId="1515">
    <w:name w:val="Char Char Char Char Char Char Char222"/>
    <w:basedOn w:val="1"/>
    <w:autoRedefine/>
    <w:qFormat/>
    <w:uiPriority w:val="0"/>
  </w:style>
  <w:style w:type="paragraph" w:customStyle="1" w:styleId="1516">
    <w:name w:val="项目符号"/>
    <w:basedOn w:val="1"/>
    <w:autoRedefine/>
    <w:qFormat/>
    <w:uiPriority w:val="39"/>
    <w:pPr>
      <w:tabs>
        <w:tab w:val="left" w:pos="170"/>
      </w:tabs>
      <w:overflowPunct w:val="0"/>
      <w:snapToGrid w:val="0"/>
      <w:spacing w:before="120" w:line="480" w:lineRule="exact"/>
      <w:ind w:firstLine="454" w:firstLineChars="200"/>
    </w:pPr>
    <w:rPr>
      <w:rFonts w:ascii="Arial" w:hAnsi="Arial" w:eastAsia="仿宋_GB2312"/>
      <w:sz w:val="28"/>
      <w:szCs w:val="20"/>
    </w:rPr>
  </w:style>
  <w:style w:type="paragraph" w:customStyle="1" w:styleId="1517">
    <w:name w:val="xl117"/>
    <w:basedOn w:val="1"/>
    <w:autoRedefine/>
    <w:qFormat/>
    <w:uiPriority w:val="99"/>
    <w:pPr>
      <w:widowControl/>
      <w:pBdr>
        <w:left w:val="single" w:color="auto" w:sz="8" w:space="0"/>
      </w:pBdr>
      <w:spacing w:before="100" w:beforeAutospacing="1" w:after="100" w:afterAutospacing="1"/>
      <w:jc w:val="left"/>
    </w:pPr>
    <w:rPr>
      <w:rFonts w:ascii="Arial Unicode MS" w:hAnsi="Arial Unicode MS"/>
      <w:kern w:val="0"/>
    </w:rPr>
  </w:style>
  <w:style w:type="paragraph" w:customStyle="1" w:styleId="1518">
    <w:name w:val="Char Char Char Char Char Char Char Char Char1 Char Char Char Char Char Char1 Char1"/>
    <w:basedOn w:val="1"/>
    <w:autoRedefine/>
    <w:qFormat/>
    <w:uiPriority w:val="39"/>
    <w:rPr>
      <w:szCs w:val="21"/>
    </w:rPr>
  </w:style>
  <w:style w:type="paragraph" w:customStyle="1" w:styleId="1519">
    <w:name w:val="xl64"/>
    <w:basedOn w:val="1"/>
    <w:autoRedefine/>
    <w:qFormat/>
    <w:uiPriority w:val="0"/>
    <w:pPr>
      <w:widowControl/>
      <w:pBdr>
        <w:left w:val="single" w:color="auto" w:sz="4" w:space="0"/>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520">
    <w:name w:val="标题4316"/>
    <w:basedOn w:val="1"/>
    <w:autoRedefine/>
    <w:qFormat/>
    <w:uiPriority w:val="0"/>
    <w:pPr>
      <w:adjustRightInd w:val="0"/>
      <w:snapToGrid w:val="0"/>
      <w:spacing w:line="480" w:lineRule="exact"/>
      <w:jc w:val="center"/>
    </w:pPr>
    <w:rPr>
      <w:rFonts w:ascii="宋体" w:hAnsi="宋体" w:cs="宋体"/>
      <w:sz w:val="24"/>
    </w:rPr>
  </w:style>
  <w:style w:type="paragraph" w:customStyle="1" w:styleId="1521">
    <w:name w:val="Char Char Char Char Char Char Char Char Char Char Char Char Char Char Char Char1"/>
    <w:basedOn w:val="1"/>
    <w:autoRedefine/>
    <w:qFormat/>
    <w:uiPriority w:val="99"/>
    <w:rPr>
      <w:szCs w:val="20"/>
    </w:rPr>
  </w:style>
  <w:style w:type="paragraph" w:customStyle="1" w:styleId="1522">
    <w:name w:val="Char Char Char Char Char Char Char Char Char Char Char Char Char Char Char Char Char Char Char Char Char Char Char Char Char Char Char Char"/>
    <w:basedOn w:val="1"/>
    <w:autoRedefine/>
    <w:qFormat/>
    <w:uiPriority w:val="0"/>
    <w:rPr>
      <w:sz w:val="24"/>
    </w:rPr>
  </w:style>
  <w:style w:type="paragraph" w:customStyle="1" w:styleId="1523">
    <w:name w:val="表中"/>
    <w:basedOn w:val="1"/>
    <w:autoRedefine/>
    <w:qFormat/>
    <w:uiPriority w:val="0"/>
    <w:pPr>
      <w:spacing w:line="300" w:lineRule="exact"/>
      <w:jc w:val="center"/>
    </w:pPr>
    <w:rPr>
      <w:rFonts w:ascii="宋体"/>
    </w:rPr>
  </w:style>
  <w:style w:type="paragraph" w:customStyle="1" w:styleId="1524">
    <w:name w:val="表题91"/>
    <w:basedOn w:val="45"/>
    <w:autoRedefine/>
    <w:qFormat/>
    <w:uiPriority w:val="0"/>
    <w:pPr>
      <w:adjustRightInd w:val="0"/>
      <w:snapToGrid w:val="0"/>
      <w:spacing w:line="300" w:lineRule="auto"/>
      <w:jc w:val="center"/>
    </w:pPr>
    <w:rPr>
      <w:rFonts w:ascii="黑体" w:eastAsia="黑体"/>
      <w:sz w:val="24"/>
      <w:szCs w:val="20"/>
    </w:rPr>
  </w:style>
  <w:style w:type="paragraph" w:customStyle="1" w:styleId="1525">
    <w:name w:val="基准页眉样式"/>
    <w:basedOn w:val="34"/>
    <w:autoRedefine/>
    <w:qFormat/>
    <w:uiPriority w:val="0"/>
    <w:pPr>
      <w:widowControl w:val="0"/>
      <w:snapToGrid/>
      <w:spacing w:before="0" w:after="0" w:line="300" w:lineRule="exact"/>
      <w:ind w:right="0"/>
      <w:jc w:val="center"/>
    </w:pPr>
    <w:rPr>
      <w:spacing w:val="15"/>
      <w:sz w:val="20"/>
      <w:lang w:val="en-US"/>
    </w:rPr>
  </w:style>
  <w:style w:type="paragraph" w:customStyle="1" w:styleId="1526">
    <w:name w:val="默认段落字体 Para Char Char Char1 Char Char Char Char Char Char Char Char Char Char Char Char"/>
    <w:basedOn w:val="1"/>
    <w:autoRedefine/>
    <w:qFormat/>
    <w:uiPriority w:val="99"/>
    <w:rPr>
      <w:sz w:val="24"/>
    </w:rPr>
  </w:style>
  <w:style w:type="paragraph" w:customStyle="1" w:styleId="1527">
    <w:name w:val="xl123"/>
    <w:basedOn w:val="1"/>
    <w:autoRedefine/>
    <w:qFormat/>
    <w:uiPriority w:val="99"/>
    <w:pPr>
      <w:widowControl/>
      <w:pBdr>
        <w:top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1528">
    <w:name w:val="表、图名宋旭峰"/>
    <w:basedOn w:val="1"/>
    <w:autoRedefine/>
    <w:qFormat/>
    <w:uiPriority w:val="0"/>
    <w:pPr>
      <w:spacing w:beforeLines="50" w:line="360" w:lineRule="auto"/>
      <w:jc w:val="center"/>
    </w:pPr>
    <w:rPr>
      <w:rFonts w:ascii="黑体" w:hAnsi="宋体" w:eastAsia="黑体"/>
      <w:snapToGrid w:val="0"/>
      <w:kern w:val="0"/>
      <w:szCs w:val="21"/>
    </w:rPr>
  </w:style>
  <w:style w:type="paragraph" w:customStyle="1" w:styleId="1529">
    <w:name w:val="表内54113"/>
    <w:basedOn w:val="1"/>
    <w:autoRedefine/>
    <w:qFormat/>
    <w:uiPriority w:val="0"/>
    <w:pPr>
      <w:adjustRightInd w:val="0"/>
      <w:snapToGrid w:val="0"/>
      <w:spacing w:line="300" w:lineRule="auto"/>
      <w:jc w:val="center"/>
    </w:pPr>
    <w:rPr>
      <w:rFonts w:ascii="宋体" w:hAnsi="宋体" w:cs="宋体"/>
      <w:szCs w:val="20"/>
    </w:rPr>
  </w:style>
  <w:style w:type="paragraph" w:customStyle="1" w:styleId="1530">
    <w:name w:val="Char1 Char Char Char3"/>
    <w:basedOn w:val="1"/>
    <w:autoRedefine/>
    <w:qFormat/>
    <w:uiPriority w:val="99"/>
  </w:style>
  <w:style w:type="paragraph" w:customStyle="1" w:styleId="1531">
    <w:name w:val="Char Char Char13"/>
    <w:basedOn w:val="1"/>
    <w:autoRedefine/>
    <w:qFormat/>
    <w:uiPriority w:val="39"/>
    <w:rPr>
      <w:sz w:val="24"/>
    </w:rPr>
  </w:style>
  <w:style w:type="paragraph" w:customStyle="1" w:styleId="1532">
    <w:name w:val="xl30"/>
    <w:basedOn w:val="1"/>
    <w:autoRedefine/>
    <w:qFormat/>
    <w:uiPriority w:val="0"/>
    <w:pPr>
      <w:widowControl/>
      <w:spacing w:before="100" w:beforeAutospacing="1" w:after="100" w:afterAutospacing="1"/>
      <w:jc w:val="left"/>
    </w:pPr>
    <w:rPr>
      <w:rFonts w:ascii="Arial Unicode MS" w:hAnsi="Arial Unicode MS"/>
      <w:kern w:val="0"/>
      <w:sz w:val="16"/>
      <w:szCs w:val="16"/>
    </w:rPr>
  </w:style>
  <w:style w:type="paragraph" w:customStyle="1" w:styleId="1533">
    <w:name w:val="默认段落字体 Para Char Char Char Char Char11"/>
    <w:basedOn w:val="1"/>
    <w:autoRedefine/>
    <w:qFormat/>
    <w:uiPriority w:val="0"/>
  </w:style>
  <w:style w:type="paragraph" w:customStyle="1" w:styleId="1534">
    <w:name w:val="样式 标题 2 + 宋体 小四 非加粗 段前: 1 行 段后: 1 行"/>
    <w:basedOn w:val="4"/>
    <w:autoRedefine/>
    <w:qFormat/>
    <w:uiPriority w:val="99"/>
  </w:style>
  <w:style w:type="paragraph" w:customStyle="1" w:styleId="1535">
    <w:name w:val="xl179"/>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536">
    <w:name w:val="表题1422"/>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1537">
    <w:name w:val="Char"/>
    <w:basedOn w:val="1"/>
    <w:autoRedefine/>
    <w:qFormat/>
    <w:uiPriority w:val="39"/>
    <w:rPr>
      <w:sz w:val="24"/>
    </w:rPr>
  </w:style>
  <w:style w:type="paragraph" w:customStyle="1" w:styleId="1538">
    <w:name w:val="xl130"/>
    <w:basedOn w:val="1"/>
    <w:autoRedefine/>
    <w:qFormat/>
    <w:uiPriority w:val="99"/>
    <w:pPr>
      <w:widowControl/>
      <w:pBdr>
        <w:left w:val="single" w:color="auto" w:sz="4" w:space="0"/>
        <w:right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539">
    <w:name w:val="Char431"/>
    <w:basedOn w:val="1"/>
    <w:autoRedefine/>
    <w:qFormat/>
    <w:uiPriority w:val="0"/>
    <w:pPr>
      <w:ind w:left="-48"/>
    </w:pPr>
  </w:style>
  <w:style w:type="paragraph" w:customStyle="1" w:styleId="1540">
    <w:name w:val="前言、引言标题"/>
    <w:next w:val="1"/>
    <w:autoRedefine/>
    <w:qFormat/>
    <w:uiPriority w:val="0"/>
    <w:pPr>
      <w:shd w:val="clear" w:color="FFFFFF" w:fill="FFFFFF"/>
      <w:tabs>
        <w:tab w:val="left" w:pos="903"/>
        <w:tab w:val="left" w:pos="980"/>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1541">
    <w:name w:val="Default12"/>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1542">
    <w:name w:val="样式 标题 3 + 段前: 12 磅4"/>
    <w:basedOn w:val="5"/>
    <w:autoRedefine/>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lang w:val="en-US"/>
    </w:rPr>
  </w:style>
  <w:style w:type="paragraph" w:customStyle="1" w:styleId="1543">
    <w:name w:val="正文缩进3"/>
    <w:basedOn w:val="1"/>
    <w:autoRedefine/>
    <w:qFormat/>
    <w:uiPriority w:val="99"/>
    <w:pPr>
      <w:adjustRightInd w:val="0"/>
      <w:ind w:firstLine="420" w:firstLineChars="200"/>
      <w:textAlignment w:val="baseline"/>
    </w:pPr>
    <w:rPr>
      <w:rFonts w:hint="eastAsia" w:hAnsi="宋体"/>
      <w:sz w:val="24"/>
      <w:szCs w:val="20"/>
    </w:rPr>
  </w:style>
  <w:style w:type="paragraph" w:customStyle="1" w:styleId="1544">
    <w:name w:val="标题43114"/>
    <w:basedOn w:val="1"/>
    <w:autoRedefine/>
    <w:qFormat/>
    <w:uiPriority w:val="0"/>
    <w:pPr>
      <w:adjustRightInd w:val="0"/>
      <w:snapToGrid w:val="0"/>
      <w:spacing w:line="480" w:lineRule="exact"/>
      <w:jc w:val="center"/>
    </w:pPr>
    <w:rPr>
      <w:rFonts w:ascii="宋体" w:hAnsi="宋体" w:cs="宋体"/>
      <w:sz w:val="24"/>
    </w:rPr>
  </w:style>
  <w:style w:type="paragraph" w:customStyle="1" w:styleId="1545">
    <w:name w:val="xl187"/>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16"/>
      <w:szCs w:val="16"/>
    </w:rPr>
  </w:style>
  <w:style w:type="paragraph" w:customStyle="1" w:styleId="1546">
    <w:name w:val="标准11"/>
    <w:basedOn w:val="1"/>
    <w:autoRedefine/>
    <w:qFormat/>
    <w:uiPriority w:val="0"/>
    <w:pPr>
      <w:adjustRightInd w:val="0"/>
      <w:spacing w:before="120" w:line="336" w:lineRule="auto"/>
      <w:jc w:val="center"/>
      <w:textAlignment w:val="baseline"/>
    </w:pPr>
    <w:rPr>
      <w:rFonts w:ascii="黑体" w:eastAsia="黑体"/>
      <w:szCs w:val="20"/>
    </w:rPr>
  </w:style>
  <w:style w:type="paragraph" w:customStyle="1" w:styleId="1547">
    <w:name w:val="Char Char Char1 Char Char Char Char Char Char Char1"/>
    <w:basedOn w:val="1"/>
    <w:autoRedefine/>
    <w:qFormat/>
    <w:uiPriority w:val="99"/>
    <w:rPr>
      <w:rFonts w:ascii="Tahoma" w:hAnsi="Tahoma"/>
      <w:sz w:val="24"/>
      <w:szCs w:val="20"/>
    </w:rPr>
  </w:style>
  <w:style w:type="paragraph" w:customStyle="1" w:styleId="1548">
    <w:name w:val="Definition List"/>
    <w:basedOn w:val="1"/>
    <w:next w:val="1549"/>
    <w:autoRedefine/>
    <w:qFormat/>
    <w:uiPriority w:val="99"/>
    <w:pPr>
      <w:autoSpaceDE w:val="0"/>
      <w:autoSpaceDN w:val="0"/>
      <w:adjustRightInd w:val="0"/>
      <w:ind w:left="360"/>
      <w:jc w:val="left"/>
    </w:pPr>
    <w:rPr>
      <w:kern w:val="0"/>
      <w:sz w:val="24"/>
      <w:szCs w:val="20"/>
    </w:rPr>
  </w:style>
  <w:style w:type="paragraph" w:customStyle="1" w:styleId="1549">
    <w:name w:val="Definition Term"/>
    <w:basedOn w:val="1"/>
    <w:next w:val="1548"/>
    <w:autoRedefine/>
    <w:qFormat/>
    <w:uiPriority w:val="99"/>
    <w:pPr>
      <w:autoSpaceDE w:val="0"/>
      <w:autoSpaceDN w:val="0"/>
      <w:adjustRightInd w:val="0"/>
      <w:jc w:val="left"/>
    </w:pPr>
    <w:rPr>
      <w:kern w:val="0"/>
      <w:sz w:val="24"/>
      <w:szCs w:val="20"/>
    </w:rPr>
  </w:style>
  <w:style w:type="paragraph" w:customStyle="1" w:styleId="1550">
    <w:name w:val="表题格式"/>
    <w:basedOn w:val="1"/>
    <w:autoRedefine/>
    <w:qFormat/>
    <w:uiPriority w:val="0"/>
    <w:pPr>
      <w:spacing w:line="400" w:lineRule="exact"/>
    </w:pPr>
    <w:rPr>
      <w:rFonts w:eastAsia="仿宋_GB2312"/>
      <w:kern w:val="0"/>
      <w:sz w:val="24"/>
      <w:szCs w:val="20"/>
    </w:rPr>
  </w:style>
  <w:style w:type="paragraph" w:customStyle="1" w:styleId="1551">
    <w:name w:val="style12"/>
    <w:basedOn w:val="1"/>
    <w:autoRedefine/>
    <w:qFormat/>
    <w:uiPriority w:val="99"/>
    <w:pPr>
      <w:widowControl/>
      <w:spacing w:before="100" w:beforeAutospacing="1" w:after="100" w:afterAutospacing="1"/>
      <w:jc w:val="left"/>
    </w:pPr>
    <w:rPr>
      <w:rFonts w:ascii="Arial" w:hAnsi="Arial" w:cs="Arial"/>
      <w:color w:val="666666"/>
      <w:kern w:val="0"/>
      <w:sz w:val="18"/>
      <w:szCs w:val="18"/>
    </w:rPr>
  </w:style>
  <w:style w:type="paragraph" w:customStyle="1" w:styleId="1552">
    <w:name w:val="表格正文"/>
    <w:basedOn w:val="1"/>
    <w:autoRedefine/>
    <w:qFormat/>
    <w:uiPriority w:val="0"/>
    <w:pPr>
      <w:adjustRightInd w:val="0"/>
      <w:snapToGrid w:val="0"/>
      <w:spacing w:before="60" w:after="60"/>
      <w:jc w:val="center"/>
      <w:textAlignment w:val="baseline"/>
    </w:pPr>
    <w:rPr>
      <w:kern w:val="0"/>
      <w:sz w:val="24"/>
      <w:szCs w:val="20"/>
    </w:rPr>
  </w:style>
  <w:style w:type="paragraph" w:customStyle="1" w:styleId="1553">
    <w:name w:val="xl33"/>
    <w:basedOn w:val="1"/>
    <w:autoRedefine/>
    <w:qFormat/>
    <w:uiPriority w:val="0"/>
    <w:pPr>
      <w:widowControl/>
      <w:pBdr>
        <w:top w:val="single" w:color="auto" w:sz="12" w:space="0"/>
      </w:pBdr>
      <w:spacing w:before="100" w:beforeAutospacing="1" w:after="100" w:afterAutospacing="1"/>
      <w:jc w:val="left"/>
    </w:pPr>
    <w:rPr>
      <w:rFonts w:ascii="Arial Unicode MS" w:hAnsi="Arial Unicode MS"/>
      <w:kern w:val="0"/>
      <w:sz w:val="16"/>
      <w:szCs w:val="16"/>
    </w:rPr>
  </w:style>
  <w:style w:type="paragraph" w:customStyle="1" w:styleId="1554">
    <w:name w:val="xl60"/>
    <w:basedOn w:val="1"/>
    <w:autoRedefine/>
    <w:qFormat/>
    <w:uiPriority w:val="0"/>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1555">
    <w:name w:val="标题421"/>
    <w:basedOn w:val="1"/>
    <w:autoRedefine/>
    <w:qFormat/>
    <w:uiPriority w:val="0"/>
    <w:pPr>
      <w:adjustRightInd w:val="0"/>
      <w:snapToGrid w:val="0"/>
      <w:spacing w:line="300" w:lineRule="auto"/>
      <w:jc w:val="left"/>
    </w:pPr>
    <w:rPr>
      <w:rFonts w:ascii="黑体" w:eastAsia="黑体"/>
      <w:bCs/>
      <w:sz w:val="24"/>
    </w:rPr>
  </w:style>
  <w:style w:type="paragraph" w:customStyle="1" w:styleId="1556">
    <w:name w:val="xl114"/>
    <w:basedOn w:val="1"/>
    <w:autoRedefine/>
    <w:qFormat/>
    <w:uiPriority w:val="99"/>
    <w:pPr>
      <w:widowControl/>
      <w:pBdr>
        <w:left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1557">
    <w:name w:val="Char3 Char Char Char1"/>
    <w:basedOn w:val="1"/>
    <w:autoRedefine/>
    <w:qFormat/>
    <w:uiPriority w:val="39"/>
    <w:rPr>
      <w:sz w:val="28"/>
    </w:rPr>
  </w:style>
  <w:style w:type="paragraph" w:customStyle="1" w:styleId="1558">
    <w:name w:val="正文22"/>
    <w:autoRedefine/>
    <w:qFormat/>
    <w:uiPriority w:val="0"/>
    <w:pPr>
      <w:widowControl w:val="0"/>
      <w:adjustRightInd w:val="0"/>
      <w:spacing w:line="360" w:lineRule="atLeast"/>
    </w:pPr>
    <w:rPr>
      <w:rFonts w:ascii="宋体" w:hAnsi="Times New Roman" w:eastAsia="宋体" w:cs="Times New Roman"/>
      <w:sz w:val="24"/>
      <w:lang w:val="en-US" w:eastAsia="zh-CN" w:bidi="ar-SA"/>
    </w:rPr>
  </w:style>
  <w:style w:type="paragraph" w:customStyle="1" w:styleId="1559">
    <w:name w:val="正文格式＝6"/>
    <w:basedOn w:val="416"/>
    <w:next w:val="416"/>
    <w:autoRedefine/>
    <w:qFormat/>
    <w:uiPriority w:val="0"/>
    <w:rPr>
      <w:rFonts w:ascii="宋体" w:hAnsi="宋体"/>
      <w:b w:val="0"/>
      <w:spacing w:val="0"/>
      <w:sz w:val="24"/>
      <w:szCs w:val="24"/>
    </w:rPr>
  </w:style>
  <w:style w:type="paragraph" w:customStyle="1" w:styleId="1560">
    <w:name w:val="xl63"/>
    <w:basedOn w:val="1"/>
    <w:autoRedefine/>
    <w:qFormat/>
    <w:uiPriority w:val="0"/>
    <w:pPr>
      <w:widowControl/>
      <w:spacing w:before="100" w:beforeAutospacing="1" w:after="100" w:afterAutospacing="1"/>
      <w:jc w:val="center"/>
      <w:textAlignment w:val="center"/>
    </w:pPr>
    <w:rPr>
      <w:kern w:val="0"/>
      <w:sz w:val="12"/>
      <w:szCs w:val="12"/>
    </w:rPr>
  </w:style>
  <w:style w:type="paragraph" w:customStyle="1" w:styleId="1561">
    <w:name w:val="Char Char Char Char Char Char Char Char1 Char Char Char Char Char Char Char Char Char Char1"/>
    <w:basedOn w:val="1"/>
    <w:autoRedefine/>
    <w:qFormat/>
    <w:uiPriority w:val="39"/>
    <w:rPr>
      <w:sz w:val="24"/>
    </w:rPr>
  </w:style>
  <w:style w:type="paragraph" w:customStyle="1" w:styleId="1562">
    <w:name w:val="预评价二"/>
    <w:basedOn w:val="1"/>
    <w:autoRedefine/>
    <w:qFormat/>
    <w:uiPriority w:val="39"/>
    <w:pPr>
      <w:spacing w:line="360" w:lineRule="auto"/>
      <w:ind w:right="-22" w:rightChars="-22"/>
      <w:jc w:val="left"/>
    </w:pPr>
    <w:rPr>
      <w:rFonts w:ascii="宋体" w:hAnsi="宋体" w:eastAsia="楷体_GB2312"/>
      <w:b/>
      <w:bCs/>
      <w:sz w:val="32"/>
    </w:rPr>
  </w:style>
  <w:style w:type="paragraph" w:customStyle="1" w:styleId="1563">
    <w:name w:val="xl120"/>
    <w:basedOn w:val="1"/>
    <w:autoRedefine/>
    <w:qFormat/>
    <w:uiPriority w:val="99"/>
    <w:pPr>
      <w:widowControl/>
      <w:spacing w:before="100" w:beforeAutospacing="1" w:after="100" w:afterAutospacing="1"/>
      <w:jc w:val="left"/>
      <w:textAlignment w:val="center"/>
    </w:pPr>
    <w:rPr>
      <w:rFonts w:ascii="Arial Unicode MS" w:hAnsi="Arial Unicode MS"/>
      <w:kern w:val="0"/>
      <w:sz w:val="12"/>
      <w:szCs w:val="12"/>
    </w:rPr>
  </w:style>
  <w:style w:type="paragraph" w:customStyle="1" w:styleId="1564">
    <w:name w:val="font13"/>
    <w:basedOn w:val="1"/>
    <w:autoRedefine/>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1565">
    <w:name w:val="xl184"/>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566">
    <w:name w:val="xl122"/>
    <w:basedOn w:val="1"/>
    <w:autoRedefine/>
    <w:qFormat/>
    <w:uiPriority w:val="99"/>
    <w:pPr>
      <w:widowControl/>
      <w:pBdr>
        <w:left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567">
    <w:name w:val="23-47表名1"/>
    <w:basedOn w:val="1"/>
    <w:autoRedefine/>
    <w:qFormat/>
    <w:uiPriority w:val="0"/>
    <w:pPr>
      <w:spacing w:afterLines="50" w:line="440" w:lineRule="exact"/>
      <w:jc w:val="center"/>
    </w:pPr>
    <w:rPr>
      <w:rFonts w:ascii="宋体" w:hAnsi="宋体"/>
      <w:b/>
      <w:sz w:val="24"/>
    </w:rPr>
  </w:style>
  <w:style w:type="paragraph" w:customStyle="1" w:styleId="1568">
    <w:name w:val="xl50"/>
    <w:basedOn w:val="1"/>
    <w:autoRedefine/>
    <w:qFormat/>
    <w:uiPriority w:val="0"/>
    <w:pPr>
      <w:widowControl/>
      <w:pBdr>
        <w:right w:val="single" w:color="auto" w:sz="4" w:space="0"/>
      </w:pBdr>
      <w:spacing w:before="100" w:beforeAutospacing="1" w:after="100" w:afterAutospacing="1"/>
      <w:jc w:val="left"/>
    </w:pPr>
    <w:rPr>
      <w:rFonts w:ascii="Arial Unicode MS" w:hAnsi="Arial Unicode MS" w:eastAsia="Arial Unicode MS"/>
      <w:kern w:val="0"/>
      <w:sz w:val="24"/>
      <w:szCs w:val="20"/>
    </w:rPr>
  </w:style>
  <w:style w:type="paragraph" w:customStyle="1" w:styleId="1569">
    <w:name w:val="样式 小四 行距: 1.5 倍行距"/>
    <w:basedOn w:val="1"/>
    <w:autoRedefine/>
    <w:qFormat/>
    <w:uiPriority w:val="39"/>
    <w:pPr>
      <w:spacing w:line="360" w:lineRule="auto"/>
      <w:ind w:firstLine="200" w:firstLineChars="200"/>
    </w:pPr>
    <w:rPr>
      <w:rFonts w:cs="宋体"/>
      <w:kern w:val="0"/>
      <w:sz w:val="24"/>
      <w:szCs w:val="20"/>
    </w:rPr>
  </w:style>
  <w:style w:type="paragraph" w:customStyle="1" w:styleId="1570">
    <w:name w:val="样式 表格文字 + (西文) Times New Roman (中文) 黑体 两端对齐 行距: 1.5 倍行距"/>
    <w:basedOn w:val="148"/>
    <w:autoRedefine/>
    <w:qFormat/>
    <w:uiPriority w:val="99"/>
    <w:pPr>
      <w:widowControl w:val="0"/>
      <w:spacing w:line="360" w:lineRule="auto"/>
      <w:ind w:firstLine="300" w:firstLineChars="300"/>
      <w:jc w:val="both"/>
    </w:pPr>
    <w:rPr>
      <w:rFonts w:ascii="Times New Roman" w:hAnsi="Times New Roman" w:eastAsia="黑体" w:cs="宋体"/>
      <w:lang w:val="en-US"/>
    </w:rPr>
  </w:style>
  <w:style w:type="paragraph" w:customStyle="1" w:styleId="1571">
    <w:name w:val="环表"/>
    <w:basedOn w:val="315"/>
    <w:autoRedefine/>
    <w:qFormat/>
    <w:uiPriority w:val="0"/>
    <w:pPr>
      <w:tabs>
        <w:tab w:val="left" w:pos="1464"/>
        <w:tab w:val="left" w:pos="5094"/>
      </w:tabs>
      <w:suppressAutoHyphens w:val="0"/>
      <w:snapToGrid w:val="0"/>
      <w:spacing w:before="120" w:after="120" w:line="324" w:lineRule="auto"/>
      <w:ind w:left="7" w:right="29" w:firstLine="539" w:firstLineChars="0"/>
      <w:jc w:val="center"/>
    </w:pPr>
    <w:rPr>
      <w:rFonts w:ascii="仿宋_GB2312" w:hAnsi="Courier New" w:eastAsia="仿宋_GB2312"/>
      <w:sz w:val="21"/>
    </w:rPr>
  </w:style>
  <w:style w:type="paragraph" w:customStyle="1" w:styleId="1572">
    <w:name w:val="xl36"/>
    <w:basedOn w:val="1"/>
    <w:autoRedefine/>
    <w:qFormat/>
    <w:uiPriority w:val="0"/>
    <w:pPr>
      <w:widowControl/>
      <w:pBdr>
        <w:left w:val="single" w:color="auto" w:sz="12" w:space="0"/>
        <w:bottom w:val="single" w:color="auto" w:sz="12"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573">
    <w:name w:val="xl133"/>
    <w:basedOn w:val="1"/>
    <w:autoRedefine/>
    <w:qFormat/>
    <w:uiPriority w:val="99"/>
    <w:pPr>
      <w:widowControl/>
      <w:pBdr>
        <w:right w:val="single" w:color="auto" w:sz="4" w:space="0"/>
      </w:pBdr>
      <w:spacing w:before="100" w:beforeAutospacing="1" w:after="100" w:afterAutospacing="1"/>
      <w:jc w:val="center"/>
    </w:pPr>
    <w:rPr>
      <w:rFonts w:ascii="Arial Unicode MS" w:hAnsi="Arial Unicode MS"/>
      <w:kern w:val="0"/>
      <w:sz w:val="12"/>
      <w:szCs w:val="12"/>
    </w:rPr>
  </w:style>
  <w:style w:type="paragraph" w:customStyle="1" w:styleId="1574">
    <w:name w:val="表后"/>
    <w:basedOn w:val="1"/>
    <w:next w:val="1"/>
    <w:autoRedefine/>
    <w:qFormat/>
    <w:uiPriority w:val="39"/>
    <w:pPr>
      <w:adjustRightInd w:val="0"/>
      <w:spacing w:before="120" w:line="360" w:lineRule="auto"/>
      <w:ind w:firstLine="493"/>
      <w:textAlignment w:val="baseline"/>
    </w:pPr>
    <w:rPr>
      <w:rFonts w:ascii="宋体" w:hAnsi="宋体"/>
      <w:spacing w:val="-2"/>
      <w:kern w:val="0"/>
      <w:sz w:val="24"/>
    </w:rPr>
  </w:style>
  <w:style w:type="paragraph" w:customStyle="1" w:styleId="1575">
    <w:name w:val="xl119"/>
    <w:basedOn w:val="1"/>
    <w:autoRedefine/>
    <w:qFormat/>
    <w:uiPriority w:val="99"/>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1576">
    <w:name w:val="图框文字"/>
    <w:basedOn w:val="1"/>
    <w:autoRedefine/>
    <w:qFormat/>
    <w:uiPriority w:val="0"/>
    <w:pPr>
      <w:jc w:val="center"/>
    </w:pPr>
  </w:style>
  <w:style w:type="paragraph" w:customStyle="1" w:styleId="1577">
    <w:name w:val="样式 样式 标题 2节 + (西文) Times New Roman (中文) 宋体 四号 段前: 0.5 行 段后: 0......"/>
    <w:basedOn w:val="1"/>
    <w:autoRedefine/>
    <w:qFormat/>
    <w:uiPriority w:val="0"/>
    <w:pPr>
      <w:keepNext/>
      <w:keepLines/>
      <w:tabs>
        <w:tab w:val="left" w:pos="720"/>
      </w:tabs>
      <w:adjustRightInd w:val="0"/>
      <w:snapToGrid w:val="0"/>
      <w:spacing w:beforeLines="90" w:afterLines="90"/>
      <w:ind w:left="397" w:hanging="397"/>
      <w:outlineLvl w:val="1"/>
    </w:pPr>
    <w:rPr>
      <w:rFonts w:ascii="楷体_GB2312" w:eastAsia="楷体_GB2312"/>
      <w:b/>
      <w:bCs/>
      <w:sz w:val="28"/>
      <w:szCs w:val="28"/>
    </w:rPr>
  </w:style>
  <w:style w:type="paragraph" w:customStyle="1" w:styleId="1578">
    <w:name w:val="标题45"/>
    <w:basedOn w:val="1"/>
    <w:autoRedefine/>
    <w:qFormat/>
    <w:uiPriority w:val="0"/>
    <w:pPr>
      <w:adjustRightInd w:val="0"/>
      <w:snapToGrid w:val="0"/>
      <w:spacing w:line="300" w:lineRule="auto"/>
      <w:jc w:val="left"/>
    </w:pPr>
    <w:rPr>
      <w:rFonts w:ascii="黑体" w:eastAsia="黑体"/>
      <w:bCs/>
      <w:sz w:val="24"/>
    </w:rPr>
  </w:style>
  <w:style w:type="paragraph" w:customStyle="1" w:styleId="1579">
    <w:name w:val="xl148"/>
    <w:basedOn w:val="1"/>
    <w:autoRedefine/>
    <w:qFormat/>
    <w:uiPriority w:val="99"/>
    <w:pPr>
      <w:widowControl/>
      <w:pBdr>
        <w:bottom w:val="single" w:color="auto" w:sz="8" w:space="0"/>
      </w:pBdr>
      <w:spacing w:before="100" w:beforeAutospacing="1" w:after="100" w:afterAutospacing="1"/>
      <w:jc w:val="left"/>
    </w:pPr>
    <w:rPr>
      <w:rFonts w:ascii="Arial Unicode MS" w:hAnsi="Arial Unicode MS"/>
      <w:kern w:val="0"/>
    </w:rPr>
  </w:style>
  <w:style w:type="paragraph" w:customStyle="1" w:styleId="1580">
    <w:name w:val="文件名称"/>
    <w:basedOn w:val="1"/>
    <w:next w:val="1"/>
    <w:autoRedefine/>
    <w:qFormat/>
    <w:uiPriority w:val="0"/>
    <w:pPr>
      <w:spacing w:beforeLines="100"/>
      <w:jc w:val="center"/>
    </w:pPr>
    <w:rPr>
      <w:rFonts w:ascii="黑体" w:eastAsia="黑体"/>
      <w:sz w:val="84"/>
      <w:szCs w:val="20"/>
    </w:rPr>
  </w:style>
  <w:style w:type="paragraph" w:customStyle="1" w:styleId="1581">
    <w:name w:val="xl152"/>
    <w:basedOn w:val="1"/>
    <w:autoRedefine/>
    <w:qFormat/>
    <w:uiPriority w:val="99"/>
    <w:pPr>
      <w:widowControl/>
      <w:spacing w:before="100" w:beforeAutospacing="1" w:after="100" w:afterAutospacing="1"/>
      <w:jc w:val="left"/>
      <w:textAlignment w:val="center"/>
    </w:pPr>
    <w:rPr>
      <w:rFonts w:ascii="Arial Unicode MS" w:hAnsi="Arial Unicode MS"/>
      <w:kern w:val="0"/>
      <w:sz w:val="16"/>
      <w:szCs w:val="16"/>
    </w:rPr>
  </w:style>
  <w:style w:type="paragraph" w:customStyle="1" w:styleId="1582">
    <w:name w:val="默认段落字体 Para Char Char Char Char Char Char Char Char Char Char Char Char1 Char"/>
    <w:basedOn w:val="1"/>
    <w:autoRedefine/>
    <w:qFormat/>
    <w:uiPriority w:val="99"/>
    <w:rPr>
      <w:sz w:val="24"/>
    </w:rPr>
  </w:style>
  <w:style w:type="paragraph" w:customStyle="1" w:styleId="1583">
    <w:name w:val="表内宋5112"/>
    <w:basedOn w:val="81"/>
    <w:autoRedefine/>
    <w:qFormat/>
    <w:uiPriority w:val="0"/>
    <w:pPr>
      <w:adjustRightInd w:val="0"/>
      <w:snapToGrid w:val="0"/>
      <w:spacing w:before="0" w:beforeAutospacing="0" w:after="0" w:afterAutospacing="0"/>
      <w:jc w:val="both"/>
    </w:pPr>
    <w:rPr>
      <w:rFonts w:cs="宋体"/>
      <w:color w:val="000000"/>
      <w:sz w:val="21"/>
      <w:szCs w:val="24"/>
      <w:lang w:val="en-US"/>
    </w:rPr>
  </w:style>
  <w:style w:type="paragraph" w:customStyle="1" w:styleId="1584">
    <w:name w:val="表格文字居左"/>
    <w:basedOn w:val="86"/>
    <w:autoRedefine/>
    <w:qFormat/>
    <w:uiPriority w:val="39"/>
    <w:pPr>
      <w:tabs>
        <w:tab w:val="left" w:pos="628"/>
        <w:tab w:val="left" w:pos="1727"/>
        <w:tab w:val="left" w:pos="1884"/>
      </w:tabs>
      <w:snapToGrid w:val="0"/>
      <w:spacing w:before="50" w:after="100" w:afterAutospacing="1"/>
      <w:ind w:left="26" w:firstLine="0" w:firstLineChars="0"/>
      <w:jc w:val="left"/>
      <w:outlineLvl w:val="0"/>
    </w:pPr>
    <w:rPr>
      <w:rFonts w:ascii="宋体" w:hAnsi="宋体"/>
      <w:sz w:val="24"/>
      <w:szCs w:val="28"/>
    </w:rPr>
  </w:style>
  <w:style w:type="paragraph" w:customStyle="1" w:styleId="1585">
    <w:name w:val="标题 B"/>
    <w:basedOn w:val="4"/>
    <w:autoRedefine/>
    <w:qFormat/>
    <w:uiPriority w:val="39"/>
  </w:style>
  <w:style w:type="paragraph" w:customStyle="1" w:styleId="1586">
    <w:name w:val="xl126"/>
    <w:basedOn w:val="1"/>
    <w:autoRedefine/>
    <w:qFormat/>
    <w:uiPriority w:val="99"/>
    <w:pPr>
      <w:widowControl/>
      <w:pBdr>
        <w:left w:val="single" w:color="auto" w:sz="4" w:space="0"/>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1587">
    <w:name w:val="正文内容"/>
    <w:basedOn w:val="1"/>
    <w:autoRedefine/>
    <w:qFormat/>
    <w:uiPriority w:val="39"/>
    <w:pPr>
      <w:adjustRightInd w:val="0"/>
      <w:snapToGrid w:val="0"/>
      <w:spacing w:line="360" w:lineRule="auto"/>
      <w:ind w:firstLine="496" w:firstLineChars="200"/>
    </w:pPr>
    <w:rPr>
      <w:rFonts w:ascii="宋体" w:hAnsi="宋体"/>
      <w:snapToGrid w:val="0"/>
      <w:spacing w:val="4"/>
      <w:kern w:val="0"/>
      <w:sz w:val="24"/>
      <w:szCs w:val="20"/>
    </w:rPr>
  </w:style>
  <w:style w:type="paragraph" w:customStyle="1" w:styleId="1588">
    <w:name w:val="xl103"/>
    <w:basedOn w:val="1"/>
    <w:autoRedefine/>
    <w:qFormat/>
    <w:uiPriority w:val="0"/>
    <w:pPr>
      <w:widowControl/>
      <w:pBdr>
        <w:left w:val="single" w:color="auto" w:sz="4" w:space="0"/>
        <w:righ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589">
    <w:name w:val="xl138"/>
    <w:basedOn w:val="1"/>
    <w:autoRedefine/>
    <w:qFormat/>
    <w:uiPriority w:val="99"/>
    <w:pPr>
      <w:widowControl/>
      <w:pBdr>
        <w:left w:val="single" w:color="auto" w:sz="4" w:space="0"/>
        <w:bottom w:val="single" w:color="auto" w:sz="8" w:space="0"/>
      </w:pBdr>
      <w:spacing w:before="100" w:beforeAutospacing="1" w:after="100" w:afterAutospacing="1"/>
      <w:jc w:val="center"/>
      <w:textAlignment w:val="center"/>
    </w:pPr>
    <w:rPr>
      <w:kern w:val="0"/>
      <w:sz w:val="12"/>
      <w:szCs w:val="12"/>
    </w:rPr>
  </w:style>
  <w:style w:type="paragraph" w:customStyle="1" w:styleId="1590">
    <w:name w:val="表题1421"/>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1591">
    <w:name w:val="Char Char Char Char Char Char Char Char Char Char Char1 Char Char Char Char Char Char1"/>
    <w:basedOn w:val="1"/>
    <w:autoRedefine/>
    <w:qFormat/>
    <w:uiPriority w:val="39"/>
    <w:rPr>
      <w:sz w:val="24"/>
    </w:rPr>
  </w:style>
  <w:style w:type="paragraph" w:customStyle="1" w:styleId="1592">
    <w:name w:val="正文格式111"/>
    <w:basedOn w:val="1"/>
    <w:autoRedefine/>
    <w:qFormat/>
    <w:uiPriority w:val="0"/>
    <w:pPr>
      <w:spacing w:line="360" w:lineRule="auto"/>
      <w:ind w:firstLine="482"/>
    </w:pPr>
    <w:rPr>
      <w:rFonts w:ascii="宋体" w:hAnsi="宋体"/>
      <w:sz w:val="24"/>
    </w:rPr>
  </w:style>
  <w:style w:type="paragraph" w:customStyle="1" w:styleId="1593">
    <w:name w:val="xl35"/>
    <w:basedOn w:val="1"/>
    <w:autoRedefine/>
    <w:qFormat/>
    <w:uiPriority w:val="0"/>
    <w:pPr>
      <w:widowControl/>
      <w:pBdr>
        <w:left w:val="single" w:color="auto" w:sz="12"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594">
    <w:name w:val="黑体三号52"/>
    <w:basedOn w:val="416"/>
    <w:autoRedefine/>
    <w:qFormat/>
    <w:uiPriority w:val="0"/>
    <w:pPr>
      <w:jc w:val="center"/>
    </w:pPr>
    <w:rPr>
      <w:rFonts w:ascii="黑体" w:hAnsi="宋体" w:eastAsia="黑体" w:cs="宋体"/>
      <w:bCs/>
      <w:spacing w:val="0"/>
      <w:sz w:val="32"/>
    </w:rPr>
  </w:style>
  <w:style w:type="paragraph" w:customStyle="1" w:styleId="1595">
    <w:name w:val="表内5中5"/>
    <w:basedOn w:val="1"/>
    <w:autoRedefine/>
    <w:qFormat/>
    <w:uiPriority w:val="0"/>
    <w:pPr>
      <w:adjustRightInd w:val="0"/>
      <w:snapToGrid w:val="0"/>
      <w:jc w:val="center"/>
    </w:pPr>
    <w:rPr>
      <w:rFonts w:ascii="宋体" w:hAnsi="宋体" w:cs="Arial"/>
      <w:snapToGrid w:val="0"/>
      <w:color w:val="000000"/>
      <w:szCs w:val="21"/>
    </w:rPr>
  </w:style>
  <w:style w:type="paragraph" w:customStyle="1" w:styleId="1596">
    <w:name w:val="xl89"/>
    <w:basedOn w:val="1"/>
    <w:autoRedefine/>
    <w:qFormat/>
    <w:uiPriority w:val="0"/>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1597">
    <w:name w:val="样式 标题 2节节标题 1.1H2（一）Underrubrik1prop2Heading 2 HiddenHea..."/>
    <w:basedOn w:val="4"/>
    <w:autoRedefine/>
    <w:qFormat/>
    <w:uiPriority w:val="99"/>
    <w:pPr>
      <w:tabs>
        <w:tab w:val="left" w:pos="576"/>
      </w:tabs>
      <w:spacing w:beforeLines="50" w:after="0" w:line="360" w:lineRule="auto"/>
      <w:jc w:val="left"/>
    </w:pPr>
    <w:rPr>
      <w:rFonts w:ascii="宋体" w:hAnsi="Arial" w:cs="宋体"/>
      <w:color w:val="000000"/>
      <w:sz w:val="30"/>
      <w:szCs w:val="24"/>
    </w:rPr>
  </w:style>
  <w:style w:type="paragraph" w:customStyle="1" w:styleId="1598">
    <w:name w:val="表格内字体3"/>
    <w:basedOn w:val="416"/>
    <w:next w:val="416"/>
    <w:autoRedefine/>
    <w:qFormat/>
    <w:uiPriority w:val="0"/>
    <w:pPr>
      <w:spacing w:line="240" w:lineRule="auto"/>
      <w:ind w:firstLine="0"/>
      <w:jc w:val="center"/>
    </w:pPr>
    <w:rPr>
      <w:rFonts w:ascii="宋体" w:hAnsi="宋体"/>
      <w:b w:val="0"/>
      <w:spacing w:val="0"/>
      <w:szCs w:val="24"/>
    </w:rPr>
  </w:style>
  <w:style w:type="paragraph" w:customStyle="1" w:styleId="1599">
    <w:name w:val="默认段落字体 Para Char33"/>
    <w:basedOn w:val="1"/>
    <w:autoRedefine/>
    <w:qFormat/>
    <w:uiPriority w:val="0"/>
    <w:pPr>
      <w:spacing w:line="360" w:lineRule="auto"/>
      <w:ind w:firstLine="200" w:firstLineChars="200"/>
    </w:pPr>
    <w:rPr>
      <w:rFonts w:ascii="宋体" w:hAnsi="宋体" w:cs="宋体"/>
      <w:sz w:val="24"/>
    </w:rPr>
  </w:style>
  <w:style w:type="paragraph" w:customStyle="1" w:styleId="1600">
    <w:name w:val="表内宋51122"/>
    <w:basedOn w:val="81"/>
    <w:autoRedefine/>
    <w:qFormat/>
    <w:uiPriority w:val="0"/>
    <w:pPr>
      <w:adjustRightInd w:val="0"/>
      <w:snapToGrid w:val="0"/>
      <w:spacing w:before="0" w:beforeAutospacing="0" w:after="0" w:afterAutospacing="0"/>
      <w:jc w:val="both"/>
    </w:pPr>
    <w:rPr>
      <w:rFonts w:cs="宋体"/>
      <w:color w:val="000000"/>
      <w:sz w:val="21"/>
      <w:szCs w:val="24"/>
      <w:lang w:val="en-US"/>
    </w:rPr>
  </w:style>
  <w:style w:type="paragraph" w:customStyle="1" w:styleId="1601">
    <w:name w:val="正文-1"/>
    <w:basedOn w:val="1"/>
    <w:autoRedefine/>
    <w:qFormat/>
    <w:uiPriority w:val="0"/>
    <w:pPr>
      <w:adjustRightInd w:val="0"/>
      <w:spacing w:line="440" w:lineRule="exact"/>
      <w:ind w:firstLine="200" w:firstLineChars="200"/>
    </w:pPr>
    <w:rPr>
      <w:sz w:val="24"/>
      <w:szCs w:val="20"/>
    </w:rPr>
  </w:style>
  <w:style w:type="paragraph" w:customStyle="1" w:styleId="1602">
    <w:name w:val="xl633"/>
    <w:basedOn w:val="1"/>
    <w:autoRedefine/>
    <w:qFormat/>
    <w:uiPriority w:val="0"/>
    <w:pPr>
      <w:widowControl/>
      <w:spacing w:before="100" w:beforeAutospacing="1" w:after="100" w:afterAutospacing="1"/>
      <w:jc w:val="center"/>
      <w:textAlignment w:val="center"/>
    </w:pPr>
    <w:rPr>
      <w:rFonts w:hint="eastAsia" w:ascii="黑体" w:hAnsi="宋体" w:eastAsia="黑体"/>
      <w:kern w:val="0"/>
      <w:sz w:val="24"/>
    </w:rPr>
  </w:style>
  <w:style w:type="paragraph" w:customStyle="1" w:styleId="1603">
    <w:name w:val="样式112"/>
    <w:basedOn w:val="1604"/>
    <w:autoRedefine/>
    <w:qFormat/>
    <w:uiPriority w:val="0"/>
    <w:pPr>
      <w:tabs>
        <w:tab w:val="left" w:pos="4305"/>
      </w:tabs>
      <w:spacing w:line="240" w:lineRule="auto"/>
      <w:ind w:firstLine="0"/>
      <w:jc w:val="center"/>
    </w:pPr>
    <w:rPr>
      <w:rFonts w:cs="Times New Roman"/>
      <w:b/>
      <w:color w:val="auto"/>
      <w:szCs w:val="20"/>
    </w:rPr>
  </w:style>
  <w:style w:type="paragraph" w:customStyle="1" w:styleId="1604">
    <w:name w:val="表题31"/>
    <w:basedOn w:val="35"/>
    <w:autoRedefine/>
    <w:qFormat/>
    <w:uiPriority w:val="0"/>
    <w:pPr>
      <w:tabs>
        <w:tab w:val="left" w:pos="4305"/>
      </w:tabs>
      <w:adjustRightInd w:val="0"/>
      <w:snapToGrid w:val="0"/>
      <w:spacing w:after="0" w:line="360" w:lineRule="auto"/>
      <w:ind w:left="0" w:leftChars="0" w:firstLine="561"/>
    </w:pPr>
    <w:rPr>
      <w:rFonts w:ascii="宋体" w:hAnsi="宋体" w:cs="宋体"/>
      <w:color w:val="000000"/>
      <w:szCs w:val="24"/>
      <w:lang w:val="en-US"/>
    </w:rPr>
  </w:style>
  <w:style w:type="paragraph" w:customStyle="1" w:styleId="1605">
    <w:name w:val="xl49"/>
    <w:basedOn w:val="1"/>
    <w:autoRedefine/>
    <w:qFormat/>
    <w:uiPriority w:val="0"/>
    <w:pPr>
      <w:widowControl/>
      <w:pBdr>
        <w:lef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606">
    <w:name w:val="表内文字小2124"/>
    <w:basedOn w:val="1"/>
    <w:autoRedefine/>
    <w:qFormat/>
    <w:uiPriority w:val="0"/>
    <w:pPr>
      <w:adjustRightInd w:val="0"/>
      <w:snapToGrid w:val="0"/>
      <w:jc w:val="center"/>
    </w:pPr>
    <w:rPr>
      <w:rFonts w:ascii="宋体" w:hAnsi="Times"/>
      <w:bCs/>
      <w:color w:val="000000"/>
      <w:szCs w:val="20"/>
    </w:rPr>
  </w:style>
  <w:style w:type="paragraph" w:customStyle="1" w:styleId="1607">
    <w:name w:val="正文修改34"/>
    <w:basedOn w:val="192"/>
    <w:autoRedefine/>
    <w:qFormat/>
    <w:uiPriority w:val="0"/>
    <w:rPr>
      <w:rFonts w:hAnsi="宋体"/>
      <w:color w:val="000000"/>
    </w:rPr>
  </w:style>
  <w:style w:type="paragraph" w:customStyle="1" w:styleId="1608">
    <w:name w:val="InstÀÀll"/>
    <w:autoRedefine/>
    <w:qFormat/>
    <w:uiPriority w:val="99"/>
    <w:pPr>
      <w:tabs>
        <w:tab w:val="left" w:pos="-720"/>
      </w:tabs>
      <w:suppressAutoHyphens/>
      <w:jc w:val="both"/>
    </w:pPr>
    <w:rPr>
      <w:rFonts w:ascii="Courier" w:hAnsi="Courier" w:eastAsia="宋体" w:cs="Times New Roman"/>
      <w:spacing w:val="-3"/>
      <w:sz w:val="24"/>
      <w:lang w:val="en-US" w:eastAsia="sv-SE" w:bidi="ar-SA"/>
    </w:rPr>
  </w:style>
  <w:style w:type="paragraph" w:customStyle="1" w:styleId="1609">
    <w:name w:val="xl118"/>
    <w:basedOn w:val="1"/>
    <w:autoRedefine/>
    <w:qFormat/>
    <w:uiPriority w:val="99"/>
    <w:pPr>
      <w:widowControl/>
      <w:pBdr>
        <w:lef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610">
    <w:name w:val="默认段落字体 Para Char311"/>
    <w:basedOn w:val="1"/>
    <w:autoRedefine/>
    <w:qFormat/>
    <w:uiPriority w:val="0"/>
    <w:pPr>
      <w:spacing w:line="360" w:lineRule="auto"/>
      <w:ind w:firstLine="200" w:firstLineChars="200"/>
    </w:pPr>
    <w:rPr>
      <w:rFonts w:ascii="宋体" w:hAnsi="宋体" w:cs="宋体"/>
      <w:sz w:val="24"/>
    </w:rPr>
  </w:style>
  <w:style w:type="paragraph" w:customStyle="1" w:styleId="1611">
    <w:name w:val="表内文字小24"/>
    <w:basedOn w:val="1"/>
    <w:autoRedefine/>
    <w:qFormat/>
    <w:uiPriority w:val="0"/>
    <w:pPr>
      <w:adjustRightInd w:val="0"/>
      <w:snapToGrid w:val="0"/>
      <w:jc w:val="center"/>
    </w:pPr>
    <w:rPr>
      <w:rFonts w:ascii="宋体" w:hAnsi="Times"/>
      <w:bCs/>
      <w:color w:val="000000"/>
      <w:szCs w:val="20"/>
    </w:rPr>
  </w:style>
  <w:style w:type="paragraph" w:customStyle="1" w:styleId="1612">
    <w:name w:val="表格内字体121"/>
    <w:basedOn w:val="416"/>
    <w:next w:val="416"/>
    <w:autoRedefine/>
    <w:qFormat/>
    <w:uiPriority w:val="0"/>
    <w:pPr>
      <w:spacing w:line="240" w:lineRule="auto"/>
      <w:ind w:firstLine="0"/>
      <w:jc w:val="center"/>
    </w:pPr>
    <w:rPr>
      <w:rFonts w:ascii="宋体" w:hAnsi="宋体"/>
      <w:b w:val="0"/>
      <w:spacing w:val="0"/>
      <w:szCs w:val="24"/>
    </w:rPr>
  </w:style>
  <w:style w:type="paragraph" w:customStyle="1" w:styleId="1613">
    <w:name w:val="Char Char Char Char1 Char Char Char4"/>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614">
    <w:name w:val="xl177"/>
    <w:basedOn w:val="1"/>
    <w:autoRedefine/>
    <w:qFormat/>
    <w:uiPriority w:val="99"/>
    <w:pPr>
      <w:widowControl/>
      <w:pBdr>
        <w:left w:val="single" w:color="auto" w:sz="4" w:space="0"/>
      </w:pBdr>
      <w:spacing w:before="100" w:beforeAutospacing="1" w:after="100" w:afterAutospacing="1"/>
      <w:jc w:val="center"/>
    </w:pPr>
    <w:rPr>
      <w:rFonts w:ascii="Arial Unicode MS" w:hAnsi="Arial Unicode MS"/>
      <w:kern w:val="0"/>
      <w:sz w:val="12"/>
      <w:szCs w:val="12"/>
    </w:rPr>
  </w:style>
  <w:style w:type="paragraph" w:customStyle="1" w:styleId="1615">
    <w:name w:val="xl39"/>
    <w:basedOn w:val="1"/>
    <w:autoRedefine/>
    <w:qFormat/>
    <w:uiPriority w:val="0"/>
    <w:pPr>
      <w:widowControl/>
      <w:pBdr>
        <w:bottom w:val="single" w:color="auto" w:sz="12" w:space="0"/>
      </w:pBdr>
      <w:spacing w:before="100" w:beforeAutospacing="1" w:after="100" w:afterAutospacing="1"/>
      <w:jc w:val="left"/>
      <w:textAlignment w:val="center"/>
    </w:pPr>
    <w:rPr>
      <w:kern w:val="0"/>
      <w:sz w:val="16"/>
      <w:szCs w:val="16"/>
    </w:rPr>
  </w:style>
  <w:style w:type="paragraph" w:customStyle="1" w:styleId="1616">
    <w:name w:val="燕山正文1111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1617">
    <w:name w:val="xl111"/>
    <w:basedOn w:val="1"/>
    <w:autoRedefine/>
    <w:qFormat/>
    <w:uiPriority w:val="99"/>
    <w:pPr>
      <w:widowControl/>
      <w:pBdr>
        <w:top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618">
    <w:name w:val="图表题4"/>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1619">
    <w:name w:val="样式 正文缩进 + 宋体 黑色11"/>
    <w:basedOn w:val="9"/>
    <w:autoRedefine/>
    <w:qFormat/>
    <w:uiPriority w:val="0"/>
    <w:pPr>
      <w:spacing w:line="360" w:lineRule="auto"/>
      <w:ind w:firstLine="200"/>
      <w:jc w:val="left"/>
    </w:pPr>
    <w:rPr>
      <w:rFonts w:ascii="宋体" w:hAnsi="宋体"/>
      <w:color w:val="000000"/>
      <w:kern w:val="0"/>
      <w:sz w:val="24"/>
      <w:lang w:val="en-US"/>
    </w:rPr>
  </w:style>
  <w:style w:type="paragraph" w:customStyle="1" w:styleId="1620">
    <w:name w:val="表中文字8"/>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1621">
    <w:name w:val="默认段落字体 Para Char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1622">
    <w:name w:val="图题411"/>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1623">
    <w:name w:val="Char Char Char Char Char Char Char112"/>
    <w:basedOn w:val="1"/>
    <w:autoRedefine/>
    <w:qFormat/>
    <w:uiPriority w:val="0"/>
  </w:style>
  <w:style w:type="paragraph" w:customStyle="1" w:styleId="1624">
    <w:name w:val="样式 样式 正文文本缩进正文文字缩进正文文字 21正文文字( 首段缩进两字） + (中文) 宋体 五号 居中 行距: 固定......"/>
    <w:basedOn w:val="1625"/>
    <w:autoRedefine/>
    <w:qFormat/>
    <w:uiPriority w:val="0"/>
    <w:rPr>
      <w:rFonts w:ascii="宋体"/>
      <w:szCs w:val="20"/>
    </w:rPr>
  </w:style>
  <w:style w:type="paragraph" w:customStyle="1" w:styleId="1625">
    <w:name w:val="样式 正文文本缩进正文文字缩进正文文字 21正文文字( 首段缩进两字） + (中文) 宋体 五号 居中 行距: 固定..."/>
    <w:basedOn w:val="35"/>
    <w:autoRedefine/>
    <w:qFormat/>
    <w:uiPriority w:val="0"/>
    <w:pPr>
      <w:spacing w:after="0" w:line="400" w:lineRule="exact"/>
      <w:ind w:left="0" w:leftChars="0"/>
      <w:jc w:val="center"/>
    </w:pPr>
    <w:rPr>
      <w:rFonts w:cs="宋体"/>
      <w:szCs w:val="24"/>
      <w:lang w:val="en-US"/>
    </w:rPr>
  </w:style>
  <w:style w:type="paragraph" w:customStyle="1" w:styleId="1626">
    <w:name w:val="xl137"/>
    <w:basedOn w:val="1"/>
    <w:autoRedefine/>
    <w:qFormat/>
    <w:uiPriority w:val="99"/>
    <w:pPr>
      <w:widowControl/>
      <w:pBdr>
        <w:bottom w:val="single" w:color="auto" w:sz="8" w:space="0"/>
      </w:pBdr>
      <w:spacing w:before="100" w:beforeAutospacing="1" w:after="100" w:afterAutospacing="1"/>
      <w:jc w:val="left"/>
    </w:pPr>
    <w:rPr>
      <w:rFonts w:ascii="Arial Unicode MS" w:hAnsi="Arial Unicode MS"/>
      <w:kern w:val="0"/>
      <w:sz w:val="12"/>
      <w:szCs w:val="12"/>
    </w:rPr>
  </w:style>
  <w:style w:type="paragraph" w:customStyle="1" w:styleId="1627">
    <w:name w:val="Char Char Char1 Char Char Char Char3"/>
    <w:basedOn w:val="1"/>
    <w:autoRedefine/>
    <w:qFormat/>
    <w:uiPriority w:val="39"/>
    <w:rPr>
      <w:szCs w:val="20"/>
    </w:rPr>
  </w:style>
  <w:style w:type="paragraph" w:customStyle="1" w:styleId="1628">
    <w:name w:val="样式 标题 4 + (西文) Times New Roman (中文) 宋体 小四"/>
    <w:basedOn w:val="6"/>
    <w:autoRedefine/>
    <w:qFormat/>
    <w:uiPriority w:val="0"/>
  </w:style>
  <w:style w:type="paragraph" w:customStyle="1" w:styleId="1629">
    <w:name w:val="表内文字小316"/>
    <w:basedOn w:val="1"/>
    <w:autoRedefine/>
    <w:qFormat/>
    <w:uiPriority w:val="0"/>
    <w:pPr>
      <w:adjustRightInd w:val="0"/>
      <w:snapToGrid w:val="0"/>
      <w:jc w:val="center"/>
    </w:pPr>
    <w:rPr>
      <w:rFonts w:ascii="宋体" w:hAnsi="Times" w:cs="宋体"/>
      <w:bCs/>
      <w:color w:val="003366"/>
      <w:szCs w:val="20"/>
    </w:rPr>
  </w:style>
  <w:style w:type="paragraph" w:customStyle="1" w:styleId="1630">
    <w:name w:val="表内533"/>
    <w:basedOn w:val="1"/>
    <w:autoRedefine/>
    <w:qFormat/>
    <w:uiPriority w:val="0"/>
    <w:pPr>
      <w:adjustRightInd w:val="0"/>
      <w:snapToGrid w:val="0"/>
      <w:spacing w:line="300" w:lineRule="auto"/>
      <w:jc w:val="left"/>
    </w:pPr>
    <w:rPr>
      <w:rFonts w:ascii="宋体"/>
      <w:szCs w:val="20"/>
    </w:rPr>
  </w:style>
  <w:style w:type="paragraph" w:customStyle="1" w:styleId="1631">
    <w:name w:val="封面标准文稿编辑信息12"/>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632">
    <w:name w:val="xl190"/>
    <w:basedOn w:val="1"/>
    <w:autoRedefine/>
    <w:qFormat/>
    <w:uiPriority w:val="99"/>
    <w:pPr>
      <w:widowControl/>
      <w:pBdr>
        <w:top w:val="single" w:color="auto" w:sz="12" w:space="0"/>
      </w:pBdr>
      <w:spacing w:before="100" w:beforeAutospacing="1" w:after="100" w:afterAutospacing="1"/>
      <w:jc w:val="left"/>
      <w:textAlignment w:val="center"/>
    </w:pPr>
    <w:rPr>
      <w:rFonts w:ascii="Arial Unicode MS" w:hAnsi="Arial Unicode MS"/>
      <w:kern w:val="0"/>
      <w:sz w:val="12"/>
      <w:szCs w:val="12"/>
    </w:rPr>
  </w:style>
  <w:style w:type="paragraph" w:customStyle="1" w:styleId="1633">
    <w:name w:val="表23"/>
    <w:basedOn w:val="1"/>
    <w:autoRedefine/>
    <w:qFormat/>
    <w:uiPriority w:val="0"/>
    <w:pPr>
      <w:adjustRightInd w:val="0"/>
      <w:snapToGrid w:val="0"/>
      <w:jc w:val="center"/>
    </w:pPr>
    <w:rPr>
      <w:rFonts w:eastAsia="仿宋_GB2312"/>
      <w:sz w:val="24"/>
    </w:rPr>
  </w:style>
  <w:style w:type="paragraph" w:customStyle="1" w:styleId="1634">
    <w:name w:val="表内54112"/>
    <w:basedOn w:val="1"/>
    <w:autoRedefine/>
    <w:qFormat/>
    <w:uiPriority w:val="0"/>
    <w:pPr>
      <w:adjustRightInd w:val="0"/>
      <w:snapToGrid w:val="0"/>
      <w:spacing w:line="300" w:lineRule="auto"/>
      <w:jc w:val="center"/>
    </w:pPr>
    <w:rPr>
      <w:rFonts w:ascii="宋体" w:hAnsi="宋体" w:cs="宋体"/>
      <w:szCs w:val="20"/>
    </w:rPr>
  </w:style>
  <w:style w:type="paragraph" w:customStyle="1" w:styleId="1635">
    <w:name w:val="图表名称12"/>
    <w:basedOn w:val="86"/>
    <w:autoRedefine/>
    <w:qFormat/>
    <w:uiPriority w:val="0"/>
    <w:pPr>
      <w:widowControl/>
      <w:adjustRightInd w:val="0"/>
      <w:snapToGrid w:val="0"/>
      <w:spacing w:after="0" w:line="480" w:lineRule="exact"/>
      <w:ind w:firstLine="0" w:firstLineChars="0"/>
      <w:jc w:val="center"/>
    </w:pPr>
    <w:rPr>
      <w:rFonts w:ascii="宋体" w:hAnsi="宋体"/>
      <w:bCs/>
      <w:sz w:val="24"/>
      <w:szCs w:val="24"/>
    </w:rPr>
  </w:style>
  <w:style w:type="paragraph" w:customStyle="1" w:styleId="1636">
    <w:name w:val="Char Char Char Char Char"/>
    <w:basedOn w:val="1"/>
    <w:autoRedefine/>
    <w:qFormat/>
    <w:uiPriority w:val="0"/>
    <w:rPr>
      <w:sz w:val="24"/>
      <w:szCs w:val="20"/>
    </w:rPr>
  </w:style>
  <w:style w:type="paragraph" w:customStyle="1" w:styleId="1637">
    <w:name w:val="燕山正文16"/>
    <w:basedOn w:val="1"/>
    <w:autoRedefine/>
    <w:qFormat/>
    <w:uiPriority w:val="0"/>
    <w:pPr>
      <w:tabs>
        <w:tab w:val="left" w:pos="4680"/>
      </w:tabs>
      <w:adjustRightInd w:val="0"/>
      <w:snapToGrid w:val="0"/>
      <w:spacing w:line="480" w:lineRule="exact"/>
    </w:pPr>
    <w:rPr>
      <w:rFonts w:ascii="宋体" w:cs="宋体"/>
      <w:sz w:val="24"/>
    </w:rPr>
  </w:style>
  <w:style w:type="paragraph" w:customStyle="1" w:styleId="1638">
    <w:name w:val="Char Char1 Char Char Char Char Char Char2"/>
    <w:basedOn w:val="1"/>
    <w:autoRedefine/>
    <w:qFormat/>
    <w:uiPriority w:val="39"/>
  </w:style>
  <w:style w:type="paragraph" w:customStyle="1" w:styleId="1639">
    <w:name w:val="样式 正文文本 + 首行缩进:  2 字符4"/>
    <w:basedOn w:val="34"/>
    <w:autoRedefine/>
    <w:qFormat/>
    <w:uiPriority w:val="0"/>
    <w:pPr>
      <w:widowControl w:val="0"/>
      <w:adjustRightInd w:val="0"/>
      <w:snapToGrid/>
      <w:spacing w:before="0" w:after="0" w:line="240" w:lineRule="auto"/>
      <w:ind w:right="0"/>
      <w:textAlignment w:val="baseline"/>
    </w:pPr>
    <w:rPr>
      <w:rFonts w:eastAsia="仿宋_GB2312" w:cs="宋体"/>
      <w:color w:val="000000"/>
      <w:sz w:val="20"/>
      <w:szCs w:val="21"/>
      <w:lang w:val="en-US"/>
    </w:rPr>
  </w:style>
  <w:style w:type="paragraph" w:customStyle="1" w:styleId="1640">
    <w:name w:val="正文格式＝34"/>
    <w:basedOn w:val="416"/>
    <w:next w:val="416"/>
    <w:autoRedefine/>
    <w:qFormat/>
    <w:uiPriority w:val="0"/>
    <w:rPr>
      <w:rFonts w:ascii="宋体" w:hAnsi="宋体"/>
      <w:b w:val="0"/>
      <w:spacing w:val="0"/>
      <w:sz w:val="24"/>
      <w:szCs w:val="24"/>
    </w:rPr>
  </w:style>
  <w:style w:type="paragraph" w:customStyle="1" w:styleId="1641">
    <w:name w:val="表题3142"/>
    <w:basedOn w:val="35"/>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1642">
    <w:name w:val="表文"/>
    <w:basedOn w:val="34"/>
    <w:next w:val="1"/>
    <w:autoRedefine/>
    <w:qFormat/>
    <w:uiPriority w:val="99"/>
    <w:pPr>
      <w:widowControl w:val="0"/>
      <w:snapToGrid/>
      <w:spacing w:before="0" w:after="0" w:line="360" w:lineRule="auto"/>
      <w:ind w:right="0"/>
      <w:jc w:val="center"/>
    </w:pPr>
    <w:rPr>
      <w:rFonts w:eastAsia="仿宋_GB2312"/>
      <w:sz w:val="24"/>
      <w:lang w:val="en-US"/>
    </w:rPr>
  </w:style>
  <w:style w:type="paragraph" w:customStyle="1" w:styleId="1643">
    <w:name w:val="黑体三号6"/>
    <w:basedOn w:val="416"/>
    <w:autoRedefine/>
    <w:qFormat/>
    <w:uiPriority w:val="0"/>
    <w:pPr>
      <w:jc w:val="center"/>
    </w:pPr>
    <w:rPr>
      <w:rFonts w:ascii="黑体" w:hAnsi="宋体" w:eastAsia="黑体" w:cs="宋体"/>
      <w:bCs/>
      <w:spacing w:val="0"/>
      <w:sz w:val="32"/>
    </w:rPr>
  </w:style>
  <w:style w:type="paragraph" w:customStyle="1" w:styleId="1644">
    <w:name w:val="字元 字元 Char Char 字元 字元11"/>
    <w:basedOn w:val="1"/>
    <w:autoRedefine/>
    <w:qFormat/>
    <w:uiPriority w:val="99"/>
    <w:rPr>
      <w:sz w:val="24"/>
    </w:rPr>
  </w:style>
  <w:style w:type="paragraph" w:customStyle="1" w:styleId="1645">
    <w:name w:val="五号表格"/>
    <w:next w:val="1"/>
    <w:autoRedefine/>
    <w:qFormat/>
    <w:uiPriority w:val="0"/>
    <w:rPr>
      <w:rFonts w:ascii="宋体" w:hAnsi="Times New Roman" w:eastAsia="宋体" w:cs="Times New Roman"/>
      <w:sz w:val="21"/>
      <w:lang w:val="en-US" w:eastAsia="zh-CN" w:bidi="ar-SA"/>
    </w:rPr>
  </w:style>
  <w:style w:type="paragraph" w:customStyle="1" w:styleId="1646">
    <w:name w:val="xl97"/>
    <w:basedOn w:val="1"/>
    <w:autoRedefine/>
    <w:qFormat/>
    <w:uiPriority w:val="0"/>
    <w:pPr>
      <w:widowControl/>
      <w:pBdr>
        <w:top w:val="single" w:color="auto" w:sz="12" w:space="0"/>
        <w:righ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647">
    <w:name w:val="Char Char Char1 Char Char Char Char Char Char Char Char Char Char Char Char Char Char Char1 Char Char Char Char Char Char Char Char Char Char Char Char2"/>
    <w:basedOn w:val="1"/>
    <w:autoRedefine/>
    <w:qFormat/>
    <w:uiPriority w:val="39"/>
    <w:rPr>
      <w:szCs w:val="21"/>
    </w:rPr>
  </w:style>
  <w:style w:type="paragraph" w:customStyle="1" w:styleId="1648">
    <w:name w:val="Char331"/>
    <w:basedOn w:val="1"/>
    <w:autoRedefine/>
    <w:qFormat/>
    <w:uiPriority w:val="0"/>
    <w:pPr>
      <w:ind w:left="-48"/>
    </w:pPr>
  </w:style>
  <w:style w:type="paragraph" w:customStyle="1" w:styleId="1649">
    <w:name w:val="9 Char Char Char4"/>
    <w:basedOn w:val="1"/>
    <w:autoRedefine/>
    <w:qFormat/>
    <w:uiPriority w:val="0"/>
    <w:pPr>
      <w:spacing w:line="240" w:lineRule="exact"/>
      <w:ind w:firstLine="200" w:firstLineChars="200"/>
    </w:pPr>
    <w:rPr>
      <w:sz w:val="28"/>
      <w:szCs w:val="28"/>
    </w:rPr>
  </w:style>
  <w:style w:type="paragraph" w:customStyle="1" w:styleId="1650">
    <w:name w:val="xl149"/>
    <w:basedOn w:val="1"/>
    <w:autoRedefine/>
    <w:qFormat/>
    <w:uiPriority w:val="99"/>
    <w:pPr>
      <w:widowControl/>
      <w:pBdr>
        <w:bottom w:val="single" w:color="auto" w:sz="8" w:space="0"/>
        <w:right w:val="single" w:color="auto" w:sz="4" w:space="0"/>
      </w:pBdr>
      <w:spacing w:before="100" w:beforeAutospacing="1" w:after="100" w:afterAutospacing="1"/>
      <w:jc w:val="left"/>
    </w:pPr>
    <w:rPr>
      <w:rFonts w:ascii="Arial Unicode MS" w:hAnsi="Arial Unicode MS"/>
      <w:kern w:val="0"/>
    </w:rPr>
  </w:style>
  <w:style w:type="paragraph" w:customStyle="1" w:styleId="1651">
    <w:name w:val="样式 样式3.4.5.1 + 段前: 0.5 行"/>
    <w:basedOn w:val="1652"/>
    <w:autoRedefine/>
    <w:qFormat/>
    <w:uiPriority w:val="99"/>
    <w:rPr>
      <w:rFonts w:cs="宋体"/>
      <w:szCs w:val="20"/>
    </w:rPr>
  </w:style>
  <w:style w:type="paragraph" w:customStyle="1" w:styleId="1652">
    <w:name w:val="样式3.4.5.1"/>
    <w:basedOn w:val="6"/>
    <w:autoRedefine/>
    <w:qFormat/>
    <w:uiPriority w:val="99"/>
    <w:pPr>
      <w:spacing w:beforeLines="50" w:after="0" w:line="360" w:lineRule="auto"/>
      <w:ind w:left="0" w:firstLine="0"/>
    </w:pPr>
    <w:rPr>
      <w:rFonts w:ascii="Times New Roman" w:hAnsi="Times New Roman" w:eastAsia="宋体"/>
      <w:sz w:val="24"/>
      <w:szCs w:val="24"/>
    </w:rPr>
  </w:style>
  <w:style w:type="paragraph" w:customStyle="1" w:styleId="1653">
    <w:name w:val="项目段落"/>
    <w:basedOn w:val="1"/>
    <w:autoRedefine/>
    <w:qFormat/>
    <w:uiPriority w:val="99"/>
    <w:pPr>
      <w:spacing w:before="60" w:line="360" w:lineRule="auto"/>
      <w:ind w:left="476" w:firstLine="482"/>
    </w:pPr>
    <w:rPr>
      <w:rFonts w:ascii="Arial" w:hAnsi="Arial" w:eastAsia="仿宋_GB2312"/>
      <w:kern w:val="0"/>
      <w:sz w:val="24"/>
      <w:szCs w:val="20"/>
    </w:rPr>
  </w:style>
  <w:style w:type="paragraph" w:customStyle="1" w:styleId="1654">
    <w:name w:val="表文字5211"/>
    <w:basedOn w:val="1"/>
    <w:autoRedefine/>
    <w:qFormat/>
    <w:uiPriority w:val="0"/>
    <w:pPr>
      <w:adjustRightInd w:val="0"/>
      <w:jc w:val="left"/>
      <w:textAlignment w:val="baseline"/>
    </w:pPr>
    <w:rPr>
      <w:rFonts w:ascii="宋体"/>
      <w:kern w:val="0"/>
      <w:szCs w:val="20"/>
    </w:rPr>
  </w:style>
  <w:style w:type="paragraph" w:customStyle="1" w:styleId="1655">
    <w:name w:val="表格内字体32"/>
    <w:basedOn w:val="416"/>
    <w:next w:val="416"/>
    <w:autoRedefine/>
    <w:qFormat/>
    <w:uiPriority w:val="0"/>
    <w:pPr>
      <w:spacing w:line="240" w:lineRule="auto"/>
      <w:ind w:firstLine="0"/>
      <w:jc w:val="center"/>
    </w:pPr>
    <w:rPr>
      <w:rFonts w:ascii="宋体" w:hAnsi="宋体"/>
      <w:b w:val="0"/>
      <w:spacing w:val="0"/>
      <w:szCs w:val="24"/>
    </w:rPr>
  </w:style>
  <w:style w:type="paragraph" w:customStyle="1" w:styleId="1656">
    <w:name w:val="xl26"/>
    <w:basedOn w:val="1"/>
    <w:autoRedefine/>
    <w:qFormat/>
    <w:uiPriority w:val="0"/>
    <w:pPr>
      <w:widowControl/>
      <w:spacing w:before="100" w:after="100"/>
      <w:jc w:val="center"/>
    </w:pPr>
    <w:rPr>
      <w:rFonts w:ascii="宋体" w:hAnsi="宋体"/>
      <w:kern w:val="0"/>
      <w:sz w:val="24"/>
      <w:szCs w:val="20"/>
    </w:rPr>
  </w:style>
  <w:style w:type="paragraph" w:customStyle="1" w:styleId="1657">
    <w:name w:val="表内文字小3133"/>
    <w:basedOn w:val="1"/>
    <w:autoRedefine/>
    <w:qFormat/>
    <w:uiPriority w:val="0"/>
    <w:pPr>
      <w:adjustRightInd w:val="0"/>
      <w:snapToGrid w:val="0"/>
      <w:jc w:val="center"/>
    </w:pPr>
    <w:rPr>
      <w:rFonts w:ascii="宋体" w:hAnsi="Times" w:cs="宋体"/>
      <w:bCs/>
      <w:color w:val="003366"/>
      <w:szCs w:val="20"/>
    </w:rPr>
  </w:style>
  <w:style w:type="paragraph" w:customStyle="1" w:styleId="1658">
    <w:name w:val="条(三级)"/>
    <w:basedOn w:val="1"/>
    <w:next w:val="1"/>
    <w:autoRedefine/>
    <w:qFormat/>
    <w:uiPriority w:val="39"/>
    <w:pPr>
      <w:keepNext/>
      <w:keepLines/>
      <w:adjustRightInd w:val="0"/>
      <w:snapToGrid w:val="0"/>
      <w:spacing w:beforeLines="20" w:line="460" w:lineRule="exact"/>
      <w:jc w:val="center"/>
      <w:textAlignment w:val="baseline"/>
    </w:pPr>
    <w:rPr>
      <w:rFonts w:hAnsi="宋体"/>
      <w:spacing w:val="3"/>
      <w:kern w:val="24"/>
      <w:sz w:val="24"/>
      <w:szCs w:val="20"/>
    </w:rPr>
  </w:style>
  <w:style w:type="paragraph" w:customStyle="1" w:styleId="1659">
    <w:name w:val="Char214"/>
    <w:basedOn w:val="1"/>
    <w:autoRedefine/>
    <w:qFormat/>
    <w:uiPriority w:val="0"/>
    <w:pPr>
      <w:adjustRightInd w:val="0"/>
      <w:snapToGrid w:val="0"/>
      <w:spacing w:beforeLines="50" w:line="360" w:lineRule="auto"/>
    </w:pPr>
    <w:rPr>
      <w:rFonts w:ascii="黑体" w:eastAsia="黑体"/>
      <w:sz w:val="32"/>
      <w:szCs w:val="32"/>
    </w:rPr>
  </w:style>
  <w:style w:type="paragraph" w:customStyle="1" w:styleId="1660">
    <w:name w:val="表前文"/>
    <w:basedOn w:val="1"/>
    <w:autoRedefine/>
    <w:qFormat/>
    <w:uiPriority w:val="0"/>
    <w:pPr>
      <w:adjustRightInd w:val="0"/>
      <w:spacing w:after="120" w:line="360" w:lineRule="auto"/>
      <w:ind w:firstLine="493"/>
      <w:textAlignment w:val="baseline"/>
    </w:pPr>
    <w:rPr>
      <w:kern w:val="0"/>
      <w:sz w:val="24"/>
    </w:rPr>
  </w:style>
  <w:style w:type="paragraph" w:customStyle="1" w:styleId="1661">
    <w:name w:val="标题43123"/>
    <w:basedOn w:val="1"/>
    <w:autoRedefine/>
    <w:qFormat/>
    <w:uiPriority w:val="0"/>
    <w:pPr>
      <w:adjustRightInd w:val="0"/>
      <w:snapToGrid w:val="0"/>
      <w:spacing w:line="480" w:lineRule="exact"/>
      <w:jc w:val="center"/>
    </w:pPr>
    <w:rPr>
      <w:rFonts w:ascii="宋体" w:hAnsi="宋体" w:cs="宋体"/>
      <w:sz w:val="24"/>
    </w:rPr>
  </w:style>
  <w:style w:type="paragraph" w:customStyle="1" w:styleId="1662">
    <w:name w:val="表内文字小21311"/>
    <w:basedOn w:val="1"/>
    <w:autoRedefine/>
    <w:qFormat/>
    <w:uiPriority w:val="0"/>
    <w:pPr>
      <w:adjustRightInd w:val="0"/>
      <w:snapToGrid w:val="0"/>
      <w:jc w:val="center"/>
      <w:textAlignment w:val="baseline"/>
    </w:pPr>
    <w:rPr>
      <w:rFonts w:ascii="宋体" w:hAnsi="Times"/>
      <w:bCs/>
      <w:color w:val="000000"/>
      <w:szCs w:val="20"/>
    </w:rPr>
  </w:style>
  <w:style w:type="paragraph" w:customStyle="1" w:styleId="1663">
    <w:name w:val="正文文本缩进 32"/>
    <w:basedOn w:val="1"/>
    <w:autoRedefine/>
    <w:qFormat/>
    <w:uiPriority w:val="99"/>
    <w:pPr>
      <w:spacing w:after="120"/>
      <w:ind w:left="420" w:leftChars="200"/>
    </w:pPr>
    <w:rPr>
      <w:rFonts w:eastAsia="仿宋_GB2312"/>
      <w:sz w:val="16"/>
      <w:szCs w:val="16"/>
    </w:rPr>
  </w:style>
  <w:style w:type="paragraph" w:customStyle="1" w:styleId="1664">
    <w:name w:val="样式114"/>
    <w:basedOn w:val="1604"/>
    <w:autoRedefine/>
    <w:qFormat/>
    <w:uiPriority w:val="0"/>
    <w:pPr>
      <w:spacing w:line="240" w:lineRule="auto"/>
      <w:ind w:firstLine="0"/>
      <w:jc w:val="center"/>
    </w:pPr>
    <w:rPr>
      <w:rFonts w:cs="Times New Roman"/>
      <w:b/>
      <w:color w:val="auto"/>
      <w:szCs w:val="20"/>
    </w:rPr>
  </w:style>
  <w:style w:type="paragraph" w:customStyle="1" w:styleId="1665">
    <w:name w:val="表内文字小2131"/>
    <w:basedOn w:val="1"/>
    <w:autoRedefine/>
    <w:qFormat/>
    <w:uiPriority w:val="0"/>
    <w:pPr>
      <w:adjustRightInd w:val="0"/>
      <w:snapToGrid w:val="0"/>
      <w:jc w:val="center"/>
      <w:textAlignment w:val="baseline"/>
    </w:pPr>
    <w:rPr>
      <w:rFonts w:ascii="宋体" w:hAnsi="Times"/>
      <w:bCs/>
      <w:color w:val="000000"/>
      <w:szCs w:val="20"/>
    </w:rPr>
  </w:style>
  <w:style w:type="paragraph" w:customStyle="1" w:styleId="1666">
    <w:name w:val="表中文字33"/>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1667">
    <w:name w:val="表内宋5114"/>
    <w:basedOn w:val="81"/>
    <w:autoRedefine/>
    <w:qFormat/>
    <w:uiPriority w:val="0"/>
    <w:pPr>
      <w:adjustRightInd w:val="0"/>
      <w:snapToGrid w:val="0"/>
      <w:spacing w:before="0" w:beforeAutospacing="0" w:after="0" w:afterAutospacing="0"/>
      <w:jc w:val="both"/>
    </w:pPr>
    <w:rPr>
      <w:rFonts w:cs="宋体"/>
      <w:color w:val="000000"/>
      <w:sz w:val="21"/>
      <w:szCs w:val="24"/>
      <w:lang w:val="en-US"/>
    </w:rPr>
  </w:style>
  <w:style w:type="paragraph" w:customStyle="1" w:styleId="1668">
    <w:name w:val="表题313"/>
    <w:basedOn w:val="35"/>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1669">
    <w:name w:val="表题133"/>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1670">
    <w:name w:val="图题33"/>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1671">
    <w:name w:val="燕山正文111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1672">
    <w:name w:val="xl180"/>
    <w:basedOn w:val="1"/>
    <w:autoRedefine/>
    <w:qFormat/>
    <w:uiPriority w:val="99"/>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673">
    <w:name w:val="样式 样式 宋体 + 首行缩进:  2 字符111"/>
    <w:basedOn w:val="1"/>
    <w:autoRedefine/>
    <w:qFormat/>
    <w:uiPriority w:val="0"/>
    <w:pPr>
      <w:spacing w:line="360" w:lineRule="auto"/>
      <w:ind w:firstLine="480" w:firstLineChars="200"/>
      <w:jc w:val="left"/>
    </w:pPr>
    <w:rPr>
      <w:rFonts w:ascii="宋体" w:cs="宋体"/>
      <w:sz w:val="24"/>
    </w:rPr>
  </w:style>
  <w:style w:type="paragraph" w:customStyle="1" w:styleId="1674">
    <w:name w:val="xl156"/>
    <w:basedOn w:val="1"/>
    <w:autoRedefine/>
    <w:qFormat/>
    <w:uiPriority w:val="99"/>
    <w:pPr>
      <w:widowControl/>
      <w:pBdr>
        <w:left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1675">
    <w:name w:val="附件311"/>
    <w:basedOn w:val="3"/>
    <w:next w:val="416"/>
    <w:autoRedefine/>
    <w:qFormat/>
    <w:uiPriority w:val="0"/>
    <w:pPr>
      <w:keepLines/>
      <w:tabs>
        <w:tab w:val="left" w:pos="1566"/>
      </w:tabs>
      <w:overflowPunct/>
      <w:adjustRightInd w:val="0"/>
      <w:spacing w:before="0" w:after="120" w:line="360" w:lineRule="auto"/>
      <w:ind w:left="0" w:firstLine="0"/>
      <w:jc w:val="left"/>
    </w:pPr>
    <w:rPr>
      <w:rFonts w:ascii="黑体" w:hAnsi="宋体"/>
      <w:b w:val="0"/>
      <w:color w:val="auto"/>
      <w:sz w:val="32"/>
      <w:szCs w:val="32"/>
    </w:rPr>
  </w:style>
  <w:style w:type="paragraph" w:customStyle="1" w:styleId="1676">
    <w:name w:val="批注框文本 Char Char"/>
    <w:basedOn w:val="1"/>
    <w:autoRedefine/>
    <w:qFormat/>
    <w:uiPriority w:val="0"/>
    <w:rPr>
      <w:sz w:val="18"/>
      <w:szCs w:val="20"/>
    </w:rPr>
  </w:style>
  <w:style w:type="paragraph" w:customStyle="1" w:styleId="1677">
    <w:name w:val="表题316"/>
    <w:basedOn w:val="35"/>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1678">
    <w:name w:val="表题132"/>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1679">
    <w:name w:val="四级条标题"/>
    <w:basedOn w:val="1680"/>
    <w:next w:val="1"/>
    <w:autoRedefine/>
    <w:qFormat/>
    <w:uiPriority w:val="0"/>
    <w:pPr>
      <w:tabs>
        <w:tab w:val="left" w:pos="360"/>
        <w:tab w:val="left" w:pos="864"/>
        <w:tab w:val="left" w:pos="903"/>
        <w:tab w:val="left" w:pos="1008"/>
        <w:tab w:val="left" w:pos="1080"/>
        <w:tab w:val="left" w:pos="1152"/>
        <w:tab w:val="left" w:pos="1260"/>
        <w:tab w:val="left" w:pos="1400"/>
        <w:tab w:val="left" w:pos="1680"/>
        <w:tab w:val="left" w:pos="1820"/>
        <w:tab w:val="left" w:pos="2100"/>
        <w:tab w:val="left" w:pos="2240"/>
        <w:tab w:val="left" w:pos="2520"/>
        <w:tab w:val="left" w:pos="2660"/>
        <w:tab w:val="left" w:pos="3080"/>
      </w:tabs>
      <w:ind w:left="2520"/>
      <w:outlineLvl w:val="5"/>
    </w:pPr>
  </w:style>
  <w:style w:type="paragraph" w:customStyle="1" w:styleId="1680">
    <w:name w:val="三级条标题"/>
    <w:basedOn w:val="1681"/>
    <w:next w:val="1"/>
    <w:autoRedefine/>
    <w:qFormat/>
    <w:uiPriority w:val="0"/>
    <w:pPr>
      <w:tabs>
        <w:tab w:val="left" w:pos="360"/>
        <w:tab w:val="left" w:pos="864"/>
        <w:tab w:val="left" w:pos="903"/>
        <w:tab w:val="left" w:pos="1008"/>
        <w:tab w:val="left" w:pos="1080"/>
        <w:tab w:val="left" w:pos="1260"/>
        <w:tab w:val="left" w:pos="1400"/>
        <w:tab w:val="left" w:pos="1680"/>
        <w:tab w:val="left" w:pos="1820"/>
        <w:tab w:val="left" w:pos="2100"/>
        <w:tab w:val="left" w:pos="2240"/>
        <w:tab w:val="left" w:pos="2660"/>
      </w:tabs>
      <w:ind w:left="2100"/>
      <w:outlineLvl w:val="4"/>
    </w:pPr>
  </w:style>
  <w:style w:type="paragraph" w:customStyle="1" w:styleId="1681">
    <w:name w:val="二级条标题"/>
    <w:basedOn w:val="1682"/>
    <w:next w:val="1"/>
    <w:autoRedefine/>
    <w:qFormat/>
    <w:uiPriority w:val="0"/>
    <w:pPr>
      <w:tabs>
        <w:tab w:val="left" w:pos="360"/>
        <w:tab w:val="left" w:pos="864"/>
        <w:tab w:val="left" w:pos="903"/>
        <w:tab w:val="left" w:pos="1080"/>
        <w:tab w:val="left" w:pos="1260"/>
        <w:tab w:val="left" w:pos="1400"/>
        <w:tab w:val="left" w:pos="1680"/>
        <w:tab w:val="left" w:pos="1820"/>
        <w:tab w:val="left" w:pos="2240"/>
      </w:tabs>
      <w:ind w:left="1680"/>
      <w:outlineLvl w:val="3"/>
    </w:pPr>
  </w:style>
  <w:style w:type="paragraph" w:customStyle="1" w:styleId="1682">
    <w:name w:val="一级条标题"/>
    <w:basedOn w:val="1683"/>
    <w:next w:val="1"/>
    <w:autoRedefine/>
    <w:qFormat/>
    <w:uiPriority w:val="0"/>
    <w:pPr>
      <w:tabs>
        <w:tab w:val="left" w:pos="360"/>
        <w:tab w:val="left" w:pos="903"/>
        <w:tab w:val="left" w:pos="1080"/>
        <w:tab w:val="left" w:pos="1260"/>
        <w:tab w:val="left" w:pos="1400"/>
        <w:tab w:val="left" w:pos="1820"/>
      </w:tabs>
      <w:spacing w:before="0" w:after="0"/>
      <w:ind w:left="1260" w:hanging="420"/>
      <w:outlineLvl w:val="2"/>
    </w:pPr>
  </w:style>
  <w:style w:type="paragraph" w:customStyle="1" w:styleId="1683">
    <w:name w:val="章标题"/>
    <w:next w:val="1"/>
    <w:autoRedefine/>
    <w:qFormat/>
    <w:uiPriority w:val="99"/>
    <w:pPr>
      <w:tabs>
        <w:tab w:val="left" w:pos="903"/>
        <w:tab w:val="left" w:pos="1400"/>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1684">
    <w:name w:val="xl61"/>
    <w:basedOn w:val="1"/>
    <w:autoRedefine/>
    <w:qFormat/>
    <w:uiPriority w:val="0"/>
    <w:pPr>
      <w:widowControl/>
      <w:spacing w:before="100" w:beforeAutospacing="1" w:after="100" w:afterAutospacing="1"/>
      <w:jc w:val="left"/>
    </w:pPr>
    <w:rPr>
      <w:rFonts w:ascii="Arial Unicode MS" w:hAnsi="Arial Unicode MS"/>
      <w:kern w:val="0"/>
      <w:sz w:val="12"/>
      <w:szCs w:val="12"/>
    </w:rPr>
  </w:style>
  <w:style w:type="paragraph" w:customStyle="1" w:styleId="1685">
    <w:name w:val="正文格式＝112"/>
    <w:basedOn w:val="416"/>
    <w:next w:val="416"/>
    <w:autoRedefine/>
    <w:qFormat/>
    <w:uiPriority w:val="0"/>
    <w:rPr>
      <w:rFonts w:ascii="宋体" w:hAnsi="宋体"/>
      <w:b w:val="0"/>
      <w:spacing w:val="0"/>
      <w:sz w:val="24"/>
      <w:szCs w:val="24"/>
    </w:rPr>
  </w:style>
  <w:style w:type="paragraph" w:customStyle="1" w:styleId="1686">
    <w:name w:val="图名"/>
    <w:basedOn w:val="1687"/>
    <w:autoRedefine/>
    <w:qFormat/>
    <w:uiPriority w:val="39"/>
    <w:pPr>
      <w:textAlignment w:val="baseline"/>
    </w:pPr>
  </w:style>
  <w:style w:type="paragraph" w:customStyle="1" w:styleId="1687">
    <w:name w:val="表名"/>
    <w:basedOn w:val="1"/>
    <w:autoRedefine/>
    <w:qFormat/>
    <w:uiPriority w:val="99"/>
    <w:pPr>
      <w:adjustRightInd w:val="0"/>
      <w:spacing w:before="120" w:after="120" w:line="380" w:lineRule="atLeast"/>
      <w:ind w:firstLine="425"/>
      <w:jc w:val="center"/>
    </w:pPr>
    <w:rPr>
      <w:kern w:val="0"/>
      <w:sz w:val="24"/>
      <w:szCs w:val="20"/>
    </w:rPr>
  </w:style>
  <w:style w:type="paragraph" w:customStyle="1" w:styleId="1688">
    <w:name w:val="xl24"/>
    <w:basedOn w:val="1"/>
    <w:autoRedefine/>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 w:val="24"/>
    </w:rPr>
  </w:style>
  <w:style w:type="paragraph" w:customStyle="1" w:styleId="1689">
    <w:name w:val="xl188"/>
    <w:basedOn w:val="1"/>
    <w:autoRedefine/>
    <w:qFormat/>
    <w:uiPriority w:val="99"/>
    <w:pPr>
      <w:widowControl/>
      <w:spacing w:before="100" w:beforeAutospacing="1" w:after="100" w:afterAutospacing="1"/>
      <w:jc w:val="left"/>
      <w:textAlignment w:val="center"/>
    </w:pPr>
    <w:rPr>
      <w:kern w:val="0"/>
      <w:sz w:val="12"/>
      <w:szCs w:val="12"/>
    </w:rPr>
  </w:style>
  <w:style w:type="paragraph" w:customStyle="1" w:styleId="1690">
    <w:name w:val="燕山正文1121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1691">
    <w:name w:val="表24"/>
    <w:basedOn w:val="1"/>
    <w:autoRedefine/>
    <w:qFormat/>
    <w:uiPriority w:val="0"/>
    <w:pPr>
      <w:adjustRightInd w:val="0"/>
      <w:snapToGrid w:val="0"/>
      <w:jc w:val="center"/>
    </w:pPr>
    <w:rPr>
      <w:rFonts w:eastAsia="仿宋_GB2312"/>
      <w:sz w:val="24"/>
    </w:rPr>
  </w:style>
  <w:style w:type="paragraph" w:customStyle="1" w:styleId="1692">
    <w:name w:val="默认段落字体 Para Char Char Char Char12"/>
    <w:basedOn w:val="1"/>
    <w:autoRedefine/>
    <w:qFormat/>
    <w:uiPriority w:val="0"/>
  </w:style>
  <w:style w:type="paragraph" w:customStyle="1" w:styleId="1693">
    <w:name w:val="样式 标题 3 + 左侧:  2 字符 段前: 0.5 行1"/>
    <w:basedOn w:val="5"/>
    <w:autoRedefine/>
    <w:qFormat/>
    <w:uiPriority w:val="39"/>
    <w:pPr>
      <w:ind w:left="720" w:hanging="432"/>
    </w:pPr>
    <w:rPr>
      <w:kern w:val="0"/>
      <w:lang w:val="en-US"/>
    </w:rPr>
  </w:style>
  <w:style w:type="paragraph" w:customStyle="1" w:styleId="1694">
    <w:name w:val="图题注4"/>
    <w:basedOn w:val="22"/>
    <w:autoRedefine/>
    <w:qFormat/>
    <w:uiPriority w:val="0"/>
    <w:pPr>
      <w:widowControl w:val="0"/>
      <w:spacing w:after="0" w:line="240" w:lineRule="auto"/>
      <w:ind w:left="0" w:right="0" w:firstLine="0"/>
      <w:jc w:val="center"/>
    </w:pPr>
    <w:rPr>
      <w:rFonts w:ascii="黑体" w:hAnsi="Arial" w:cs="宋体"/>
      <w:b/>
      <w:bCs/>
      <w:color w:val="auto"/>
      <w:sz w:val="24"/>
      <w:szCs w:val="24"/>
    </w:rPr>
  </w:style>
  <w:style w:type="paragraph" w:customStyle="1" w:styleId="1695">
    <w:name w:val="Char Char Char Char1 Char Char Char5"/>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696">
    <w:name w:val="xl181"/>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697">
    <w:name w:val="样式 表内小5 + 黑体 加粗 倾斜 下划线11"/>
    <w:basedOn w:val="1"/>
    <w:autoRedefine/>
    <w:qFormat/>
    <w:uiPriority w:val="0"/>
    <w:pPr>
      <w:adjustRightInd w:val="0"/>
      <w:snapToGrid w:val="0"/>
      <w:spacing w:line="300" w:lineRule="auto"/>
      <w:jc w:val="left"/>
    </w:pPr>
    <w:rPr>
      <w:rFonts w:ascii="黑体" w:hAnsi="黑体" w:eastAsia="黑体"/>
      <w:b/>
      <w:bCs/>
      <w:i/>
      <w:iCs/>
      <w:sz w:val="18"/>
      <w:u w:val="single"/>
    </w:rPr>
  </w:style>
  <w:style w:type="paragraph" w:customStyle="1" w:styleId="1698">
    <w:name w:val="xl186"/>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1699">
    <w:name w:val="Char310"/>
    <w:basedOn w:val="1"/>
    <w:autoRedefine/>
    <w:qFormat/>
    <w:uiPriority w:val="0"/>
    <w:pPr>
      <w:ind w:left="-48"/>
    </w:pPr>
  </w:style>
  <w:style w:type="paragraph" w:customStyle="1" w:styleId="1700">
    <w:name w:val="图题注3"/>
    <w:basedOn w:val="22"/>
    <w:autoRedefine/>
    <w:qFormat/>
    <w:uiPriority w:val="0"/>
    <w:pPr>
      <w:widowControl w:val="0"/>
      <w:spacing w:after="0" w:line="240" w:lineRule="auto"/>
      <w:ind w:left="0" w:right="0" w:firstLine="0"/>
      <w:jc w:val="center"/>
    </w:pPr>
    <w:rPr>
      <w:rFonts w:ascii="黑体" w:hAnsi="Arial" w:cs="宋体"/>
      <w:b/>
      <w:bCs/>
      <w:color w:val="auto"/>
      <w:sz w:val="24"/>
      <w:szCs w:val="24"/>
    </w:rPr>
  </w:style>
  <w:style w:type="paragraph" w:customStyle="1" w:styleId="1701">
    <w:name w:val="样式-1-"/>
    <w:basedOn w:val="55"/>
    <w:autoRedefine/>
    <w:qFormat/>
    <w:uiPriority w:val="99"/>
    <w:rPr>
      <w:rFonts w:ascii="Calibri" w:hAnsi="Calibri"/>
      <w:szCs w:val="18"/>
      <w:lang w:val="en-US"/>
    </w:rPr>
  </w:style>
  <w:style w:type="paragraph" w:customStyle="1" w:styleId="1702">
    <w:name w:val="Char Char Char Char Char Char Char26"/>
    <w:basedOn w:val="1"/>
    <w:autoRedefine/>
    <w:qFormat/>
    <w:uiPriority w:val="0"/>
  </w:style>
  <w:style w:type="paragraph" w:customStyle="1" w:styleId="1703">
    <w:name w:val="附件33"/>
    <w:basedOn w:val="3"/>
    <w:next w:val="416"/>
    <w:autoRedefine/>
    <w:qFormat/>
    <w:uiPriority w:val="0"/>
    <w:pPr>
      <w:keepLines/>
      <w:tabs>
        <w:tab w:val="left" w:pos="1566"/>
      </w:tabs>
      <w:overflowPunct/>
      <w:adjustRightInd w:val="0"/>
      <w:spacing w:beforeLines="100" w:after="120" w:line="360" w:lineRule="auto"/>
      <w:ind w:left="0" w:firstLine="0"/>
    </w:pPr>
    <w:rPr>
      <w:rFonts w:ascii="黑体" w:hAnsi="宋体"/>
      <w:color w:val="auto"/>
      <w:sz w:val="32"/>
      <w:szCs w:val="32"/>
    </w:rPr>
  </w:style>
  <w:style w:type="paragraph" w:customStyle="1" w:styleId="1704">
    <w:name w:val="book1_1_1"/>
    <w:basedOn w:val="5"/>
    <w:autoRedefine/>
    <w:qFormat/>
    <w:uiPriority w:val="0"/>
    <w:pPr>
      <w:ind w:left="720" w:hanging="432"/>
    </w:pPr>
    <w:rPr>
      <w:kern w:val="0"/>
      <w:lang w:val="en-US"/>
    </w:rPr>
  </w:style>
  <w:style w:type="paragraph" w:customStyle="1" w:styleId="1705">
    <w:name w:val="Char Char Char Char Char Char Char9"/>
    <w:basedOn w:val="1"/>
    <w:autoRedefine/>
    <w:qFormat/>
    <w:uiPriority w:val="0"/>
  </w:style>
  <w:style w:type="paragraph" w:customStyle="1" w:styleId="1706">
    <w:name w:val="a9"/>
    <w:basedOn w:val="1"/>
    <w:autoRedefine/>
    <w:qFormat/>
    <w:uiPriority w:val="39"/>
    <w:pPr>
      <w:widowControl/>
      <w:spacing w:before="100" w:beforeAutospacing="1" w:after="100" w:afterAutospacing="1"/>
      <w:jc w:val="left"/>
    </w:pPr>
    <w:rPr>
      <w:rFonts w:hint="eastAsia" w:ascii="宋体" w:hAnsi="宋体"/>
      <w:kern w:val="0"/>
      <w:sz w:val="18"/>
      <w:szCs w:val="18"/>
    </w:rPr>
  </w:style>
  <w:style w:type="paragraph" w:customStyle="1" w:styleId="1707">
    <w:name w:val="样式 样式 标题2.2 + 段前: 0.5 行"/>
    <w:basedOn w:val="1399"/>
    <w:autoRedefine/>
    <w:qFormat/>
    <w:uiPriority w:val="99"/>
    <w:pPr>
      <w:spacing w:beforeLines="0"/>
    </w:pPr>
  </w:style>
  <w:style w:type="paragraph" w:customStyle="1" w:styleId="1708">
    <w:name w:val="xl157"/>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1709">
    <w:name w:val="Char Char2 Char Char Char Char4"/>
    <w:basedOn w:val="1"/>
    <w:autoRedefine/>
    <w:qFormat/>
    <w:uiPriority w:val="0"/>
  </w:style>
  <w:style w:type="paragraph" w:customStyle="1" w:styleId="1710">
    <w:name w:val="样式 宋体 首行缩进:  0.93 厘米 段前: 6 磅 段后: 6 磅 行距: 固定值 16 磅"/>
    <w:basedOn w:val="1"/>
    <w:autoRedefine/>
    <w:qFormat/>
    <w:uiPriority w:val="0"/>
    <w:pPr>
      <w:snapToGrid w:val="0"/>
      <w:spacing w:before="160" w:after="160" w:line="320" w:lineRule="exact"/>
      <w:ind w:firstLine="527"/>
    </w:pPr>
    <w:rPr>
      <w:rFonts w:ascii="宋体" w:hAnsi="宋体" w:cs="宋体"/>
      <w:sz w:val="24"/>
      <w:szCs w:val="20"/>
    </w:rPr>
  </w:style>
  <w:style w:type="paragraph" w:customStyle="1" w:styleId="1711">
    <w:name w:val="xl166"/>
    <w:basedOn w:val="1"/>
    <w:autoRedefine/>
    <w:qFormat/>
    <w:uiPriority w:val="99"/>
    <w:pPr>
      <w:widowControl/>
      <w:pBdr>
        <w:left w:val="single" w:color="auto" w:sz="12" w:space="0"/>
        <w:bottom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1712">
    <w:name w:val="Char Char Char1 Char Char Char Char Char Char Char Char Char Char Char Char Char Char Char Char Char Char Char Char Char Char"/>
    <w:basedOn w:val="1"/>
    <w:autoRedefine/>
    <w:qFormat/>
    <w:uiPriority w:val="0"/>
    <w:rPr>
      <w:szCs w:val="20"/>
    </w:rPr>
  </w:style>
  <w:style w:type="paragraph" w:customStyle="1" w:styleId="1713">
    <w:name w:val="正文格式6"/>
    <w:basedOn w:val="1"/>
    <w:autoRedefine/>
    <w:qFormat/>
    <w:uiPriority w:val="0"/>
    <w:pPr>
      <w:spacing w:line="360" w:lineRule="auto"/>
      <w:ind w:firstLine="482"/>
    </w:pPr>
    <w:rPr>
      <w:rFonts w:ascii="宋体" w:hAnsi="宋体"/>
      <w:sz w:val="24"/>
    </w:rPr>
  </w:style>
  <w:style w:type="paragraph" w:customStyle="1" w:styleId="1714">
    <w:name w:val="无列表1"/>
    <w:autoRedefine/>
    <w:qFormat/>
    <w:uiPriority w:val="99"/>
    <w:pPr>
      <w:spacing w:line="351" w:lineRule="atLeast"/>
      <w:ind w:firstLine="419"/>
      <w:jc w:val="both"/>
      <w:textAlignment w:val="baseline"/>
    </w:pPr>
    <w:rPr>
      <w:rFonts w:ascii="Times New Roman" w:hAnsi="Times New Roman" w:eastAsia="宋体" w:cs="Times New Roman"/>
      <w:color w:val="000000"/>
      <w:sz w:val="21"/>
      <w:u w:color="000000"/>
      <w:lang w:val="en-US" w:eastAsia="zh-CN" w:bidi="ar-SA"/>
    </w:rPr>
  </w:style>
  <w:style w:type="paragraph" w:customStyle="1" w:styleId="1715">
    <w:name w:val="16"/>
    <w:basedOn w:val="1"/>
    <w:next w:val="45"/>
    <w:autoRedefine/>
    <w:qFormat/>
    <w:uiPriority w:val="0"/>
    <w:pPr>
      <w:spacing w:line="500" w:lineRule="exact"/>
    </w:pPr>
    <w:rPr>
      <w:rFonts w:ascii="宋体" w:hAnsi="Courier New" w:eastAsia="仿宋_GB2312"/>
      <w:sz w:val="28"/>
      <w:szCs w:val="20"/>
    </w:rPr>
  </w:style>
  <w:style w:type="paragraph" w:customStyle="1" w:styleId="1716">
    <w:name w:val="样式 标题 4 + 黑色 左侧:  -0.01 厘米 首行缩进:  0.01 厘米"/>
    <w:basedOn w:val="6"/>
    <w:autoRedefine/>
    <w:qFormat/>
    <w:uiPriority w:val="99"/>
  </w:style>
  <w:style w:type="paragraph" w:customStyle="1" w:styleId="1717">
    <w:name w:val="表内宋512"/>
    <w:basedOn w:val="1718"/>
    <w:autoRedefine/>
    <w:qFormat/>
    <w:uiPriority w:val="0"/>
    <w:pPr>
      <w:widowControl/>
      <w:autoSpaceDE w:val="0"/>
      <w:autoSpaceDN w:val="0"/>
      <w:jc w:val="left"/>
      <w:textAlignment w:val="auto"/>
    </w:pPr>
    <w:rPr>
      <w:color w:val="auto"/>
      <w:w w:val="90"/>
    </w:rPr>
  </w:style>
  <w:style w:type="paragraph" w:customStyle="1" w:styleId="1718">
    <w:name w:val="表内宋5中"/>
    <w:basedOn w:val="1"/>
    <w:autoRedefine/>
    <w:qFormat/>
    <w:uiPriority w:val="0"/>
    <w:pPr>
      <w:adjustRightInd w:val="0"/>
      <w:snapToGrid w:val="0"/>
      <w:textAlignment w:val="baseline"/>
    </w:pPr>
    <w:rPr>
      <w:color w:val="000000"/>
      <w:kern w:val="0"/>
      <w:szCs w:val="20"/>
    </w:rPr>
  </w:style>
  <w:style w:type="paragraph" w:customStyle="1" w:styleId="1719">
    <w:name w:val="xl52"/>
    <w:basedOn w:val="1"/>
    <w:autoRedefine/>
    <w:qFormat/>
    <w:uiPriority w:val="0"/>
    <w:pPr>
      <w:widowControl/>
      <w:pBdr>
        <w:top w:val="single" w:color="auto" w:sz="12" w:space="0"/>
        <w:left w:val="single" w:color="auto" w:sz="12" w:space="0"/>
        <w:righ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1720">
    <w:name w:val="样式 标题 2标题 2 Char标2h2H2标题21.1标题 2 + Times New Roman"/>
    <w:basedOn w:val="4"/>
    <w:autoRedefine/>
    <w:qFormat/>
    <w:uiPriority w:val="0"/>
  </w:style>
  <w:style w:type="paragraph" w:customStyle="1" w:styleId="1721">
    <w:name w:val="sss"/>
    <w:basedOn w:val="1"/>
    <w:autoRedefine/>
    <w:qFormat/>
    <w:uiPriority w:val="0"/>
    <w:pPr>
      <w:tabs>
        <w:tab w:val="left" w:pos="480"/>
        <w:tab w:val="left" w:pos="648"/>
      </w:tabs>
      <w:autoSpaceDE w:val="0"/>
      <w:autoSpaceDN w:val="0"/>
      <w:adjustRightInd w:val="0"/>
      <w:ind w:left="432" w:hanging="144"/>
    </w:pPr>
    <w:rPr>
      <w:rFonts w:ascii="Bookman Old Style" w:hAnsi="Bookman Old Style" w:cs="Arial"/>
      <w:bCs/>
      <w:kern w:val="0"/>
      <w:sz w:val="22"/>
      <w:szCs w:val="20"/>
    </w:rPr>
  </w:style>
  <w:style w:type="paragraph" w:customStyle="1" w:styleId="1722">
    <w:name w:val="字元 字元 Char Char 字元 字元1"/>
    <w:basedOn w:val="1"/>
    <w:autoRedefine/>
    <w:qFormat/>
    <w:uiPriority w:val="99"/>
    <w:rPr>
      <w:sz w:val="24"/>
    </w:rPr>
  </w:style>
  <w:style w:type="paragraph" w:customStyle="1" w:styleId="1723">
    <w:name w:val="目次、标准名称标题"/>
    <w:basedOn w:val="1540"/>
    <w:next w:val="947"/>
    <w:autoRedefine/>
    <w:qFormat/>
    <w:uiPriority w:val="39"/>
    <w:pPr>
      <w:tabs>
        <w:tab w:val="clear" w:pos="903"/>
        <w:tab w:val="clear" w:pos="980"/>
      </w:tabs>
      <w:spacing w:line="460" w:lineRule="exact"/>
      <w:ind w:left="0" w:firstLine="0"/>
    </w:pPr>
  </w:style>
  <w:style w:type="paragraph" w:customStyle="1" w:styleId="1724">
    <w:name w:val="正文表格"/>
    <w:basedOn w:val="1"/>
    <w:autoRedefine/>
    <w:qFormat/>
    <w:uiPriority w:val="0"/>
    <w:pPr>
      <w:keepNext/>
      <w:keepLines/>
      <w:overflowPunct w:val="0"/>
      <w:adjustRightInd w:val="0"/>
      <w:spacing w:before="80" w:line="500" w:lineRule="exact"/>
      <w:jc w:val="center"/>
      <w:textAlignment w:val="bottom"/>
    </w:pPr>
    <w:rPr>
      <w:rFonts w:eastAsia="仿宋_GB2312"/>
      <w:kern w:val="0"/>
      <w:sz w:val="28"/>
      <w:szCs w:val="20"/>
    </w:rPr>
  </w:style>
  <w:style w:type="paragraph" w:customStyle="1" w:styleId="1725">
    <w:name w:val="字元3"/>
    <w:basedOn w:val="1"/>
    <w:autoRedefine/>
    <w:qFormat/>
    <w:uiPriority w:val="99"/>
    <w:rPr>
      <w:sz w:val="24"/>
    </w:rPr>
  </w:style>
  <w:style w:type="paragraph" w:customStyle="1" w:styleId="1726">
    <w:name w:val="xl70"/>
    <w:basedOn w:val="1"/>
    <w:autoRedefine/>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cs="宋体"/>
      <w:kern w:val="0"/>
      <w:szCs w:val="21"/>
    </w:rPr>
  </w:style>
  <w:style w:type="paragraph" w:customStyle="1" w:styleId="1727">
    <w:name w:val="Char Char Char Char Char Char Char Char Char Char Char1 Char Char Char Char Char Char1 Char2"/>
    <w:basedOn w:val="1"/>
    <w:autoRedefine/>
    <w:qFormat/>
    <w:uiPriority w:val="39"/>
    <w:rPr>
      <w:sz w:val="24"/>
    </w:rPr>
  </w:style>
  <w:style w:type="paragraph" w:customStyle="1" w:styleId="1728">
    <w:name w:val="表图1"/>
    <w:basedOn w:val="1"/>
    <w:autoRedefine/>
    <w:qFormat/>
    <w:uiPriority w:val="39"/>
    <w:pPr>
      <w:spacing w:line="360" w:lineRule="exact"/>
      <w:ind w:firstLine="200" w:firstLineChars="200"/>
      <w:jc w:val="center"/>
    </w:pPr>
    <w:rPr>
      <w:rFonts w:ascii="仿宋_GB2312" w:eastAsia="仿宋_GB2312"/>
      <w:sz w:val="28"/>
    </w:rPr>
  </w:style>
  <w:style w:type="paragraph" w:customStyle="1" w:styleId="1729">
    <w:name w:val="xl134"/>
    <w:basedOn w:val="1"/>
    <w:autoRedefine/>
    <w:qFormat/>
    <w:uiPriority w:val="99"/>
    <w:pPr>
      <w:widowControl/>
      <w:spacing w:before="100" w:beforeAutospacing="1" w:after="100" w:afterAutospacing="1"/>
      <w:jc w:val="left"/>
    </w:pPr>
    <w:rPr>
      <w:rFonts w:ascii="Arial Unicode MS" w:hAnsi="Arial Unicode MS"/>
      <w:kern w:val="0"/>
      <w:sz w:val="20"/>
      <w:szCs w:val="20"/>
    </w:rPr>
  </w:style>
  <w:style w:type="paragraph" w:customStyle="1" w:styleId="1730">
    <w:name w:val="表格的文字"/>
    <w:basedOn w:val="1"/>
    <w:autoRedefine/>
    <w:qFormat/>
    <w:uiPriority w:val="0"/>
    <w:pPr>
      <w:spacing w:line="300" w:lineRule="exact"/>
      <w:jc w:val="center"/>
    </w:pPr>
    <w:rPr>
      <w:rFonts w:ascii="仿宋_GB2312" w:eastAsia="仿宋_GB2312"/>
      <w:bCs/>
      <w:szCs w:val="20"/>
    </w:rPr>
  </w:style>
  <w:style w:type="paragraph" w:customStyle="1" w:styleId="1731">
    <w:name w:val="xl107"/>
    <w:basedOn w:val="1"/>
    <w:autoRedefine/>
    <w:qFormat/>
    <w:uiPriority w:val="99"/>
    <w:pPr>
      <w:widowControl/>
      <w:pBdr>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732">
    <w:name w:val="xl151"/>
    <w:basedOn w:val="1"/>
    <w:autoRedefine/>
    <w:qFormat/>
    <w:uiPriority w:val="99"/>
    <w:pPr>
      <w:widowControl/>
      <w:spacing w:before="100" w:beforeAutospacing="1" w:after="100" w:afterAutospacing="1"/>
      <w:jc w:val="left"/>
    </w:pPr>
    <w:rPr>
      <w:kern w:val="0"/>
      <w:sz w:val="16"/>
      <w:szCs w:val="16"/>
    </w:rPr>
  </w:style>
  <w:style w:type="paragraph" w:customStyle="1" w:styleId="1733">
    <w:name w:val="表文字56"/>
    <w:basedOn w:val="1"/>
    <w:autoRedefine/>
    <w:qFormat/>
    <w:uiPriority w:val="0"/>
    <w:pPr>
      <w:adjustRightInd w:val="0"/>
      <w:jc w:val="left"/>
      <w:textAlignment w:val="baseline"/>
    </w:pPr>
    <w:rPr>
      <w:rFonts w:ascii="宋体"/>
      <w:kern w:val="0"/>
      <w:szCs w:val="20"/>
    </w:rPr>
  </w:style>
  <w:style w:type="paragraph" w:customStyle="1" w:styleId="1734">
    <w:name w:val="图题32"/>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1735">
    <w:name w:val="xl121"/>
    <w:basedOn w:val="1"/>
    <w:autoRedefine/>
    <w:qFormat/>
    <w:uiPriority w:val="99"/>
    <w:pPr>
      <w:widowControl/>
      <w:spacing w:before="100" w:beforeAutospacing="1" w:after="100" w:afterAutospacing="1"/>
      <w:jc w:val="left"/>
    </w:pPr>
    <w:rPr>
      <w:rFonts w:ascii="Arial Unicode MS" w:hAnsi="Arial Unicode MS"/>
      <w:kern w:val="0"/>
      <w:sz w:val="16"/>
      <w:szCs w:val="16"/>
    </w:rPr>
  </w:style>
  <w:style w:type="paragraph" w:customStyle="1" w:styleId="1736">
    <w:name w:val="Char4211"/>
    <w:basedOn w:val="1"/>
    <w:autoRedefine/>
    <w:qFormat/>
    <w:uiPriority w:val="0"/>
    <w:pPr>
      <w:ind w:left="-48"/>
    </w:pPr>
  </w:style>
  <w:style w:type="paragraph" w:customStyle="1" w:styleId="1737">
    <w:name w:val="标题4121"/>
    <w:basedOn w:val="6"/>
    <w:next w:val="1"/>
    <w:autoRedefine/>
    <w:qFormat/>
    <w:uiPriority w:val="0"/>
    <w:pPr>
      <w:spacing w:before="160" w:after="170" w:line="360" w:lineRule="auto"/>
      <w:ind w:left="0" w:firstLine="0"/>
    </w:pPr>
    <w:rPr>
      <w:rFonts w:ascii="黑体"/>
      <w:sz w:val="24"/>
    </w:rPr>
  </w:style>
  <w:style w:type="paragraph" w:customStyle="1" w:styleId="1738">
    <w:name w:val="xl106"/>
    <w:basedOn w:val="1"/>
    <w:autoRedefine/>
    <w:qFormat/>
    <w:uiPriority w:val="0"/>
    <w:pPr>
      <w:widowControl/>
      <w:pBdr>
        <w:lef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739">
    <w:name w:val="dandan6-13正文 Char Char Char"/>
    <w:basedOn w:val="1"/>
    <w:next w:val="1"/>
    <w:autoRedefine/>
    <w:qFormat/>
    <w:uiPriority w:val="99"/>
    <w:pPr>
      <w:keepNext/>
      <w:keepLines/>
      <w:widowControl/>
      <w:adjustRightInd w:val="0"/>
      <w:spacing w:before="40" w:after="40" w:line="360" w:lineRule="auto"/>
      <w:ind w:firstLine="200" w:firstLineChars="200"/>
      <w:textAlignment w:val="baseline"/>
    </w:pPr>
    <w:rPr>
      <w:rFonts w:cs="宋体"/>
      <w:kern w:val="0"/>
      <w:sz w:val="24"/>
      <w:szCs w:val="28"/>
    </w:rPr>
  </w:style>
  <w:style w:type="paragraph" w:customStyle="1" w:styleId="1740">
    <w:name w:val="ST20_55"/>
    <w:basedOn w:val="1"/>
    <w:autoRedefine/>
    <w:qFormat/>
    <w:uiPriority w:val="39"/>
    <w:pPr>
      <w:tabs>
        <w:tab w:val="left" w:pos="2160"/>
      </w:tabs>
      <w:autoSpaceDE w:val="0"/>
      <w:autoSpaceDN w:val="0"/>
      <w:adjustRightInd w:val="0"/>
      <w:spacing w:after="80" w:line="360" w:lineRule="atLeast"/>
      <w:ind w:left="2160" w:hanging="360"/>
      <w:jc w:val="left"/>
      <w:textAlignment w:val="baseline"/>
    </w:pPr>
    <w:rPr>
      <w:rFonts w:ascii="宋体" w:hAnsi="Tms Rmn"/>
      <w:kern w:val="0"/>
      <w:sz w:val="28"/>
      <w:szCs w:val="20"/>
    </w:rPr>
  </w:style>
  <w:style w:type="paragraph" w:customStyle="1" w:styleId="1741">
    <w:name w:val="Char10"/>
    <w:basedOn w:val="1"/>
    <w:autoRedefine/>
    <w:qFormat/>
    <w:uiPriority w:val="0"/>
    <w:pPr>
      <w:adjustRightInd w:val="0"/>
      <w:snapToGrid w:val="0"/>
      <w:spacing w:line="360" w:lineRule="auto"/>
    </w:pPr>
  </w:style>
  <w:style w:type="paragraph" w:customStyle="1" w:styleId="1742">
    <w:name w:val="正文修改12"/>
    <w:basedOn w:val="192"/>
    <w:autoRedefine/>
    <w:qFormat/>
    <w:uiPriority w:val="0"/>
    <w:rPr>
      <w:rFonts w:hAnsi="宋体"/>
      <w:color w:val="000000"/>
    </w:rPr>
  </w:style>
  <w:style w:type="paragraph" w:customStyle="1" w:styleId="1743">
    <w:name w:val="样式2"/>
    <w:basedOn w:val="4"/>
    <w:autoRedefine/>
    <w:qFormat/>
    <w:uiPriority w:val="0"/>
  </w:style>
  <w:style w:type="paragraph" w:customStyle="1" w:styleId="1744">
    <w:name w:val="表题112"/>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1745">
    <w:name w:val="表题13"/>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1746">
    <w:name w:val="xl178"/>
    <w:basedOn w:val="1"/>
    <w:autoRedefine/>
    <w:qFormat/>
    <w:uiPriority w:val="99"/>
    <w:pPr>
      <w:widowControl/>
      <w:spacing w:before="100" w:beforeAutospacing="1" w:after="100" w:afterAutospacing="1"/>
      <w:jc w:val="center"/>
    </w:pPr>
    <w:rPr>
      <w:rFonts w:ascii="Arial Unicode MS" w:hAnsi="Arial Unicode MS"/>
      <w:kern w:val="0"/>
      <w:sz w:val="12"/>
      <w:szCs w:val="12"/>
    </w:rPr>
  </w:style>
  <w:style w:type="paragraph" w:customStyle="1" w:styleId="1747">
    <w:name w:val="Char Char Char Char Char Char Char1211"/>
    <w:basedOn w:val="1"/>
    <w:autoRedefine/>
    <w:qFormat/>
    <w:uiPriority w:val="0"/>
    <w:rPr>
      <w:szCs w:val="20"/>
    </w:rPr>
  </w:style>
  <w:style w:type="paragraph" w:customStyle="1" w:styleId="1748">
    <w:name w:val="xl96"/>
    <w:basedOn w:val="1"/>
    <w:autoRedefine/>
    <w:qFormat/>
    <w:uiPriority w:val="0"/>
    <w:pPr>
      <w:widowControl/>
      <w:pBdr>
        <w:left w:val="single" w:color="auto" w:sz="12" w:space="0"/>
        <w:bottom w:val="single" w:color="auto" w:sz="12" w:space="0"/>
        <w:right w:val="single" w:color="auto" w:sz="4" w:space="0"/>
      </w:pBdr>
      <w:spacing w:before="100" w:beforeAutospacing="1" w:after="100" w:afterAutospacing="1"/>
      <w:jc w:val="center"/>
    </w:pPr>
    <w:rPr>
      <w:rFonts w:ascii="Arial Unicode MS" w:hAnsi="Arial Unicode MS"/>
      <w:kern w:val="0"/>
      <w:sz w:val="12"/>
      <w:szCs w:val="12"/>
    </w:rPr>
  </w:style>
  <w:style w:type="paragraph" w:customStyle="1" w:styleId="1749">
    <w:name w:val="表文字51111"/>
    <w:basedOn w:val="1"/>
    <w:autoRedefine/>
    <w:qFormat/>
    <w:uiPriority w:val="0"/>
    <w:pPr>
      <w:adjustRightInd w:val="0"/>
      <w:jc w:val="left"/>
      <w:textAlignment w:val="baseline"/>
    </w:pPr>
    <w:rPr>
      <w:rFonts w:ascii="宋体"/>
      <w:kern w:val="0"/>
      <w:szCs w:val="20"/>
    </w:rPr>
  </w:style>
  <w:style w:type="paragraph" w:customStyle="1" w:styleId="1750">
    <w:name w:val="Char Char Char Char Char Char Char Char Char Char Char Char Char Char Char Char Char Char Char Char Char Char Char Char Char Char Char Char Char Char Char Char Char Char Char Char Char Char Char2"/>
    <w:basedOn w:val="1"/>
    <w:autoRedefine/>
    <w:qFormat/>
    <w:uiPriority w:val="99"/>
    <w:rPr>
      <w:sz w:val="24"/>
    </w:rPr>
  </w:style>
  <w:style w:type="paragraph" w:customStyle="1" w:styleId="1751">
    <w:name w:val="y表头"/>
    <w:basedOn w:val="34"/>
    <w:autoRedefine/>
    <w:qFormat/>
    <w:uiPriority w:val="99"/>
    <w:pPr>
      <w:widowControl w:val="0"/>
      <w:tabs>
        <w:tab w:val="left" w:pos="900"/>
      </w:tabs>
      <w:adjustRightInd w:val="0"/>
      <w:snapToGrid/>
      <w:spacing w:before="0" w:after="0" w:line="240" w:lineRule="auto"/>
      <w:ind w:right="0"/>
      <w:jc w:val="center"/>
      <w:textAlignment w:val="baseline"/>
    </w:pPr>
    <w:rPr>
      <w:rFonts w:hint="eastAsia" w:ascii="宋体" w:hAnsi="宋体" w:eastAsia="楷体_GB2312"/>
      <w:b/>
      <w:sz w:val="24"/>
      <w:lang w:val="en-US"/>
    </w:rPr>
  </w:style>
  <w:style w:type="paragraph" w:customStyle="1" w:styleId="1752">
    <w:name w:val="ST20_5"/>
    <w:basedOn w:val="1"/>
    <w:autoRedefine/>
    <w:qFormat/>
    <w:uiPriority w:val="39"/>
    <w:pPr>
      <w:keepLines/>
      <w:autoSpaceDE w:val="0"/>
      <w:autoSpaceDN w:val="0"/>
      <w:adjustRightInd w:val="0"/>
      <w:spacing w:after="160" w:line="360" w:lineRule="atLeast"/>
      <w:ind w:left="720" w:right="720"/>
      <w:jc w:val="left"/>
      <w:textAlignment w:val="baseline"/>
    </w:pPr>
    <w:rPr>
      <w:rFonts w:ascii="宋体" w:hAnsi="Tms Rmn"/>
      <w:i/>
      <w:kern w:val="0"/>
      <w:sz w:val="28"/>
      <w:szCs w:val="20"/>
    </w:rPr>
  </w:style>
  <w:style w:type="paragraph" w:customStyle="1" w:styleId="1753">
    <w:name w:val="xl154"/>
    <w:basedOn w:val="1"/>
    <w:autoRedefine/>
    <w:qFormat/>
    <w:uiPriority w:val="99"/>
    <w:pPr>
      <w:widowControl/>
      <w:pBdr>
        <w:left w:val="single" w:color="auto" w:sz="12" w:space="0"/>
        <w:bottom w:val="single" w:color="auto" w:sz="8" w:space="0"/>
      </w:pBdr>
      <w:spacing w:before="100" w:beforeAutospacing="1" w:after="100" w:afterAutospacing="1"/>
      <w:jc w:val="center"/>
    </w:pPr>
    <w:rPr>
      <w:rFonts w:ascii="Arial Unicode MS" w:hAnsi="Arial Unicode MS"/>
      <w:kern w:val="0"/>
      <w:sz w:val="12"/>
      <w:szCs w:val="12"/>
    </w:rPr>
  </w:style>
  <w:style w:type="paragraph" w:customStyle="1" w:styleId="1754">
    <w:name w:val="xl59"/>
    <w:basedOn w:val="1"/>
    <w:autoRedefine/>
    <w:qFormat/>
    <w:uiPriority w:val="0"/>
    <w:pPr>
      <w:widowControl/>
      <w:pBdr>
        <w:bottom w:val="single" w:color="auto" w:sz="12" w:space="0"/>
      </w:pBdr>
      <w:spacing w:before="100" w:beforeAutospacing="1" w:after="100" w:afterAutospacing="1"/>
      <w:jc w:val="left"/>
      <w:textAlignment w:val="center"/>
    </w:pPr>
    <w:rPr>
      <w:kern w:val="0"/>
      <w:sz w:val="12"/>
      <w:szCs w:val="12"/>
    </w:rPr>
  </w:style>
  <w:style w:type="paragraph" w:customStyle="1" w:styleId="1755">
    <w:name w:val="zxz5"/>
    <w:next w:val="1"/>
    <w:autoRedefine/>
    <w:qFormat/>
    <w:uiPriority w:val="99"/>
    <w:pPr>
      <w:tabs>
        <w:tab w:val="left" w:pos="0"/>
      </w:tabs>
      <w:jc w:val="center"/>
    </w:pPr>
    <w:rPr>
      <w:rFonts w:ascii="宋体" w:hAnsi="宋体" w:eastAsia="Times New Roman" w:cs="宋体"/>
      <w:bCs/>
      <w:kern w:val="2"/>
      <w:sz w:val="18"/>
      <w:szCs w:val="18"/>
      <w:lang w:val="en-US" w:eastAsia="zh-CN" w:bidi="ar-SA"/>
    </w:rPr>
  </w:style>
  <w:style w:type="paragraph" w:customStyle="1" w:styleId="1756">
    <w:name w:val="正文格式＝511"/>
    <w:basedOn w:val="416"/>
    <w:next w:val="416"/>
    <w:autoRedefine/>
    <w:qFormat/>
    <w:uiPriority w:val="0"/>
    <w:rPr>
      <w:rFonts w:ascii="宋体" w:hAnsi="宋体"/>
      <w:b w:val="0"/>
      <w:spacing w:val="0"/>
      <w:sz w:val="24"/>
      <w:szCs w:val="24"/>
    </w:rPr>
  </w:style>
  <w:style w:type="paragraph" w:customStyle="1" w:styleId="1757">
    <w:name w:val="xl23"/>
    <w:basedOn w:val="1"/>
    <w:autoRedefine/>
    <w:qFormat/>
    <w:uiPriority w:val="0"/>
    <w:pPr>
      <w:widowControl/>
      <w:pBdr>
        <w:top w:val="single" w:color="auto" w:sz="12" w:space="0"/>
      </w:pBdr>
      <w:spacing w:before="100" w:beforeAutospacing="1" w:after="100" w:afterAutospacing="1"/>
      <w:jc w:val="left"/>
    </w:pPr>
    <w:rPr>
      <w:rFonts w:ascii="Arial Unicode MS" w:hAnsi="Arial Unicode MS"/>
      <w:kern w:val="0"/>
    </w:rPr>
  </w:style>
  <w:style w:type="paragraph" w:customStyle="1" w:styleId="1758">
    <w:name w:val="表题14111"/>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1759">
    <w:name w:val="Char Char Char Char Char Char Char28"/>
    <w:basedOn w:val="1"/>
    <w:autoRedefine/>
    <w:qFormat/>
    <w:uiPriority w:val="0"/>
    <w:rPr>
      <w:szCs w:val="20"/>
    </w:rPr>
  </w:style>
  <w:style w:type="paragraph" w:customStyle="1" w:styleId="1760">
    <w:name w:val="xl99"/>
    <w:basedOn w:val="1"/>
    <w:autoRedefine/>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761">
    <w:name w:val="样式10"/>
    <w:basedOn w:val="3"/>
    <w:autoRedefine/>
    <w:qFormat/>
    <w:uiPriority w:val="0"/>
    <w:pPr>
      <w:tabs>
        <w:tab w:val="left" w:pos="360"/>
      </w:tabs>
      <w:overflowPunct/>
      <w:snapToGrid/>
      <w:spacing w:before="0" w:after="0" w:line="240" w:lineRule="auto"/>
      <w:ind w:left="0" w:firstLine="0"/>
      <w:jc w:val="center"/>
    </w:pPr>
    <w:rPr>
      <w:rFonts w:ascii="Calibri" w:hAnsi="Calibri" w:eastAsia="楷体_GB2312"/>
      <w:b w:val="0"/>
      <w:bCs w:val="0"/>
      <w:color w:val="auto"/>
      <w:kern w:val="0"/>
      <w:sz w:val="28"/>
      <w:szCs w:val="20"/>
    </w:rPr>
  </w:style>
  <w:style w:type="paragraph" w:customStyle="1" w:styleId="1762">
    <w:name w:val="表文字5121"/>
    <w:basedOn w:val="1"/>
    <w:autoRedefine/>
    <w:qFormat/>
    <w:uiPriority w:val="0"/>
    <w:pPr>
      <w:adjustRightInd w:val="0"/>
      <w:jc w:val="left"/>
      <w:textAlignment w:val="baseline"/>
    </w:pPr>
    <w:rPr>
      <w:rFonts w:ascii="宋体"/>
      <w:kern w:val="0"/>
      <w:szCs w:val="20"/>
    </w:rPr>
  </w:style>
  <w:style w:type="paragraph" w:customStyle="1" w:styleId="1763">
    <w:name w:val="图表题12"/>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1764">
    <w:name w:val="表格001"/>
    <w:basedOn w:val="1"/>
    <w:autoRedefine/>
    <w:qFormat/>
    <w:uiPriority w:val="0"/>
    <w:pPr>
      <w:jc w:val="center"/>
    </w:pPr>
    <w:rPr>
      <w:szCs w:val="20"/>
    </w:rPr>
  </w:style>
  <w:style w:type="paragraph" w:customStyle="1" w:styleId="1765">
    <w:name w:val="表内5414"/>
    <w:basedOn w:val="1"/>
    <w:autoRedefine/>
    <w:qFormat/>
    <w:uiPriority w:val="0"/>
    <w:pPr>
      <w:adjustRightInd w:val="0"/>
      <w:snapToGrid w:val="0"/>
      <w:spacing w:line="300" w:lineRule="auto"/>
      <w:jc w:val="center"/>
    </w:pPr>
    <w:rPr>
      <w:rFonts w:ascii="宋体" w:hAnsi="宋体" w:cs="宋体"/>
      <w:szCs w:val="20"/>
    </w:rPr>
  </w:style>
  <w:style w:type="paragraph" w:customStyle="1" w:styleId="1766">
    <w:name w:val="正文样式3"/>
    <w:basedOn w:val="1"/>
    <w:autoRedefine/>
    <w:qFormat/>
    <w:uiPriority w:val="99"/>
    <w:pPr>
      <w:keepLines/>
      <w:adjustRightInd w:val="0"/>
      <w:spacing w:line="20" w:lineRule="atLeast"/>
      <w:ind w:firstLine="200" w:firstLineChars="200"/>
      <w:jc w:val="center"/>
      <w:textAlignment w:val="baseline"/>
    </w:pPr>
    <w:rPr>
      <w:rFonts w:eastAsia="仿宋_GB2312"/>
      <w:kern w:val="0"/>
      <w:sz w:val="24"/>
      <w:szCs w:val="20"/>
    </w:rPr>
  </w:style>
  <w:style w:type="paragraph" w:customStyle="1" w:styleId="1767">
    <w:name w:val="xl183"/>
    <w:basedOn w:val="1"/>
    <w:autoRedefine/>
    <w:qFormat/>
    <w:uiPriority w:val="99"/>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768">
    <w:name w:val="xl84"/>
    <w:basedOn w:val="1"/>
    <w:autoRedefine/>
    <w:qFormat/>
    <w:uiPriority w:val="0"/>
    <w:pPr>
      <w:widowControl/>
      <w:pBdr>
        <w:bottom w:val="single" w:color="auto" w:sz="8" w:space="0"/>
        <w:right w:val="single" w:color="auto" w:sz="8" w:space="0"/>
      </w:pBdr>
      <w:spacing w:before="100" w:beforeAutospacing="1" w:after="100" w:afterAutospacing="1"/>
      <w:jc w:val="center"/>
      <w:textAlignment w:val="bottom"/>
    </w:pPr>
    <w:rPr>
      <w:rFonts w:ascii="宋体" w:hAnsi="宋体" w:cs="宋体"/>
      <w:color w:val="FF0000"/>
      <w:kern w:val="0"/>
      <w:szCs w:val="21"/>
    </w:rPr>
  </w:style>
  <w:style w:type="paragraph" w:customStyle="1" w:styleId="1769">
    <w:name w:val="xl37"/>
    <w:basedOn w:val="1"/>
    <w:autoRedefine/>
    <w:qFormat/>
    <w:uiPriority w:val="0"/>
    <w:pPr>
      <w:widowControl/>
      <w:spacing w:before="100" w:beforeAutospacing="1" w:after="100" w:afterAutospacing="1"/>
      <w:jc w:val="center"/>
    </w:pPr>
    <w:rPr>
      <w:rFonts w:ascii="宋体" w:hAnsi="宋体"/>
      <w:kern w:val="0"/>
      <w:sz w:val="24"/>
    </w:rPr>
  </w:style>
  <w:style w:type="paragraph" w:customStyle="1" w:styleId="1770">
    <w:name w:val="表文字511"/>
    <w:basedOn w:val="1"/>
    <w:autoRedefine/>
    <w:qFormat/>
    <w:uiPriority w:val="0"/>
    <w:pPr>
      <w:adjustRightInd w:val="0"/>
      <w:jc w:val="left"/>
      <w:textAlignment w:val="baseline"/>
    </w:pPr>
    <w:rPr>
      <w:rFonts w:ascii="宋体"/>
      <w:kern w:val="0"/>
      <w:szCs w:val="20"/>
    </w:rPr>
  </w:style>
  <w:style w:type="paragraph" w:customStyle="1" w:styleId="1771">
    <w:name w:val="xl62"/>
    <w:basedOn w:val="1"/>
    <w:autoRedefine/>
    <w:qFormat/>
    <w:uiPriority w:val="0"/>
    <w:pPr>
      <w:widowControl/>
      <w:pBdr>
        <w:bottom w:val="single" w:color="auto" w:sz="12" w:space="0"/>
      </w:pBdr>
      <w:spacing w:before="100" w:beforeAutospacing="1" w:after="100" w:afterAutospacing="1"/>
      <w:jc w:val="center"/>
      <w:textAlignment w:val="center"/>
    </w:pPr>
    <w:rPr>
      <w:kern w:val="0"/>
      <w:sz w:val="12"/>
      <w:szCs w:val="12"/>
    </w:rPr>
  </w:style>
  <w:style w:type="paragraph" w:customStyle="1" w:styleId="1772">
    <w:name w:val="Char Char Char"/>
    <w:basedOn w:val="1"/>
    <w:autoRedefine/>
    <w:qFormat/>
    <w:uiPriority w:val="0"/>
    <w:rPr>
      <w:sz w:val="24"/>
    </w:rPr>
  </w:style>
  <w:style w:type="paragraph" w:customStyle="1" w:styleId="1773">
    <w:name w:val="表格内"/>
    <w:basedOn w:val="1"/>
    <w:autoRedefine/>
    <w:qFormat/>
    <w:uiPriority w:val="39"/>
    <w:pPr>
      <w:adjustRightInd w:val="0"/>
      <w:spacing w:line="240" w:lineRule="atLeast"/>
      <w:jc w:val="center"/>
      <w:textAlignment w:val="baseline"/>
    </w:pPr>
    <w:rPr>
      <w:rFonts w:ascii="宋体"/>
      <w:kern w:val="0"/>
      <w:sz w:val="28"/>
      <w:szCs w:val="28"/>
    </w:rPr>
  </w:style>
  <w:style w:type="paragraph" w:customStyle="1" w:styleId="1774">
    <w:name w:val="样式 样式 Times New Roman 四号 加粗 行距: 1.5 倍行距 + 加粗"/>
    <w:basedOn w:val="1418"/>
    <w:autoRedefine/>
    <w:qFormat/>
    <w:uiPriority w:val="99"/>
    <w:pPr>
      <w:outlineLvl w:val="3"/>
    </w:pPr>
  </w:style>
  <w:style w:type="paragraph" w:customStyle="1" w:styleId="1775">
    <w:name w:val="Char4111"/>
    <w:basedOn w:val="1"/>
    <w:autoRedefine/>
    <w:qFormat/>
    <w:uiPriority w:val="0"/>
    <w:pPr>
      <w:ind w:left="-48"/>
    </w:pPr>
  </w:style>
  <w:style w:type="paragraph" w:customStyle="1" w:styleId="1776">
    <w:name w:val="Char Char Char1 Char"/>
    <w:basedOn w:val="1"/>
    <w:autoRedefine/>
    <w:qFormat/>
    <w:uiPriority w:val="0"/>
    <w:rPr>
      <w:szCs w:val="20"/>
    </w:rPr>
  </w:style>
  <w:style w:type="paragraph" w:customStyle="1" w:styleId="1777">
    <w:name w:val="食疗标题2"/>
    <w:basedOn w:val="4"/>
    <w:autoRedefine/>
    <w:qFormat/>
    <w:uiPriority w:val="39"/>
  </w:style>
  <w:style w:type="paragraph" w:customStyle="1" w:styleId="1778">
    <w:name w:val="正文格式32"/>
    <w:basedOn w:val="1"/>
    <w:autoRedefine/>
    <w:qFormat/>
    <w:uiPriority w:val="0"/>
    <w:pPr>
      <w:spacing w:line="360" w:lineRule="auto"/>
      <w:ind w:firstLine="482"/>
    </w:pPr>
    <w:rPr>
      <w:rFonts w:ascii="宋体" w:hAnsi="宋体"/>
      <w:sz w:val="24"/>
    </w:rPr>
  </w:style>
  <w:style w:type="paragraph" w:customStyle="1" w:styleId="1779">
    <w:name w:val="字元1"/>
    <w:basedOn w:val="1"/>
    <w:autoRedefine/>
    <w:qFormat/>
    <w:uiPriority w:val="0"/>
    <w:rPr>
      <w:sz w:val="24"/>
    </w:rPr>
  </w:style>
  <w:style w:type="paragraph" w:customStyle="1" w:styleId="1780">
    <w:name w:val="Char116"/>
    <w:basedOn w:val="1"/>
    <w:autoRedefine/>
    <w:qFormat/>
    <w:uiPriority w:val="0"/>
    <w:pPr>
      <w:ind w:left="-48"/>
    </w:pPr>
  </w:style>
  <w:style w:type="paragraph" w:customStyle="1" w:styleId="1781">
    <w:name w:val="xl170"/>
    <w:basedOn w:val="1"/>
    <w:autoRedefine/>
    <w:qFormat/>
    <w:uiPriority w:val="99"/>
    <w:pPr>
      <w:widowControl/>
      <w:pBdr>
        <w:left w:val="single" w:color="auto" w:sz="4" w:space="0"/>
        <w:bottom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1782">
    <w:name w:val="xl147"/>
    <w:basedOn w:val="1"/>
    <w:autoRedefine/>
    <w:qFormat/>
    <w:uiPriority w:val="99"/>
    <w:pPr>
      <w:widowControl/>
      <w:spacing w:before="100" w:beforeAutospacing="1" w:after="100" w:afterAutospacing="1"/>
      <w:jc w:val="center"/>
    </w:pPr>
    <w:rPr>
      <w:rFonts w:ascii="Arial Unicode MS" w:hAnsi="Arial Unicode MS"/>
      <w:kern w:val="0"/>
    </w:rPr>
  </w:style>
  <w:style w:type="paragraph" w:customStyle="1" w:styleId="1783">
    <w:name w:val="样式2.3.1"/>
    <w:basedOn w:val="1"/>
    <w:autoRedefine/>
    <w:qFormat/>
    <w:uiPriority w:val="99"/>
    <w:pPr>
      <w:tabs>
        <w:tab w:val="left" w:pos="-962"/>
        <w:tab w:val="left" w:pos="0"/>
      </w:tabs>
      <w:spacing w:beforeLines="50" w:line="360" w:lineRule="auto"/>
      <w:ind w:left="1680" w:hanging="420"/>
      <w:outlineLvl w:val="2"/>
    </w:pPr>
    <w:rPr>
      <w:b/>
      <w:bCs/>
      <w:color w:val="000000"/>
      <w:sz w:val="28"/>
      <w:szCs w:val="28"/>
    </w:rPr>
  </w:style>
  <w:style w:type="paragraph" w:customStyle="1" w:styleId="1784">
    <w:name w:val="表内文字小224"/>
    <w:basedOn w:val="1"/>
    <w:autoRedefine/>
    <w:qFormat/>
    <w:uiPriority w:val="0"/>
    <w:pPr>
      <w:adjustRightInd w:val="0"/>
      <w:snapToGrid w:val="0"/>
      <w:jc w:val="center"/>
    </w:pPr>
    <w:rPr>
      <w:rFonts w:ascii="宋体" w:hAnsi="Times"/>
      <w:bCs/>
      <w:color w:val="000000"/>
      <w:szCs w:val="20"/>
    </w:rPr>
  </w:style>
  <w:style w:type="paragraph" w:customStyle="1" w:styleId="1785">
    <w:name w:val="xl139"/>
    <w:basedOn w:val="1"/>
    <w:autoRedefine/>
    <w:qFormat/>
    <w:uiPriority w:val="99"/>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1786">
    <w:name w:val="Char Char Char Char Char Char Char Char Char Char Char Char"/>
    <w:basedOn w:val="1"/>
    <w:autoRedefine/>
    <w:qFormat/>
    <w:uiPriority w:val="39"/>
    <w:rPr>
      <w:sz w:val="24"/>
    </w:rPr>
  </w:style>
  <w:style w:type="paragraph" w:customStyle="1" w:styleId="1787">
    <w:name w:val="样式111"/>
    <w:basedOn w:val="1788"/>
    <w:autoRedefine/>
    <w:qFormat/>
    <w:uiPriority w:val="0"/>
    <w:rPr>
      <w:sz w:val="21"/>
    </w:rPr>
  </w:style>
  <w:style w:type="paragraph" w:customStyle="1" w:styleId="1788">
    <w:name w:val="文本框文字格式"/>
    <w:basedOn w:val="1"/>
    <w:autoRedefine/>
    <w:qFormat/>
    <w:uiPriority w:val="99"/>
    <w:pPr>
      <w:jc w:val="center"/>
    </w:pPr>
    <w:rPr>
      <w:sz w:val="24"/>
    </w:rPr>
  </w:style>
  <w:style w:type="paragraph" w:customStyle="1" w:styleId="1789">
    <w:name w:val="正文样式11"/>
    <w:basedOn w:val="1"/>
    <w:autoRedefine/>
    <w:qFormat/>
    <w:uiPriority w:val="39"/>
    <w:pPr>
      <w:ind w:firstLine="548" w:firstLineChars="200"/>
      <w:jc w:val="left"/>
    </w:pPr>
    <w:rPr>
      <w:rFonts w:ascii="宋体" w:hAnsi="宋体" w:cs="Arial"/>
      <w:bCs/>
      <w:color w:val="000000"/>
      <w:sz w:val="24"/>
    </w:rPr>
  </w:style>
  <w:style w:type="paragraph" w:customStyle="1" w:styleId="1790">
    <w:name w:val="Char Char Char1 Char Char Char Char"/>
    <w:basedOn w:val="1"/>
    <w:autoRedefine/>
    <w:qFormat/>
    <w:uiPriority w:val="0"/>
    <w:rPr>
      <w:szCs w:val="20"/>
    </w:rPr>
  </w:style>
  <w:style w:type="paragraph" w:customStyle="1" w:styleId="1791">
    <w:name w:val="款"/>
    <w:basedOn w:val="1"/>
    <w:autoRedefine/>
    <w:qFormat/>
    <w:uiPriority w:val="39"/>
    <w:pPr>
      <w:spacing w:line="360" w:lineRule="auto"/>
    </w:pPr>
    <w:rPr>
      <w:szCs w:val="20"/>
    </w:rPr>
  </w:style>
  <w:style w:type="paragraph" w:customStyle="1" w:styleId="1792">
    <w:name w:val="表格（大）"/>
    <w:basedOn w:val="1"/>
    <w:autoRedefine/>
    <w:qFormat/>
    <w:uiPriority w:val="39"/>
    <w:pPr>
      <w:spacing w:line="360" w:lineRule="exact"/>
      <w:jc w:val="center"/>
    </w:pPr>
    <w:rPr>
      <w:rFonts w:eastAsia="仿宋_GB2312"/>
    </w:rPr>
  </w:style>
  <w:style w:type="paragraph" w:customStyle="1" w:styleId="1793">
    <w:name w:val="列表 2B"/>
    <w:basedOn w:val="37"/>
    <w:autoRedefine/>
    <w:qFormat/>
    <w:uiPriority w:val="0"/>
    <w:pPr>
      <w:tabs>
        <w:tab w:val="left" w:pos="737"/>
      </w:tabs>
      <w:spacing w:line="288" w:lineRule="auto"/>
      <w:ind w:left="0" w:leftChars="0" w:firstLine="0" w:firstLineChars="0"/>
    </w:pPr>
    <w:rPr>
      <w:rFonts w:ascii="Arial" w:hAnsi="Arial"/>
      <w:color w:val="FFFF99"/>
    </w:rPr>
  </w:style>
  <w:style w:type="paragraph" w:customStyle="1" w:styleId="1794">
    <w:name w:val="font11"/>
    <w:basedOn w:val="1"/>
    <w:autoRedefine/>
    <w:qFormat/>
    <w:uiPriority w:val="0"/>
    <w:pPr>
      <w:widowControl/>
      <w:spacing w:before="100" w:beforeAutospacing="1" w:after="100" w:afterAutospacing="1"/>
      <w:jc w:val="left"/>
    </w:pPr>
    <w:rPr>
      <w:rFonts w:hint="eastAsia" w:ascii="宋体" w:hAnsi="宋体"/>
      <w:color w:val="000000"/>
      <w:kern w:val="0"/>
      <w:sz w:val="20"/>
      <w:szCs w:val="20"/>
    </w:rPr>
  </w:style>
  <w:style w:type="paragraph" w:customStyle="1" w:styleId="1795">
    <w:name w:val="三级无标题条"/>
    <w:basedOn w:val="1"/>
    <w:autoRedefine/>
    <w:qFormat/>
    <w:uiPriority w:val="99"/>
    <w:rPr>
      <w:szCs w:val="20"/>
    </w:rPr>
  </w:style>
  <w:style w:type="paragraph" w:customStyle="1" w:styleId="1796">
    <w:name w:val="样式Fu01"/>
    <w:basedOn w:val="1"/>
    <w:autoRedefine/>
    <w:qFormat/>
    <w:uiPriority w:val="99"/>
    <w:pPr>
      <w:autoSpaceDE w:val="0"/>
      <w:autoSpaceDN w:val="0"/>
      <w:adjustRightInd w:val="0"/>
      <w:spacing w:before="40" w:after="40" w:line="0" w:lineRule="atLeast"/>
      <w:jc w:val="left"/>
    </w:pPr>
    <w:rPr>
      <w:rFonts w:ascii="幼圆" w:eastAsia="幼圆"/>
      <w:snapToGrid w:val="0"/>
      <w:kern w:val="0"/>
    </w:rPr>
  </w:style>
  <w:style w:type="paragraph" w:customStyle="1" w:styleId="1797">
    <w:name w:val="9 Char Char Char"/>
    <w:basedOn w:val="1"/>
    <w:autoRedefine/>
    <w:qFormat/>
    <w:uiPriority w:val="0"/>
    <w:pPr>
      <w:spacing w:line="240" w:lineRule="exact"/>
      <w:ind w:firstLine="200" w:firstLineChars="200"/>
    </w:pPr>
    <w:rPr>
      <w:sz w:val="28"/>
      <w:szCs w:val="28"/>
    </w:rPr>
  </w:style>
  <w:style w:type="paragraph" w:customStyle="1" w:styleId="1798">
    <w:name w:val="正文格式84"/>
    <w:basedOn w:val="1"/>
    <w:autoRedefine/>
    <w:qFormat/>
    <w:uiPriority w:val="0"/>
    <w:pPr>
      <w:spacing w:line="360" w:lineRule="auto"/>
      <w:ind w:firstLine="482"/>
    </w:pPr>
    <w:rPr>
      <w:rFonts w:ascii="宋体" w:hAnsi="宋体"/>
      <w:sz w:val="24"/>
    </w:rPr>
  </w:style>
  <w:style w:type="paragraph" w:customStyle="1" w:styleId="1799">
    <w:name w:val="xl150"/>
    <w:basedOn w:val="1"/>
    <w:autoRedefine/>
    <w:qFormat/>
    <w:uiPriority w:val="99"/>
    <w:pPr>
      <w:widowControl/>
      <w:pBdr>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1800">
    <w:name w:val="文本框11"/>
    <w:basedOn w:val="1"/>
    <w:autoRedefine/>
    <w:qFormat/>
    <w:uiPriority w:val="0"/>
    <w:pPr>
      <w:adjustRightInd w:val="0"/>
      <w:snapToGrid w:val="0"/>
      <w:spacing w:after="6"/>
      <w:jc w:val="center"/>
    </w:pPr>
    <w:rPr>
      <w:rFonts w:eastAsia="仿宋_GB2312"/>
    </w:rPr>
  </w:style>
  <w:style w:type="paragraph" w:customStyle="1" w:styleId="1801">
    <w:name w:val="24"/>
    <w:basedOn w:val="1"/>
    <w:next w:val="70"/>
    <w:autoRedefine/>
    <w:qFormat/>
    <w:uiPriority w:val="0"/>
    <w:pPr>
      <w:spacing w:line="500" w:lineRule="exact"/>
      <w:ind w:firstLine="560" w:firstLineChars="200"/>
    </w:pPr>
    <w:rPr>
      <w:rFonts w:ascii="仿宋_GB2312" w:eastAsia="仿宋_GB2312"/>
      <w:sz w:val="28"/>
      <w:szCs w:val="20"/>
    </w:rPr>
  </w:style>
  <w:style w:type="paragraph" w:customStyle="1" w:styleId="1802">
    <w:name w:val="xl153"/>
    <w:basedOn w:val="1"/>
    <w:autoRedefine/>
    <w:qFormat/>
    <w:uiPriority w:val="99"/>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1803">
    <w:name w:val="附件41"/>
    <w:basedOn w:val="3"/>
    <w:next w:val="416"/>
    <w:autoRedefine/>
    <w:qFormat/>
    <w:uiPriority w:val="0"/>
    <w:pPr>
      <w:keepLines/>
      <w:tabs>
        <w:tab w:val="left" w:pos="1566"/>
      </w:tabs>
      <w:overflowPunct/>
      <w:snapToGrid/>
      <w:spacing w:before="0" w:after="210" w:line="360" w:lineRule="auto"/>
      <w:ind w:left="0" w:firstLine="0"/>
      <w:jc w:val="left"/>
    </w:pPr>
    <w:rPr>
      <w:rFonts w:ascii="黑体" w:hAnsi="宋体"/>
      <w:color w:val="auto"/>
      <w:sz w:val="32"/>
      <w:szCs w:val="32"/>
    </w:rPr>
  </w:style>
  <w:style w:type="paragraph" w:customStyle="1" w:styleId="1804">
    <w:name w:val="正文文本缩进 31"/>
    <w:basedOn w:val="1"/>
    <w:autoRedefine/>
    <w:qFormat/>
    <w:uiPriority w:val="99"/>
    <w:pPr>
      <w:spacing w:after="120"/>
      <w:ind w:left="420" w:leftChars="200"/>
    </w:pPr>
    <w:rPr>
      <w:rFonts w:eastAsia="仿宋_GB2312"/>
      <w:sz w:val="16"/>
      <w:szCs w:val="16"/>
    </w:rPr>
  </w:style>
  <w:style w:type="paragraph" w:customStyle="1" w:styleId="1805">
    <w:name w:val="正文3"/>
    <w:basedOn w:val="1"/>
    <w:autoRedefine/>
    <w:qFormat/>
    <w:uiPriority w:val="0"/>
    <w:pPr>
      <w:adjustRightInd w:val="0"/>
      <w:spacing w:line="360" w:lineRule="auto"/>
      <w:ind w:firstLine="624"/>
      <w:textAlignment w:val="baseline"/>
    </w:pPr>
    <w:rPr>
      <w:rFonts w:ascii="宋体" w:hAnsi="宋体"/>
      <w:spacing w:val="-2"/>
      <w:kern w:val="0"/>
      <w:sz w:val="30"/>
    </w:rPr>
  </w:style>
  <w:style w:type="paragraph" w:customStyle="1" w:styleId="1806">
    <w:name w:val="Char2211"/>
    <w:basedOn w:val="1"/>
    <w:autoRedefine/>
    <w:qFormat/>
    <w:uiPriority w:val="0"/>
    <w:pPr>
      <w:adjustRightInd w:val="0"/>
      <w:snapToGrid w:val="0"/>
      <w:spacing w:beforeLines="50" w:line="360" w:lineRule="auto"/>
    </w:pPr>
    <w:rPr>
      <w:rFonts w:ascii="黑体" w:eastAsia="黑体"/>
      <w:sz w:val="32"/>
      <w:szCs w:val="32"/>
    </w:rPr>
  </w:style>
  <w:style w:type="paragraph" w:customStyle="1" w:styleId="1807">
    <w:name w:val="正文编号"/>
    <w:basedOn w:val="1"/>
    <w:autoRedefine/>
    <w:qFormat/>
    <w:uiPriority w:val="0"/>
    <w:pPr>
      <w:tabs>
        <w:tab w:val="left" w:pos="360"/>
      </w:tabs>
      <w:adjustRightInd w:val="0"/>
      <w:spacing w:line="360" w:lineRule="auto"/>
      <w:textAlignment w:val="baseline"/>
    </w:pPr>
    <w:rPr>
      <w:kern w:val="0"/>
      <w:sz w:val="24"/>
      <w:szCs w:val="20"/>
    </w:rPr>
  </w:style>
  <w:style w:type="paragraph" w:customStyle="1" w:styleId="1808">
    <w:name w:val="表中文字13"/>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1809">
    <w:name w:val="封面正文"/>
    <w:autoRedefine/>
    <w:qFormat/>
    <w:uiPriority w:val="0"/>
    <w:pPr>
      <w:jc w:val="both"/>
    </w:pPr>
    <w:rPr>
      <w:rFonts w:ascii="Times New Roman" w:hAnsi="Times New Roman" w:eastAsia="宋体" w:cs="Times New Roman"/>
      <w:lang w:val="en-US" w:eastAsia="zh-CN" w:bidi="ar-SA"/>
    </w:rPr>
  </w:style>
  <w:style w:type="paragraph" w:customStyle="1" w:styleId="1810">
    <w:name w:val="Char Char2 Char Char Char Char6"/>
    <w:basedOn w:val="1"/>
    <w:autoRedefine/>
    <w:qFormat/>
    <w:uiPriority w:val="0"/>
  </w:style>
  <w:style w:type="paragraph" w:customStyle="1" w:styleId="1811">
    <w:name w:val="Char215"/>
    <w:basedOn w:val="1"/>
    <w:autoRedefine/>
    <w:qFormat/>
    <w:uiPriority w:val="0"/>
    <w:rPr>
      <w:sz w:val="24"/>
    </w:rPr>
  </w:style>
  <w:style w:type="paragraph" w:customStyle="1" w:styleId="1812">
    <w:name w:val="xl159"/>
    <w:basedOn w:val="1"/>
    <w:autoRedefine/>
    <w:qFormat/>
    <w:uiPriority w:val="99"/>
    <w:pPr>
      <w:widowControl/>
      <w:pBdr>
        <w:right w:val="single" w:color="auto" w:sz="4" w:space="0"/>
      </w:pBdr>
      <w:spacing w:before="100" w:beforeAutospacing="1" w:after="100" w:afterAutospacing="1"/>
      <w:jc w:val="left"/>
    </w:pPr>
    <w:rPr>
      <w:rFonts w:ascii="Arial Unicode MS" w:hAnsi="Arial Unicode MS"/>
      <w:kern w:val="0"/>
    </w:rPr>
  </w:style>
  <w:style w:type="paragraph" w:customStyle="1" w:styleId="1813">
    <w:name w:val="燕山正文211"/>
    <w:basedOn w:val="1"/>
    <w:autoRedefine/>
    <w:qFormat/>
    <w:uiPriority w:val="0"/>
    <w:pPr>
      <w:tabs>
        <w:tab w:val="left" w:pos="4680"/>
      </w:tabs>
      <w:adjustRightInd w:val="0"/>
      <w:snapToGrid w:val="0"/>
      <w:spacing w:line="480" w:lineRule="exact"/>
    </w:pPr>
    <w:rPr>
      <w:rFonts w:ascii="宋体" w:cs="宋体"/>
      <w:sz w:val="24"/>
    </w:rPr>
  </w:style>
  <w:style w:type="paragraph" w:customStyle="1" w:styleId="1814">
    <w:name w:val="InstÀÀll6"/>
    <w:autoRedefine/>
    <w:qFormat/>
    <w:uiPriority w:val="39"/>
    <w:pPr>
      <w:tabs>
        <w:tab w:val="left" w:pos="-720"/>
      </w:tabs>
      <w:suppressAutoHyphens/>
      <w:jc w:val="both"/>
    </w:pPr>
    <w:rPr>
      <w:rFonts w:ascii="Courier" w:hAnsi="Courier" w:eastAsia="宋体" w:cs="Times New Roman"/>
      <w:spacing w:val="-3"/>
      <w:sz w:val="24"/>
      <w:lang w:val="en-US" w:eastAsia="sv-SE" w:bidi="ar-SA"/>
    </w:rPr>
  </w:style>
  <w:style w:type="paragraph" w:customStyle="1" w:styleId="1815">
    <w:name w:val="正文文本缩进2"/>
    <w:basedOn w:val="1"/>
    <w:autoRedefine/>
    <w:qFormat/>
    <w:uiPriority w:val="39"/>
    <w:pPr>
      <w:spacing w:after="120" w:line="360" w:lineRule="auto"/>
      <w:ind w:left="420" w:leftChars="200" w:firstLine="200" w:firstLineChars="200"/>
    </w:pPr>
    <w:rPr>
      <w:sz w:val="24"/>
    </w:rPr>
  </w:style>
  <w:style w:type="paragraph" w:customStyle="1" w:styleId="1816">
    <w:name w:val="正文修改3"/>
    <w:basedOn w:val="192"/>
    <w:autoRedefine/>
    <w:qFormat/>
    <w:uiPriority w:val="0"/>
    <w:rPr>
      <w:rFonts w:hAnsi="宋体"/>
      <w:color w:val="000000"/>
    </w:rPr>
  </w:style>
  <w:style w:type="paragraph" w:customStyle="1" w:styleId="1817">
    <w:name w:val="小五 Char"/>
    <w:autoRedefine/>
    <w:qFormat/>
    <w:uiPriority w:val="0"/>
    <w:pPr>
      <w:autoSpaceDE w:val="0"/>
      <w:autoSpaceDN w:val="0"/>
      <w:adjustRightInd w:val="0"/>
      <w:snapToGrid w:val="0"/>
      <w:spacing w:line="360" w:lineRule="auto"/>
      <w:jc w:val="both"/>
    </w:pPr>
    <w:rPr>
      <w:rFonts w:ascii="宋体" w:hAnsi="宋体" w:eastAsia="宋体" w:cs="Times New Roman"/>
      <w:kern w:val="2"/>
      <w:sz w:val="21"/>
      <w:szCs w:val="21"/>
      <w:lang w:val="en-US" w:eastAsia="zh-CN" w:bidi="ar-SA"/>
    </w:rPr>
  </w:style>
  <w:style w:type="paragraph" w:customStyle="1" w:styleId="1818">
    <w:name w:val="正文文字缩进"/>
    <w:basedOn w:val="107"/>
    <w:next w:val="107"/>
    <w:autoRedefine/>
    <w:qFormat/>
    <w:uiPriority w:val="99"/>
    <w:pPr>
      <w:spacing w:line="240" w:lineRule="auto"/>
    </w:pPr>
    <w:rPr>
      <w:rFonts w:ascii="仿宋_GB2312" w:hAnsi="Times New Roman" w:eastAsia="仿宋_GB2312" w:cs="Times New Roman"/>
      <w:color w:val="auto"/>
      <w:szCs w:val="20"/>
    </w:rPr>
  </w:style>
  <w:style w:type="paragraph" w:customStyle="1" w:styleId="1819">
    <w:name w:val="样式 样式 正文缩进正文（首行缩进两字） Char Char Char Char Char Char Char表格标题标题4文...."/>
    <w:basedOn w:val="1820"/>
    <w:autoRedefine/>
    <w:qFormat/>
    <w:uiPriority w:val="0"/>
  </w:style>
  <w:style w:type="paragraph" w:customStyle="1" w:styleId="1820">
    <w:name w:val="样式 正文缩进正文（首行缩进两字） Char Char Char Char Char Char Char表格标题标题4文..."/>
    <w:basedOn w:val="9"/>
    <w:autoRedefine/>
    <w:qFormat/>
    <w:uiPriority w:val="0"/>
    <w:pPr>
      <w:overflowPunct w:val="0"/>
      <w:adjustRightInd w:val="0"/>
      <w:snapToGrid w:val="0"/>
      <w:spacing w:line="500" w:lineRule="exact"/>
      <w:ind w:firstLine="200"/>
      <w:textAlignment w:val="baseline"/>
    </w:pPr>
    <w:rPr>
      <w:rFonts w:eastAsia="仿宋_GB2312" w:cs="宋体"/>
      <w:kern w:val="0"/>
      <w:sz w:val="28"/>
      <w:szCs w:val="20"/>
      <w:lang w:val="en-US"/>
    </w:rPr>
  </w:style>
  <w:style w:type="paragraph" w:customStyle="1" w:styleId="1821">
    <w:name w:val="默认段落字体 Para Char21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1822">
    <w:name w:val="表内5412"/>
    <w:basedOn w:val="1"/>
    <w:autoRedefine/>
    <w:qFormat/>
    <w:uiPriority w:val="0"/>
    <w:pPr>
      <w:adjustRightInd w:val="0"/>
      <w:snapToGrid w:val="0"/>
      <w:spacing w:line="300" w:lineRule="auto"/>
      <w:jc w:val="center"/>
    </w:pPr>
    <w:rPr>
      <w:rFonts w:ascii="宋体" w:hAnsi="宋体" w:cs="宋体"/>
      <w:szCs w:val="20"/>
    </w:rPr>
  </w:style>
  <w:style w:type="paragraph" w:customStyle="1" w:styleId="1823">
    <w:name w:val="样式 表格文字 + (西文) 宋体 (中文) 华文仿宋 小四 黑色1"/>
    <w:basedOn w:val="148"/>
    <w:autoRedefine/>
    <w:qFormat/>
    <w:uiPriority w:val="0"/>
    <w:pPr>
      <w:widowControl w:val="0"/>
      <w:tabs>
        <w:tab w:val="left" w:pos="560"/>
      </w:tabs>
      <w:overflowPunct w:val="0"/>
      <w:adjustRightInd w:val="0"/>
      <w:snapToGrid w:val="0"/>
      <w:spacing w:line="400" w:lineRule="exact"/>
    </w:pPr>
    <w:rPr>
      <w:rFonts w:ascii="Times New Roman" w:hAnsi="宋体" w:eastAsia="宋体" w:cs="宋体"/>
      <w:snapToGrid w:val="0"/>
      <w:color w:val="000000"/>
      <w:kern w:val="0"/>
      <w:sz w:val="21"/>
      <w:szCs w:val="21"/>
      <w:lang w:val="en-US"/>
    </w:rPr>
  </w:style>
  <w:style w:type="paragraph" w:customStyle="1" w:styleId="1824">
    <w:name w:val="表内55"/>
    <w:basedOn w:val="1"/>
    <w:autoRedefine/>
    <w:qFormat/>
    <w:uiPriority w:val="0"/>
    <w:pPr>
      <w:adjustRightInd w:val="0"/>
      <w:snapToGrid w:val="0"/>
      <w:spacing w:line="300" w:lineRule="auto"/>
      <w:jc w:val="left"/>
    </w:pPr>
    <w:rPr>
      <w:rFonts w:ascii="宋体"/>
      <w:sz w:val="18"/>
      <w:szCs w:val="20"/>
    </w:rPr>
  </w:style>
  <w:style w:type="paragraph" w:customStyle="1" w:styleId="1825">
    <w:name w:val="样式2.5.1"/>
    <w:basedOn w:val="1"/>
    <w:autoRedefine/>
    <w:qFormat/>
    <w:uiPriority w:val="99"/>
    <w:pPr>
      <w:spacing w:beforeLines="50" w:line="360" w:lineRule="auto"/>
      <w:outlineLvl w:val="2"/>
    </w:pPr>
    <w:rPr>
      <w:b/>
      <w:bCs/>
      <w:color w:val="000000"/>
      <w:sz w:val="28"/>
      <w:szCs w:val="28"/>
    </w:rPr>
  </w:style>
  <w:style w:type="paragraph" w:customStyle="1" w:styleId="1826">
    <w:name w:val="xl68"/>
    <w:basedOn w:val="1"/>
    <w:autoRedefine/>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color w:val="FF0000"/>
      <w:kern w:val="0"/>
      <w:szCs w:val="21"/>
    </w:rPr>
  </w:style>
  <w:style w:type="paragraph" w:customStyle="1" w:styleId="1827">
    <w:name w:val="xl94"/>
    <w:basedOn w:val="1"/>
    <w:autoRedefine/>
    <w:qFormat/>
    <w:uiPriority w:val="0"/>
    <w:pPr>
      <w:widowControl/>
      <w:pBdr>
        <w:lef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828">
    <w:name w:val="样式 正文文本btBody Text(ch) + 仿宋_GB2312 五号"/>
    <w:basedOn w:val="34"/>
    <w:autoRedefine/>
    <w:qFormat/>
    <w:uiPriority w:val="0"/>
    <w:pPr>
      <w:widowControl w:val="0"/>
      <w:adjustRightInd w:val="0"/>
      <w:spacing w:before="0" w:after="0" w:line="500" w:lineRule="exact"/>
      <w:ind w:right="0"/>
    </w:pPr>
    <w:rPr>
      <w:rFonts w:ascii="仿宋_GB2312" w:hAnsi="仿宋_GB2312"/>
      <w:sz w:val="28"/>
      <w:szCs w:val="24"/>
      <w:lang w:val="en-US"/>
    </w:rPr>
  </w:style>
  <w:style w:type="paragraph" w:customStyle="1" w:styleId="1829">
    <w:name w:val="表题3133"/>
    <w:basedOn w:val="35"/>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1830">
    <w:name w:val="样式 标题 1 + 加粗"/>
    <w:basedOn w:val="3"/>
    <w:autoRedefine/>
    <w:qFormat/>
    <w:uiPriority w:val="0"/>
    <w:pPr>
      <w:tabs>
        <w:tab w:val="left" w:pos="360"/>
      </w:tabs>
      <w:overflowPunct/>
      <w:snapToGrid/>
      <w:spacing w:before="0" w:after="0" w:line="240" w:lineRule="auto"/>
      <w:ind w:left="0" w:firstLine="0"/>
      <w:jc w:val="center"/>
    </w:pPr>
    <w:rPr>
      <w:rFonts w:ascii="Calibri" w:hAnsi="Calibri" w:eastAsia="楷体_GB2312"/>
      <w:b w:val="0"/>
      <w:bCs w:val="0"/>
      <w:color w:val="auto"/>
      <w:kern w:val="0"/>
      <w:sz w:val="28"/>
      <w:szCs w:val="20"/>
    </w:rPr>
  </w:style>
  <w:style w:type="paragraph" w:customStyle="1" w:styleId="1831">
    <w:name w:val="表内文字小2112"/>
    <w:basedOn w:val="1"/>
    <w:autoRedefine/>
    <w:qFormat/>
    <w:uiPriority w:val="0"/>
    <w:pPr>
      <w:adjustRightInd w:val="0"/>
      <w:snapToGrid w:val="0"/>
      <w:jc w:val="center"/>
    </w:pPr>
    <w:rPr>
      <w:rFonts w:ascii="宋体" w:hAnsi="Times"/>
      <w:bCs/>
      <w:color w:val="000000"/>
      <w:szCs w:val="20"/>
    </w:rPr>
  </w:style>
  <w:style w:type="paragraph" w:customStyle="1" w:styleId="1832">
    <w:name w:val="正文格式＝44"/>
    <w:basedOn w:val="416"/>
    <w:next w:val="416"/>
    <w:autoRedefine/>
    <w:qFormat/>
    <w:uiPriority w:val="0"/>
    <w:rPr>
      <w:rFonts w:ascii="宋体" w:hAnsi="宋体"/>
      <w:b w:val="0"/>
      <w:spacing w:val="0"/>
      <w:sz w:val="24"/>
      <w:szCs w:val="24"/>
    </w:rPr>
  </w:style>
  <w:style w:type="paragraph" w:customStyle="1" w:styleId="1833">
    <w:name w:val="样式110"/>
    <w:basedOn w:val="1576"/>
    <w:autoRedefine/>
    <w:qFormat/>
    <w:uiPriority w:val="99"/>
    <w:pPr>
      <w:adjustRightInd w:val="0"/>
      <w:textAlignment w:val="center"/>
    </w:pPr>
  </w:style>
  <w:style w:type="paragraph" w:customStyle="1" w:styleId="1834">
    <w:name w:val="默认段落字体 Para Char14"/>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1835">
    <w:name w:val="xl79"/>
    <w:basedOn w:val="1"/>
    <w:autoRedefine/>
    <w:qFormat/>
    <w:uiPriority w:val="0"/>
    <w:pPr>
      <w:widowControl/>
      <w:pBdr>
        <w:top w:val="single" w:color="auto" w:sz="8" w:space="0"/>
        <w:bottom w:val="single" w:color="auto" w:sz="8" w:space="0"/>
      </w:pBdr>
      <w:spacing w:before="100" w:beforeAutospacing="1" w:after="100" w:afterAutospacing="1"/>
      <w:jc w:val="center"/>
      <w:textAlignment w:val="bottom"/>
    </w:pPr>
    <w:rPr>
      <w:rFonts w:ascii="宋体" w:hAnsi="宋体" w:cs="宋体"/>
      <w:kern w:val="0"/>
      <w:szCs w:val="21"/>
    </w:rPr>
  </w:style>
  <w:style w:type="paragraph" w:customStyle="1" w:styleId="1836">
    <w:name w:val="样式 表内小5 + 黑体 加粗 倾斜 下划线12"/>
    <w:basedOn w:val="1"/>
    <w:autoRedefine/>
    <w:qFormat/>
    <w:uiPriority w:val="0"/>
    <w:pPr>
      <w:adjustRightInd w:val="0"/>
      <w:snapToGrid w:val="0"/>
      <w:spacing w:line="300" w:lineRule="auto"/>
      <w:jc w:val="left"/>
    </w:pPr>
    <w:rPr>
      <w:rFonts w:ascii="黑体" w:hAnsi="黑体" w:eastAsia="黑体"/>
      <w:b/>
      <w:bCs/>
      <w:i/>
      <w:iCs/>
      <w:sz w:val="18"/>
      <w:u w:val="single"/>
    </w:rPr>
  </w:style>
  <w:style w:type="paragraph" w:customStyle="1" w:styleId="1837">
    <w:name w:val="表格式"/>
    <w:basedOn w:val="66"/>
    <w:autoRedefine/>
    <w:qFormat/>
    <w:uiPriority w:val="39"/>
    <w:pPr>
      <w:spacing w:beforeLines="50" w:afterLines="50" w:line="240" w:lineRule="exact"/>
      <w:ind w:left="0" w:right="0" w:rightChars="0"/>
    </w:pPr>
    <w:rPr>
      <w:rFonts w:ascii="Times New Roman" w:eastAsia="宋体"/>
      <w:szCs w:val="20"/>
    </w:rPr>
  </w:style>
  <w:style w:type="paragraph" w:customStyle="1" w:styleId="1838">
    <w:name w:val="表第一列"/>
    <w:basedOn w:val="86"/>
    <w:autoRedefine/>
    <w:qFormat/>
    <w:uiPriority w:val="39"/>
    <w:pPr>
      <w:keepLines/>
      <w:tabs>
        <w:tab w:val="left" w:pos="1727"/>
        <w:tab w:val="left" w:pos="1884"/>
        <w:tab w:val="left" w:pos="2940"/>
      </w:tabs>
      <w:adjustRightInd w:val="0"/>
      <w:snapToGrid w:val="0"/>
      <w:spacing w:after="0" w:line="0" w:lineRule="atLeast"/>
      <w:ind w:firstLine="0" w:firstLineChars="0"/>
      <w:jc w:val="center"/>
    </w:pPr>
    <w:rPr>
      <w:rFonts w:ascii="宋体" w:hAnsi="宋体"/>
      <w:color w:val="000000"/>
      <w:spacing w:val="-4"/>
    </w:rPr>
  </w:style>
  <w:style w:type="paragraph" w:customStyle="1" w:styleId="1839">
    <w:name w:val="xl91"/>
    <w:basedOn w:val="1"/>
    <w:autoRedefine/>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840">
    <w:name w:val="表内文字小114"/>
    <w:basedOn w:val="1"/>
    <w:autoRedefine/>
    <w:qFormat/>
    <w:uiPriority w:val="0"/>
    <w:pPr>
      <w:adjustRightInd w:val="0"/>
      <w:snapToGrid w:val="0"/>
    </w:pPr>
    <w:rPr>
      <w:rFonts w:ascii="宋体" w:hAnsi="Times" w:cs="宋体"/>
      <w:szCs w:val="20"/>
    </w:rPr>
  </w:style>
  <w:style w:type="paragraph" w:customStyle="1" w:styleId="1841">
    <w:name w:val="Char Char Char Char1"/>
    <w:basedOn w:val="1"/>
    <w:autoRedefine/>
    <w:qFormat/>
    <w:uiPriority w:val="99"/>
    <w:rPr>
      <w:sz w:val="28"/>
    </w:rPr>
  </w:style>
  <w:style w:type="paragraph" w:customStyle="1" w:styleId="1842">
    <w:name w:val="表内文字小3131"/>
    <w:basedOn w:val="1"/>
    <w:autoRedefine/>
    <w:qFormat/>
    <w:uiPriority w:val="0"/>
    <w:pPr>
      <w:adjustRightInd w:val="0"/>
      <w:snapToGrid w:val="0"/>
      <w:jc w:val="center"/>
    </w:pPr>
    <w:rPr>
      <w:rFonts w:ascii="宋体" w:hAnsi="Times" w:cs="宋体"/>
      <w:bCs/>
      <w:color w:val="003366"/>
      <w:szCs w:val="20"/>
    </w:rPr>
  </w:style>
  <w:style w:type="paragraph" w:customStyle="1" w:styleId="1843">
    <w:name w:val="layer3"/>
    <w:basedOn w:val="1"/>
    <w:next w:val="9"/>
    <w:autoRedefine/>
    <w:qFormat/>
    <w:uiPriority w:val="99"/>
    <w:pPr>
      <w:spacing w:before="120" w:after="120" w:line="300" w:lineRule="auto"/>
    </w:pPr>
    <w:rPr>
      <w:rFonts w:eastAsia="楷体_GB2312"/>
      <w:b/>
      <w:sz w:val="32"/>
      <w:szCs w:val="20"/>
    </w:rPr>
  </w:style>
  <w:style w:type="paragraph" w:customStyle="1" w:styleId="1844">
    <w:name w:val="表格字体"/>
    <w:basedOn w:val="1"/>
    <w:autoRedefine/>
    <w:qFormat/>
    <w:uiPriority w:val="0"/>
    <w:pPr>
      <w:spacing w:line="360" w:lineRule="auto"/>
      <w:jc w:val="center"/>
    </w:pPr>
    <w:rPr>
      <w:sz w:val="24"/>
      <w:szCs w:val="20"/>
    </w:rPr>
  </w:style>
  <w:style w:type="paragraph" w:customStyle="1" w:styleId="1845">
    <w:name w:val="样式 标题 2第一章 标题 2Heading 2 HiddenHeading 2 CCBSheading 2H2h2...1"/>
    <w:basedOn w:val="4"/>
    <w:autoRedefine/>
    <w:qFormat/>
    <w:uiPriority w:val="0"/>
    <w:pPr>
      <w:spacing w:before="120" w:after="120" w:line="500" w:lineRule="exact"/>
    </w:pPr>
    <w:rPr>
      <w:rFonts w:ascii="Times New Roman" w:hAnsi="Times New Roman" w:eastAsia="仿宋_GB2312" w:cs="宋体"/>
      <w:sz w:val="28"/>
      <w:szCs w:val="20"/>
    </w:rPr>
  </w:style>
  <w:style w:type="paragraph" w:customStyle="1" w:styleId="1846">
    <w:name w:val="xl124"/>
    <w:basedOn w:val="1"/>
    <w:autoRedefine/>
    <w:qFormat/>
    <w:uiPriority w:val="99"/>
    <w:pPr>
      <w:widowControl/>
      <w:pBdr>
        <w:left w:val="single" w:color="auto" w:sz="4" w:space="0"/>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1847">
    <w:name w:val="燕山正文15"/>
    <w:basedOn w:val="1"/>
    <w:autoRedefine/>
    <w:qFormat/>
    <w:uiPriority w:val="0"/>
    <w:pPr>
      <w:tabs>
        <w:tab w:val="left" w:pos="4680"/>
      </w:tabs>
      <w:adjustRightInd w:val="0"/>
      <w:snapToGrid w:val="0"/>
      <w:spacing w:line="480" w:lineRule="exact"/>
    </w:pPr>
    <w:rPr>
      <w:rFonts w:ascii="宋体" w:cs="宋体"/>
      <w:sz w:val="24"/>
    </w:rPr>
  </w:style>
  <w:style w:type="paragraph" w:customStyle="1" w:styleId="1848">
    <w:name w:val="节标"/>
    <w:basedOn w:val="1"/>
    <w:autoRedefine/>
    <w:qFormat/>
    <w:uiPriority w:val="39"/>
    <w:pPr>
      <w:widowControl/>
      <w:autoSpaceDE w:val="0"/>
      <w:autoSpaceDN w:val="0"/>
      <w:adjustRightInd w:val="0"/>
      <w:spacing w:line="480" w:lineRule="exact"/>
      <w:ind w:firstLine="567"/>
      <w:jc w:val="center"/>
      <w:textAlignment w:val="bottom"/>
    </w:pPr>
    <w:rPr>
      <w:b/>
      <w:kern w:val="0"/>
      <w:sz w:val="30"/>
      <w:szCs w:val="28"/>
    </w:rPr>
  </w:style>
  <w:style w:type="paragraph" w:customStyle="1" w:styleId="1849">
    <w:name w:val="Char Char Char Char Char Char Char Char2"/>
    <w:basedOn w:val="1"/>
    <w:autoRedefine/>
    <w:qFormat/>
    <w:uiPriority w:val="99"/>
    <w:rPr>
      <w:sz w:val="24"/>
    </w:rPr>
  </w:style>
  <w:style w:type="paragraph" w:customStyle="1" w:styleId="1850">
    <w:name w:val="xl160"/>
    <w:basedOn w:val="1"/>
    <w:autoRedefine/>
    <w:qFormat/>
    <w:uiPriority w:val="99"/>
    <w:pPr>
      <w:widowControl/>
      <w:spacing w:before="100" w:beforeAutospacing="1" w:after="100" w:afterAutospacing="1"/>
      <w:jc w:val="center"/>
      <w:textAlignment w:val="center"/>
    </w:pPr>
    <w:rPr>
      <w:rFonts w:ascii="Arial Unicode MS" w:hAnsi="Arial Unicode MS"/>
      <w:kern w:val="0"/>
    </w:rPr>
  </w:style>
  <w:style w:type="paragraph" w:customStyle="1" w:styleId="1851">
    <w:name w:val="xl135"/>
    <w:basedOn w:val="1"/>
    <w:autoRedefine/>
    <w:qFormat/>
    <w:uiPriority w:val="99"/>
    <w:pPr>
      <w:widowControl/>
      <w:spacing w:before="100" w:beforeAutospacing="1" w:after="100" w:afterAutospacing="1"/>
      <w:jc w:val="center"/>
    </w:pPr>
    <w:rPr>
      <w:rFonts w:ascii="Arial Unicode MS" w:hAnsi="Arial Unicode MS"/>
      <w:kern w:val="0"/>
      <w:sz w:val="16"/>
      <w:szCs w:val="16"/>
    </w:rPr>
  </w:style>
  <w:style w:type="paragraph" w:customStyle="1" w:styleId="1852">
    <w:name w:val="注释2"/>
    <w:basedOn w:val="416"/>
    <w:next w:val="34"/>
    <w:autoRedefine/>
    <w:qFormat/>
    <w:uiPriority w:val="0"/>
    <w:pPr>
      <w:spacing w:before="120" w:after="120" w:line="240" w:lineRule="auto"/>
      <w:ind w:firstLine="200" w:firstLineChars="200"/>
    </w:pPr>
    <w:rPr>
      <w:rFonts w:ascii="宋体" w:hAnsi="Times New Roman" w:cs="宋体"/>
      <w:b w:val="0"/>
      <w:spacing w:val="0"/>
    </w:rPr>
  </w:style>
  <w:style w:type="paragraph" w:customStyle="1" w:styleId="1853">
    <w:name w:val="黑体三号13"/>
    <w:basedOn w:val="416"/>
    <w:autoRedefine/>
    <w:qFormat/>
    <w:uiPriority w:val="0"/>
    <w:pPr>
      <w:jc w:val="center"/>
    </w:pPr>
    <w:rPr>
      <w:rFonts w:ascii="黑体" w:hAnsi="宋体" w:eastAsia="黑体" w:cs="宋体"/>
      <w:bCs/>
      <w:spacing w:val="0"/>
      <w:sz w:val="32"/>
    </w:rPr>
  </w:style>
  <w:style w:type="paragraph" w:customStyle="1" w:styleId="1854">
    <w:name w:val="正文.5"/>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855">
    <w:name w:val="正文格式213"/>
    <w:basedOn w:val="1"/>
    <w:autoRedefine/>
    <w:qFormat/>
    <w:uiPriority w:val="0"/>
    <w:pPr>
      <w:spacing w:line="360" w:lineRule="auto"/>
      <w:ind w:firstLine="482"/>
    </w:pPr>
    <w:rPr>
      <w:rFonts w:ascii="宋体" w:hAnsi="宋体"/>
      <w:sz w:val="24"/>
    </w:rPr>
  </w:style>
  <w:style w:type="paragraph" w:customStyle="1" w:styleId="1856">
    <w:name w:val="字元"/>
    <w:basedOn w:val="1"/>
    <w:autoRedefine/>
    <w:qFormat/>
    <w:uiPriority w:val="0"/>
    <w:rPr>
      <w:sz w:val="24"/>
    </w:rPr>
  </w:style>
  <w:style w:type="paragraph" w:customStyle="1" w:styleId="1857">
    <w:name w:val="Char161"/>
    <w:basedOn w:val="1"/>
    <w:autoRedefine/>
    <w:qFormat/>
    <w:uiPriority w:val="0"/>
    <w:pPr>
      <w:ind w:left="-48"/>
    </w:pPr>
  </w:style>
  <w:style w:type="paragraph" w:customStyle="1" w:styleId="1858">
    <w:name w:val="正文新 Char"/>
    <w:basedOn w:val="1"/>
    <w:autoRedefine/>
    <w:qFormat/>
    <w:uiPriority w:val="0"/>
    <w:pPr>
      <w:spacing w:line="360" w:lineRule="auto"/>
      <w:ind w:firstLine="480" w:firstLineChars="200"/>
    </w:pPr>
    <w:rPr>
      <w:sz w:val="24"/>
      <w:szCs w:val="20"/>
    </w:rPr>
  </w:style>
  <w:style w:type="paragraph" w:customStyle="1" w:styleId="1859">
    <w:name w:val="样式 标题 3 + 行距: 最小值 25 磅"/>
    <w:basedOn w:val="5"/>
    <w:autoRedefine/>
    <w:qFormat/>
    <w:uiPriority w:val="0"/>
    <w:pPr>
      <w:ind w:left="720" w:hanging="432"/>
    </w:pPr>
    <w:rPr>
      <w:kern w:val="0"/>
      <w:lang w:val="en-US"/>
    </w:rPr>
  </w:style>
  <w:style w:type="paragraph" w:customStyle="1" w:styleId="1860">
    <w:name w:val="xl102"/>
    <w:basedOn w:val="1"/>
    <w:autoRedefine/>
    <w:qFormat/>
    <w:uiPriority w:val="0"/>
    <w:pPr>
      <w:widowControl/>
      <w:pBdr>
        <w:left w:val="single" w:color="auto" w:sz="4" w:space="0"/>
        <w:bottom w:val="single" w:color="auto" w:sz="12" w:space="0"/>
        <w:right w:val="single" w:color="auto" w:sz="12" w:space="0"/>
      </w:pBdr>
      <w:spacing w:before="100" w:beforeAutospacing="1" w:after="100" w:afterAutospacing="1"/>
      <w:jc w:val="center"/>
      <w:textAlignment w:val="center"/>
    </w:pPr>
    <w:rPr>
      <w:kern w:val="0"/>
      <w:sz w:val="12"/>
      <w:szCs w:val="12"/>
    </w:rPr>
  </w:style>
  <w:style w:type="paragraph" w:customStyle="1" w:styleId="1861">
    <w:name w:val="样式 标题 3 + 11 磅 蓝色"/>
    <w:basedOn w:val="5"/>
    <w:autoRedefine/>
    <w:qFormat/>
    <w:uiPriority w:val="0"/>
    <w:pPr>
      <w:ind w:left="720" w:hanging="432"/>
    </w:pPr>
    <w:rPr>
      <w:kern w:val="0"/>
      <w:lang w:val="en-US"/>
    </w:rPr>
  </w:style>
  <w:style w:type="paragraph" w:customStyle="1" w:styleId="1862">
    <w:name w:val="正文首行缩进6字符"/>
    <w:basedOn w:val="1863"/>
    <w:autoRedefine/>
    <w:qFormat/>
    <w:uiPriority w:val="0"/>
    <w:pPr>
      <w:ind w:left="400" w:leftChars="400"/>
    </w:pPr>
    <w:rPr>
      <w:rFonts w:cs="宋体"/>
    </w:rPr>
  </w:style>
  <w:style w:type="paragraph" w:customStyle="1" w:styleId="1863">
    <w:name w:val="四级目录"/>
    <w:basedOn w:val="1"/>
    <w:autoRedefine/>
    <w:qFormat/>
    <w:uiPriority w:val="0"/>
    <w:pPr>
      <w:spacing w:line="500" w:lineRule="exact"/>
      <w:ind w:left="200" w:leftChars="200" w:firstLine="200" w:firstLineChars="200"/>
    </w:pPr>
    <w:rPr>
      <w:rFonts w:ascii="宋体" w:hAnsi="宋体"/>
      <w:sz w:val="28"/>
      <w:szCs w:val="28"/>
    </w:rPr>
  </w:style>
  <w:style w:type="paragraph" w:customStyle="1" w:styleId="1864">
    <w:name w:val="xl196"/>
    <w:basedOn w:val="1"/>
    <w:autoRedefine/>
    <w:qFormat/>
    <w:uiPriority w:val="99"/>
    <w:pPr>
      <w:widowControl/>
      <w:pBdr>
        <w:left w:val="single" w:color="auto" w:sz="4" w:space="0"/>
        <w:right w:val="single" w:color="auto" w:sz="4" w:space="0"/>
      </w:pBdr>
      <w:spacing w:before="100" w:beforeAutospacing="1" w:after="100" w:afterAutospacing="1"/>
      <w:jc w:val="center"/>
    </w:pPr>
    <w:rPr>
      <w:rFonts w:ascii="Arial Unicode MS" w:hAnsi="Arial Unicode MS"/>
      <w:kern w:val="0"/>
    </w:rPr>
  </w:style>
  <w:style w:type="paragraph" w:customStyle="1" w:styleId="1865">
    <w:name w:val="附件13"/>
    <w:basedOn w:val="3"/>
    <w:next w:val="416"/>
    <w:autoRedefine/>
    <w:qFormat/>
    <w:uiPriority w:val="0"/>
    <w:pPr>
      <w:keepLines/>
      <w:tabs>
        <w:tab w:val="left" w:pos="1566"/>
      </w:tabs>
      <w:overflowPunct/>
      <w:adjustRightInd w:val="0"/>
      <w:spacing w:beforeLines="100" w:after="0" w:line="360" w:lineRule="auto"/>
      <w:ind w:left="0" w:firstLine="0"/>
    </w:pPr>
    <w:rPr>
      <w:rFonts w:ascii="黑体" w:hAnsi="宋体"/>
      <w:color w:val="auto"/>
      <w:sz w:val="32"/>
      <w:szCs w:val="32"/>
    </w:rPr>
  </w:style>
  <w:style w:type="paragraph" w:customStyle="1" w:styleId="1866">
    <w:name w:val="三级"/>
    <w:basedOn w:val="5"/>
    <w:next w:val="1"/>
    <w:autoRedefine/>
    <w:qFormat/>
    <w:uiPriority w:val="99"/>
    <w:pPr>
      <w:ind w:left="720" w:hanging="432"/>
    </w:pPr>
    <w:rPr>
      <w:kern w:val="0"/>
      <w:lang w:val="en-US"/>
    </w:rPr>
  </w:style>
  <w:style w:type="paragraph" w:customStyle="1" w:styleId="1867">
    <w:name w:val="标题一"/>
    <w:basedOn w:val="3"/>
    <w:autoRedefine/>
    <w:qFormat/>
    <w:uiPriority w:val="99"/>
    <w:pPr>
      <w:tabs>
        <w:tab w:val="left" w:pos="360"/>
      </w:tabs>
      <w:overflowPunct/>
      <w:snapToGrid/>
      <w:spacing w:before="0" w:after="0" w:line="240" w:lineRule="auto"/>
      <w:ind w:left="0" w:firstLine="0"/>
      <w:jc w:val="center"/>
    </w:pPr>
    <w:rPr>
      <w:rFonts w:ascii="Calibri" w:hAnsi="Calibri" w:eastAsia="楷体_GB2312"/>
      <w:b w:val="0"/>
      <w:bCs w:val="0"/>
      <w:color w:val="auto"/>
      <w:kern w:val="0"/>
      <w:sz w:val="28"/>
      <w:szCs w:val="20"/>
    </w:rPr>
  </w:style>
  <w:style w:type="paragraph" w:customStyle="1" w:styleId="1868">
    <w:name w:val="样式2.2"/>
    <w:basedOn w:val="1399"/>
    <w:autoRedefine/>
    <w:qFormat/>
    <w:uiPriority w:val="99"/>
    <w:pPr>
      <w:tabs>
        <w:tab w:val="left" w:pos="-480"/>
        <w:tab w:val="left" w:pos="0"/>
      </w:tabs>
      <w:spacing w:beforeLines="0"/>
      <w:ind w:left="1740" w:hanging="420"/>
    </w:pPr>
  </w:style>
  <w:style w:type="paragraph" w:customStyle="1" w:styleId="1869">
    <w:name w:val="表内文字小3123"/>
    <w:basedOn w:val="1"/>
    <w:autoRedefine/>
    <w:qFormat/>
    <w:uiPriority w:val="0"/>
    <w:pPr>
      <w:adjustRightInd w:val="0"/>
      <w:snapToGrid w:val="0"/>
      <w:jc w:val="center"/>
    </w:pPr>
    <w:rPr>
      <w:rFonts w:ascii="宋体" w:hAnsi="Times" w:cs="宋体"/>
      <w:bCs/>
      <w:color w:val="003366"/>
      <w:szCs w:val="20"/>
    </w:rPr>
  </w:style>
  <w:style w:type="paragraph" w:customStyle="1" w:styleId="1870">
    <w:name w:val="表内文字小83"/>
    <w:basedOn w:val="1"/>
    <w:autoRedefine/>
    <w:qFormat/>
    <w:uiPriority w:val="0"/>
    <w:pPr>
      <w:adjustRightInd w:val="0"/>
      <w:snapToGrid w:val="0"/>
      <w:jc w:val="center"/>
    </w:pPr>
    <w:rPr>
      <w:rFonts w:ascii="宋体" w:hAnsi="Times" w:cs="宋体"/>
      <w:szCs w:val="20"/>
    </w:rPr>
  </w:style>
  <w:style w:type="paragraph" w:customStyle="1" w:styleId="1871">
    <w:name w:val="Char Char Char Char1 Char Char Char2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872">
    <w:name w:val="表内文字小811"/>
    <w:basedOn w:val="1"/>
    <w:autoRedefine/>
    <w:qFormat/>
    <w:uiPriority w:val="0"/>
    <w:pPr>
      <w:adjustRightInd w:val="0"/>
      <w:snapToGrid w:val="0"/>
      <w:jc w:val="center"/>
    </w:pPr>
    <w:rPr>
      <w:rFonts w:ascii="宋体" w:hAnsi="Times" w:cs="宋体"/>
      <w:szCs w:val="20"/>
    </w:rPr>
  </w:style>
  <w:style w:type="paragraph" w:customStyle="1" w:styleId="1873">
    <w:name w:val="xl140"/>
    <w:basedOn w:val="1"/>
    <w:autoRedefine/>
    <w:qFormat/>
    <w:uiPriority w:val="99"/>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1874">
    <w:name w:val="文本框1"/>
    <w:basedOn w:val="1"/>
    <w:autoRedefine/>
    <w:qFormat/>
    <w:uiPriority w:val="0"/>
    <w:pPr>
      <w:adjustRightInd w:val="0"/>
      <w:snapToGrid w:val="0"/>
      <w:spacing w:after="6"/>
      <w:jc w:val="center"/>
    </w:pPr>
    <w:rPr>
      <w:rFonts w:eastAsia="仿宋_GB2312"/>
    </w:rPr>
  </w:style>
  <w:style w:type="paragraph" w:customStyle="1" w:styleId="1875">
    <w:name w:val="Char17"/>
    <w:basedOn w:val="1"/>
    <w:autoRedefine/>
    <w:qFormat/>
    <w:uiPriority w:val="0"/>
    <w:pPr>
      <w:ind w:left="-48"/>
    </w:pPr>
  </w:style>
  <w:style w:type="paragraph" w:customStyle="1" w:styleId="1876">
    <w:name w:val="xl116"/>
    <w:basedOn w:val="1"/>
    <w:autoRedefine/>
    <w:qFormat/>
    <w:uiPriority w:val="99"/>
    <w:pPr>
      <w:widowControl/>
      <w:pBdr>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1877">
    <w:name w:val="xl191"/>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878">
    <w:name w:val="Char Char Char Char Char Char Char Char Char Char Char Char Char Char Char Char"/>
    <w:basedOn w:val="1"/>
    <w:autoRedefine/>
    <w:qFormat/>
    <w:uiPriority w:val="0"/>
    <w:rPr>
      <w:szCs w:val="20"/>
    </w:rPr>
  </w:style>
  <w:style w:type="paragraph" w:customStyle="1" w:styleId="1879">
    <w:name w:val="样式 标题 4无效格式无效格式1河石管道4H4H41小小节河石管道41H42H411小小节1河石管道42...3"/>
    <w:basedOn w:val="6"/>
    <w:autoRedefine/>
    <w:qFormat/>
    <w:uiPriority w:val="0"/>
    <w:pPr>
      <w:adjustRightInd w:val="0"/>
      <w:snapToGrid w:val="0"/>
      <w:spacing w:before="0" w:after="0" w:line="360" w:lineRule="auto"/>
      <w:ind w:left="664" w:hanging="864"/>
    </w:pPr>
    <w:rPr>
      <w:rFonts w:ascii="黑体"/>
      <w:b w:val="0"/>
      <w:bCs w:val="0"/>
      <w:sz w:val="24"/>
      <w:szCs w:val="24"/>
    </w:rPr>
  </w:style>
  <w:style w:type="paragraph" w:customStyle="1" w:styleId="1880">
    <w:name w:val="表内"/>
    <w:basedOn w:val="1"/>
    <w:next w:val="1"/>
    <w:autoRedefine/>
    <w:qFormat/>
    <w:uiPriority w:val="0"/>
    <w:pPr>
      <w:adjustRightInd w:val="0"/>
      <w:snapToGrid w:val="0"/>
      <w:spacing w:before="120" w:after="120" w:line="288" w:lineRule="auto"/>
      <w:jc w:val="center"/>
    </w:pPr>
    <w:rPr>
      <w:snapToGrid w:val="0"/>
      <w:szCs w:val="20"/>
    </w:rPr>
  </w:style>
  <w:style w:type="paragraph" w:customStyle="1" w:styleId="1881">
    <w:name w:val="Char Char Char Char Char Char Char Char Char Char Char Char Char Char Char"/>
    <w:basedOn w:val="1"/>
    <w:autoRedefine/>
    <w:qFormat/>
    <w:uiPriority w:val="39"/>
    <w:rPr>
      <w:sz w:val="24"/>
    </w:rPr>
  </w:style>
  <w:style w:type="paragraph" w:customStyle="1" w:styleId="1882">
    <w:name w:val="Char413"/>
    <w:basedOn w:val="1"/>
    <w:autoRedefine/>
    <w:qFormat/>
    <w:uiPriority w:val="0"/>
    <w:rPr>
      <w:sz w:val="24"/>
    </w:rPr>
  </w:style>
  <w:style w:type="paragraph" w:customStyle="1" w:styleId="1883">
    <w:name w:val="Char Char Char Char Char Char Char Char Char Char Char Char Char Char Char Char Char Char Char"/>
    <w:basedOn w:val="1"/>
    <w:autoRedefine/>
    <w:qFormat/>
    <w:uiPriority w:val="0"/>
    <w:rPr>
      <w:sz w:val="24"/>
    </w:rPr>
  </w:style>
  <w:style w:type="paragraph" w:customStyle="1" w:styleId="1884">
    <w:name w:val="样式 标题 3 + (西文) Times New Roman (中文) 宋体 小四 加粗"/>
    <w:basedOn w:val="5"/>
    <w:autoRedefine/>
    <w:qFormat/>
    <w:uiPriority w:val="0"/>
    <w:pPr>
      <w:ind w:left="720" w:hanging="432"/>
    </w:pPr>
    <w:rPr>
      <w:kern w:val="0"/>
      <w:lang w:val="en-US"/>
    </w:rPr>
  </w:style>
  <w:style w:type="paragraph" w:customStyle="1" w:styleId="1885">
    <w:name w:val="xl41"/>
    <w:basedOn w:val="1"/>
    <w:autoRedefine/>
    <w:qFormat/>
    <w:uiPriority w:val="0"/>
    <w:pPr>
      <w:widowControl/>
      <w:pBdr>
        <w:left w:val="single" w:color="auto" w:sz="12" w:space="0"/>
        <w:right w:val="single" w:color="auto" w:sz="12"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886">
    <w:name w:val="样式 正文缩进 + 宋体 黑色2"/>
    <w:basedOn w:val="9"/>
    <w:autoRedefine/>
    <w:qFormat/>
    <w:uiPriority w:val="0"/>
    <w:pPr>
      <w:spacing w:line="360" w:lineRule="auto"/>
      <w:ind w:firstLine="200"/>
      <w:jc w:val="left"/>
    </w:pPr>
    <w:rPr>
      <w:rFonts w:ascii="宋体" w:hAnsi="宋体"/>
      <w:color w:val="000000"/>
      <w:kern w:val="0"/>
      <w:sz w:val="24"/>
      <w:lang w:val="en-US"/>
    </w:rPr>
  </w:style>
  <w:style w:type="paragraph" w:customStyle="1" w:styleId="1887">
    <w:name w:val="正文修改411"/>
    <w:basedOn w:val="192"/>
    <w:autoRedefine/>
    <w:qFormat/>
    <w:uiPriority w:val="0"/>
    <w:rPr>
      <w:rFonts w:hAnsi="宋体"/>
      <w:color w:val="000000"/>
    </w:rPr>
  </w:style>
  <w:style w:type="paragraph" w:customStyle="1" w:styleId="1888">
    <w:name w:val="一级无标题条"/>
    <w:basedOn w:val="1"/>
    <w:autoRedefine/>
    <w:qFormat/>
    <w:uiPriority w:val="99"/>
    <w:rPr>
      <w:szCs w:val="20"/>
    </w:rPr>
  </w:style>
  <w:style w:type="paragraph" w:customStyle="1" w:styleId="1889">
    <w:name w:val="表内53111"/>
    <w:basedOn w:val="1"/>
    <w:autoRedefine/>
    <w:qFormat/>
    <w:uiPriority w:val="0"/>
    <w:pPr>
      <w:adjustRightInd w:val="0"/>
      <w:snapToGrid w:val="0"/>
      <w:spacing w:line="300" w:lineRule="auto"/>
      <w:jc w:val="left"/>
    </w:pPr>
    <w:rPr>
      <w:rFonts w:ascii="宋体"/>
      <w:szCs w:val="20"/>
    </w:rPr>
  </w:style>
  <w:style w:type="paragraph" w:customStyle="1" w:styleId="1890">
    <w:name w:val="4级标题"/>
    <w:basedOn w:val="84"/>
    <w:autoRedefine/>
    <w:qFormat/>
    <w:uiPriority w:val="0"/>
    <w:pPr>
      <w:widowControl w:val="0"/>
      <w:spacing w:before="0" w:after="0" w:line="500" w:lineRule="exact"/>
      <w:ind w:left="0" w:right="0" w:firstLine="0"/>
      <w:jc w:val="both"/>
      <w:outlineLvl w:val="3"/>
    </w:pPr>
    <w:rPr>
      <w:rFonts w:ascii="宋体" w:hAnsi="宋体" w:cs="Arial"/>
      <w:bCs w:val="0"/>
      <w:color w:val="auto"/>
      <w:sz w:val="24"/>
      <w:szCs w:val="24"/>
    </w:rPr>
  </w:style>
  <w:style w:type="paragraph" w:customStyle="1" w:styleId="1891">
    <w:name w:val="表中文字1112"/>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1892">
    <w:name w:val="Char231"/>
    <w:basedOn w:val="1"/>
    <w:autoRedefine/>
    <w:qFormat/>
    <w:uiPriority w:val="0"/>
    <w:pPr>
      <w:ind w:left="-48"/>
    </w:pPr>
  </w:style>
  <w:style w:type="paragraph" w:customStyle="1" w:styleId="1893">
    <w:name w:val="Char63"/>
    <w:basedOn w:val="1"/>
    <w:autoRedefine/>
    <w:qFormat/>
    <w:uiPriority w:val="0"/>
    <w:pPr>
      <w:adjustRightInd w:val="0"/>
      <w:snapToGrid w:val="0"/>
      <w:spacing w:beforeLines="50" w:line="360" w:lineRule="auto"/>
    </w:pPr>
    <w:rPr>
      <w:rFonts w:ascii="黑体" w:eastAsia="黑体"/>
      <w:sz w:val="32"/>
      <w:szCs w:val="32"/>
    </w:rPr>
  </w:style>
  <w:style w:type="paragraph" w:customStyle="1" w:styleId="1894">
    <w:name w:val="xl54"/>
    <w:basedOn w:val="1"/>
    <w:autoRedefine/>
    <w:qFormat/>
    <w:uiPriority w:val="0"/>
    <w:pPr>
      <w:widowControl/>
      <w:pBdr>
        <w:left w:val="single" w:color="auto" w:sz="4" w:space="0"/>
        <w:bottom w:val="single" w:color="auto" w:sz="12" w:space="0"/>
      </w:pBdr>
      <w:spacing w:before="100" w:beforeAutospacing="1" w:after="100" w:afterAutospacing="1"/>
      <w:jc w:val="left"/>
    </w:pPr>
    <w:rPr>
      <w:rFonts w:ascii="Arial Unicode MS" w:hAnsi="Arial Unicode MS"/>
      <w:kern w:val="0"/>
      <w:sz w:val="16"/>
      <w:szCs w:val="16"/>
    </w:rPr>
  </w:style>
  <w:style w:type="paragraph" w:customStyle="1" w:styleId="1895">
    <w:name w:val="样式 标题 4无效格式无效格式1河石管道4H4H41小小节河石管道41H42H411小小节1河石管道42...111"/>
    <w:basedOn w:val="6"/>
    <w:autoRedefine/>
    <w:qFormat/>
    <w:uiPriority w:val="0"/>
    <w:pPr>
      <w:adjustRightInd w:val="0"/>
      <w:snapToGrid w:val="0"/>
      <w:spacing w:before="0" w:after="0" w:line="360" w:lineRule="auto"/>
      <w:ind w:left="664" w:hanging="864"/>
      <w:jc w:val="left"/>
    </w:pPr>
    <w:rPr>
      <w:rFonts w:ascii="黑体" w:cs="宋体"/>
      <w:b w:val="0"/>
      <w:bCs w:val="0"/>
      <w:sz w:val="24"/>
      <w:szCs w:val="20"/>
    </w:rPr>
  </w:style>
  <w:style w:type="paragraph" w:customStyle="1" w:styleId="1896">
    <w:name w:val="样式 标题 3 + 黑色 行距: 最小值 25 磅"/>
    <w:basedOn w:val="5"/>
    <w:autoRedefine/>
    <w:qFormat/>
    <w:uiPriority w:val="0"/>
    <w:pPr>
      <w:ind w:left="720" w:hanging="432"/>
    </w:pPr>
    <w:rPr>
      <w:kern w:val="0"/>
      <w:lang w:val="en-US"/>
    </w:rPr>
  </w:style>
  <w:style w:type="paragraph" w:customStyle="1" w:styleId="1897">
    <w:name w:val="表题152"/>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1898">
    <w:name w:val="表字"/>
    <w:basedOn w:val="1"/>
    <w:autoRedefine/>
    <w:qFormat/>
    <w:uiPriority w:val="0"/>
    <w:pPr>
      <w:spacing w:line="300" w:lineRule="auto"/>
      <w:ind w:firstLine="573"/>
      <w:jc w:val="center"/>
    </w:pPr>
    <w:rPr>
      <w:rFonts w:eastAsia="楷体_GB2312"/>
      <w:szCs w:val="20"/>
    </w:rPr>
  </w:style>
  <w:style w:type="paragraph" w:customStyle="1" w:styleId="1899">
    <w:name w:val="表中文字113"/>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1900">
    <w:name w:val="xl195"/>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kern w:val="0"/>
    </w:rPr>
  </w:style>
  <w:style w:type="paragraph" w:customStyle="1" w:styleId="1901">
    <w:name w:val="表内文字边12"/>
    <w:basedOn w:val="1"/>
    <w:autoRedefine/>
    <w:qFormat/>
    <w:uiPriority w:val="0"/>
    <w:pPr>
      <w:widowControl/>
      <w:adjustRightInd w:val="0"/>
      <w:snapToGrid w:val="0"/>
      <w:spacing w:line="240" w:lineRule="atLeast"/>
      <w:ind w:left="-21" w:leftChars="-10" w:right="-42" w:rightChars="-20"/>
    </w:pPr>
    <w:rPr>
      <w:rFonts w:ascii="宋体"/>
      <w:kern w:val="0"/>
      <w:szCs w:val="21"/>
    </w:rPr>
  </w:style>
  <w:style w:type="paragraph" w:customStyle="1" w:styleId="1902">
    <w:name w:val="xl108"/>
    <w:basedOn w:val="1"/>
    <w:autoRedefine/>
    <w:qFormat/>
    <w:uiPriority w:val="99"/>
    <w:pPr>
      <w:widowControl/>
      <w:pBdr>
        <w:bottom w:val="single" w:color="auto" w:sz="8"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903">
    <w:name w:val="Char Char Char Char Char Char Char Char Char Char Char1 Char Char Char Char Char Char12"/>
    <w:basedOn w:val="1"/>
    <w:autoRedefine/>
    <w:qFormat/>
    <w:uiPriority w:val="39"/>
    <w:rPr>
      <w:sz w:val="24"/>
    </w:rPr>
  </w:style>
  <w:style w:type="paragraph" w:customStyle="1" w:styleId="1904">
    <w:name w:val="xl132"/>
    <w:basedOn w:val="1"/>
    <w:autoRedefine/>
    <w:qFormat/>
    <w:uiPriority w:val="99"/>
    <w:pPr>
      <w:widowControl/>
      <w:pBdr>
        <w:top w:val="single" w:color="auto" w:sz="12" w:space="0"/>
        <w:lef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1905">
    <w:name w:val="表题1413"/>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1906">
    <w:name w:val="表题315"/>
    <w:basedOn w:val="35"/>
    <w:autoRedefine/>
    <w:qFormat/>
    <w:uiPriority w:val="0"/>
    <w:pPr>
      <w:tabs>
        <w:tab w:val="left" w:pos="4305"/>
      </w:tabs>
      <w:adjustRightInd w:val="0"/>
      <w:snapToGrid w:val="0"/>
      <w:spacing w:after="0" w:line="360" w:lineRule="auto"/>
      <w:ind w:left="0" w:leftChars="0" w:firstLine="561"/>
    </w:pPr>
    <w:rPr>
      <w:rFonts w:ascii="宋体" w:hAnsi="宋体" w:cs="宋体"/>
      <w:color w:val="000000"/>
      <w:szCs w:val="24"/>
      <w:lang w:val="en-US"/>
    </w:rPr>
  </w:style>
  <w:style w:type="paragraph" w:customStyle="1" w:styleId="1907">
    <w:name w:val="Char Char Char Char Char Char"/>
    <w:basedOn w:val="1"/>
    <w:autoRedefine/>
    <w:qFormat/>
    <w:uiPriority w:val="0"/>
    <w:rPr>
      <w:sz w:val="24"/>
    </w:rPr>
  </w:style>
  <w:style w:type="paragraph" w:customStyle="1" w:styleId="1908">
    <w:name w:val="表格标题1"/>
    <w:basedOn w:val="66"/>
    <w:autoRedefine/>
    <w:qFormat/>
    <w:uiPriority w:val="0"/>
    <w:pPr>
      <w:spacing w:beforeLines="50" w:line="400" w:lineRule="exact"/>
      <w:ind w:left="0" w:right="0" w:rightChars="0"/>
    </w:pPr>
    <w:rPr>
      <w:rFonts w:ascii="黑体" w:eastAsia="黑体"/>
      <w:sz w:val="24"/>
      <w:szCs w:val="24"/>
    </w:rPr>
  </w:style>
  <w:style w:type="paragraph" w:customStyle="1" w:styleId="1909">
    <w:name w:val="燕山正文122"/>
    <w:basedOn w:val="1"/>
    <w:autoRedefine/>
    <w:qFormat/>
    <w:uiPriority w:val="0"/>
    <w:pPr>
      <w:tabs>
        <w:tab w:val="left" w:pos="4680"/>
      </w:tabs>
      <w:adjustRightInd w:val="0"/>
      <w:snapToGrid w:val="0"/>
      <w:spacing w:line="480" w:lineRule="exact"/>
    </w:pPr>
    <w:rPr>
      <w:rFonts w:ascii="宋体" w:cs="宋体"/>
      <w:sz w:val="24"/>
    </w:rPr>
  </w:style>
  <w:style w:type="paragraph" w:customStyle="1" w:styleId="1910">
    <w:name w:val="样式 样式2.4.1.1 + 段前: 0.5 行"/>
    <w:basedOn w:val="1911"/>
    <w:autoRedefine/>
    <w:qFormat/>
    <w:uiPriority w:val="99"/>
    <w:pPr>
      <w:tabs>
        <w:tab w:val="left" w:pos="0"/>
      </w:tabs>
      <w:ind w:left="2460" w:hanging="420"/>
    </w:pPr>
    <w:rPr>
      <w:rFonts w:cs="宋体"/>
      <w:szCs w:val="20"/>
    </w:rPr>
  </w:style>
  <w:style w:type="paragraph" w:customStyle="1" w:styleId="1911">
    <w:name w:val="样式2.5.1.1"/>
    <w:basedOn w:val="1"/>
    <w:autoRedefine/>
    <w:qFormat/>
    <w:uiPriority w:val="99"/>
    <w:pPr>
      <w:spacing w:beforeLines="50" w:line="360" w:lineRule="auto"/>
      <w:outlineLvl w:val="3"/>
    </w:pPr>
    <w:rPr>
      <w:b/>
      <w:bCs/>
      <w:color w:val="000000"/>
      <w:sz w:val="24"/>
    </w:rPr>
  </w:style>
  <w:style w:type="paragraph" w:customStyle="1" w:styleId="1912">
    <w:name w:val="xl127"/>
    <w:basedOn w:val="1"/>
    <w:autoRedefine/>
    <w:qFormat/>
    <w:uiPriority w:val="99"/>
    <w:pPr>
      <w:widowControl/>
      <w:pBdr>
        <w:top w:val="single" w:color="auto" w:sz="8"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913">
    <w:name w:val="样式 标题 3条标题1.1.1条标题1.1.11条标题1.1.12条标题1.1.13条标题1.1.111条标题1.1...1"/>
    <w:basedOn w:val="5"/>
    <w:autoRedefine/>
    <w:qFormat/>
    <w:uiPriority w:val="0"/>
    <w:pPr>
      <w:ind w:left="720" w:hanging="432"/>
    </w:pPr>
    <w:rPr>
      <w:kern w:val="0"/>
      <w:lang w:val="en-US"/>
    </w:rPr>
  </w:style>
  <w:style w:type="paragraph" w:customStyle="1" w:styleId="1914">
    <w:name w:val="图文框"/>
    <w:basedOn w:val="1"/>
    <w:autoRedefine/>
    <w:qFormat/>
    <w:uiPriority w:val="0"/>
    <w:pPr>
      <w:autoSpaceDE w:val="0"/>
      <w:autoSpaceDN w:val="0"/>
      <w:adjustRightInd w:val="0"/>
      <w:snapToGrid w:val="0"/>
      <w:spacing w:line="400" w:lineRule="exact"/>
      <w:ind w:left="5" w:hanging="5"/>
      <w:jc w:val="center"/>
      <w:textAlignment w:val="baseline"/>
    </w:pPr>
    <w:rPr>
      <w:rFonts w:ascii="楷体_GB2312" w:eastAsia="楷体_GB2312"/>
      <w:bCs/>
      <w:kern w:val="0"/>
      <w:sz w:val="24"/>
    </w:rPr>
  </w:style>
  <w:style w:type="paragraph" w:customStyle="1" w:styleId="1915">
    <w:name w:val="默认段落字体 Para Char Char Char Char Char Char Char Char Char Char Char Char Char1 Char Char Char Char Char Char"/>
    <w:basedOn w:val="1"/>
    <w:autoRedefine/>
    <w:qFormat/>
    <w:uiPriority w:val="99"/>
    <w:rPr>
      <w:sz w:val="24"/>
    </w:rPr>
  </w:style>
  <w:style w:type="paragraph" w:customStyle="1" w:styleId="1916">
    <w:name w:val="纯文本6"/>
    <w:basedOn w:val="1"/>
    <w:autoRedefine/>
    <w:qFormat/>
    <w:uiPriority w:val="39"/>
    <w:pPr>
      <w:adjustRightInd w:val="0"/>
      <w:textAlignment w:val="baseline"/>
    </w:pPr>
    <w:rPr>
      <w:rFonts w:ascii="宋体" w:hAnsi="Courier New"/>
      <w:szCs w:val="20"/>
    </w:rPr>
  </w:style>
  <w:style w:type="paragraph" w:customStyle="1" w:styleId="1917">
    <w:name w:val="高表内"/>
    <w:basedOn w:val="45"/>
    <w:autoRedefine/>
    <w:qFormat/>
    <w:uiPriority w:val="99"/>
    <w:pPr>
      <w:autoSpaceDE w:val="0"/>
      <w:adjustRightInd w:val="0"/>
      <w:snapToGrid w:val="0"/>
      <w:jc w:val="center"/>
      <w:textAlignment w:val="baseline"/>
    </w:pPr>
    <w:rPr>
      <w:rFonts w:ascii="Arial" w:hAnsi="Arial" w:eastAsia="楷体_GB2312"/>
      <w:sz w:val="24"/>
      <w:szCs w:val="24"/>
    </w:rPr>
  </w:style>
  <w:style w:type="paragraph" w:customStyle="1" w:styleId="1918">
    <w:name w:val="Char Char Char Char Char Char Char Char Char Char Char Char Char Char2"/>
    <w:basedOn w:val="1"/>
    <w:autoRedefine/>
    <w:qFormat/>
    <w:uiPriority w:val="39"/>
    <w:rPr>
      <w:sz w:val="24"/>
    </w:rPr>
  </w:style>
  <w:style w:type="paragraph" w:customStyle="1" w:styleId="1919">
    <w:name w:val="xl88"/>
    <w:basedOn w:val="1"/>
    <w:autoRedefine/>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920">
    <w:name w:val="图题52"/>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1921">
    <w:name w:val="Char Char Char Char Char Char Char Char Char Char Char Char Char Char Char Char Char Char Char Char Char Char Char Char Char Char1"/>
    <w:basedOn w:val="1"/>
    <w:autoRedefine/>
    <w:qFormat/>
    <w:uiPriority w:val="39"/>
    <w:rPr>
      <w:sz w:val="24"/>
    </w:rPr>
  </w:style>
  <w:style w:type="paragraph" w:customStyle="1" w:styleId="1922">
    <w:name w:val="xl198"/>
    <w:basedOn w:val="1"/>
    <w:autoRedefine/>
    <w:qFormat/>
    <w:uiPriority w:val="99"/>
    <w:pPr>
      <w:widowControl/>
      <w:pBdr>
        <w:bottom w:val="single" w:color="auto" w:sz="8" w:space="0"/>
      </w:pBdr>
      <w:spacing w:before="100" w:beforeAutospacing="1" w:after="100" w:afterAutospacing="1"/>
      <w:jc w:val="center"/>
    </w:pPr>
    <w:rPr>
      <w:rFonts w:ascii="Arial Unicode MS" w:hAnsi="Arial Unicode MS"/>
      <w:kern w:val="0"/>
      <w:sz w:val="16"/>
      <w:szCs w:val="16"/>
    </w:rPr>
  </w:style>
  <w:style w:type="paragraph" w:customStyle="1" w:styleId="1923">
    <w:name w:val="xl56"/>
    <w:basedOn w:val="1"/>
    <w:autoRedefine/>
    <w:qFormat/>
    <w:uiPriority w:val="0"/>
    <w:pPr>
      <w:widowControl/>
      <w:pBdr>
        <w:bottom w:val="single" w:color="auto" w:sz="12" w:space="0"/>
      </w:pBdr>
      <w:spacing w:before="100" w:beforeAutospacing="1" w:after="100" w:afterAutospacing="1"/>
      <w:jc w:val="left"/>
      <w:textAlignment w:val="center"/>
    </w:pPr>
    <w:rPr>
      <w:rFonts w:ascii="Arial Unicode MS" w:hAnsi="Arial Unicode MS"/>
      <w:kern w:val="0"/>
      <w:sz w:val="12"/>
      <w:szCs w:val="12"/>
    </w:rPr>
  </w:style>
  <w:style w:type="paragraph" w:customStyle="1" w:styleId="1924">
    <w:name w:val="xl171"/>
    <w:basedOn w:val="1"/>
    <w:autoRedefine/>
    <w:qFormat/>
    <w:uiPriority w:val="99"/>
    <w:pPr>
      <w:widowControl/>
      <w:pBdr>
        <w:bottom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1925">
    <w:name w:val="Char4 Char Char Char Char Char Char"/>
    <w:basedOn w:val="1"/>
    <w:autoRedefine/>
    <w:qFormat/>
    <w:uiPriority w:val="39"/>
    <w:rPr>
      <w:sz w:val="24"/>
    </w:rPr>
  </w:style>
  <w:style w:type="paragraph" w:customStyle="1" w:styleId="1926">
    <w:name w:val="Char Char Char Char Char Char Char Char Char Char Char Char Char Char Char Char2"/>
    <w:basedOn w:val="1"/>
    <w:autoRedefine/>
    <w:qFormat/>
    <w:uiPriority w:val="39"/>
    <w:rPr>
      <w:szCs w:val="20"/>
    </w:rPr>
  </w:style>
  <w:style w:type="paragraph" w:customStyle="1" w:styleId="1927">
    <w:name w:val="图题311"/>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1928">
    <w:name w:val="样式 标题 3 + 四号"/>
    <w:basedOn w:val="5"/>
    <w:autoRedefine/>
    <w:qFormat/>
    <w:uiPriority w:val="39"/>
    <w:pPr>
      <w:ind w:left="720" w:hanging="432"/>
    </w:pPr>
    <w:rPr>
      <w:kern w:val="0"/>
      <w:lang w:val="en-US"/>
    </w:rPr>
  </w:style>
  <w:style w:type="paragraph" w:customStyle="1" w:styleId="1929">
    <w:name w:val="表211"/>
    <w:basedOn w:val="1"/>
    <w:autoRedefine/>
    <w:qFormat/>
    <w:uiPriority w:val="0"/>
    <w:pPr>
      <w:adjustRightInd w:val="0"/>
      <w:snapToGrid w:val="0"/>
      <w:jc w:val="center"/>
    </w:pPr>
    <w:rPr>
      <w:rFonts w:eastAsia="仿宋_GB2312"/>
      <w:sz w:val="24"/>
    </w:rPr>
  </w:style>
  <w:style w:type="paragraph" w:customStyle="1" w:styleId="1930">
    <w:name w:val="图标题"/>
    <w:basedOn w:val="1"/>
    <w:autoRedefine/>
    <w:qFormat/>
    <w:uiPriority w:val="0"/>
    <w:pPr>
      <w:framePr w:hSpace="181" w:vSpace="181" w:wrap="around" w:vAnchor="text" w:hAnchor="text" w:y="1"/>
      <w:spacing w:line="260" w:lineRule="exact"/>
      <w:jc w:val="center"/>
    </w:pPr>
    <w:rPr>
      <w:b/>
      <w:bCs/>
      <w:sz w:val="24"/>
      <w:szCs w:val="20"/>
    </w:rPr>
  </w:style>
  <w:style w:type="paragraph" w:customStyle="1" w:styleId="1931">
    <w:name w:val="xl92"/>
    <w:basedOn w:val="1"/>
    <w:autoRedefine/>
    <w:qFormat/>
    <w:uiPriority w:val="0"/>
    <w:pPr>
      <w:widowControl/>
      <w:pBdr>
        <w:top w:val="single" w:color="auto" w:sz="12" w:space="0"/>
        <w:left w:val="single" w:color="auto" w:sz="12" w:space="0"/>
        <w:right w:val="single" w:color="auto" w:sz="4"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932">
    <w:name w:val="font10"/>
    <w:basedOn w:val="1"/>
    <w:autoRedefine/>
    <w:qFormat/>
    <w:uiPriority w:val="0"/>
    <w:pPr>
      <w:widowControl/>
      <w:spacing w:before="100" w:beforeAutospacing="1" w:after="100" w:afterAutospacing="1"/>
      <w:jc w:val="left"/>
    </w:pPr>
    <w:rPr>
      <w:rFonts w:hint="eastAsia" w:ascii="宋体" w:hAnsi="宋体"/>
      <w:kern w:val="0"/>
      <w:sz w:val="22"/>
      <w:szCs w:val="22"/>
    </w:rPr>
  </w:style>
  <w:style w:type="paragraph" w:customStyle="1" w:styleId="1933">
    <w:name w:val="MTDisplayEquation"/>
    <w:basedOn w:val="4"/>
    <w:autoRedefine/>
    <w:qFormat/>
    <w:uiPriority w:val="99"/>
    <w:pPr>
      <w:tabs>
        <w:tab w:val="center" w:pos="4160"/>
      </w:tabs>
      <w:snapToGrid w:val="0"/>
      <w:spacing w:beforeLines="50" w:after="0" w:line="360" w:lineRule="auto"/>
    </w:pPr>
    <w:rPr>
      <w:rFonts w:ascii="Times New Roman" w:hAnsi="Times New Roman"/>
      <w:b w:val="0"/>
      <w:sz w:val="30"/>
      <w:szCs w:val="30"/>
    </w:rPr>
  </w:style>
  <w:style w:type="paragraph" w:customStyle="1" w:styleId="1934">
    <w:name w:val="样式 13.5 磅 首行缩进:  2 字符"/>
    <w:basedOn w:val="1"/>
    <w:autoRedefine/>
    <w:qFormat/>
    <w:uiPriority w:val="0"/>
    <w:pPr>
      <w:ind w:left="2" w:leftChars="1" w:firstLine="480" w:firstLineChars="200"/>
      <w:jc w:val="left"/>
    </w:pPr>
    <w:rPr>
      <w:rFonts w:cs="宋体"/>
      <w:kern w:val="10"/>
      <w:sz w:val="24"/>
    </w:rPr>
  </w:style>
  <w:style w:type="paragraph" w:customStyle="1" w:styleId="1935">
    <w:name w:val="默认段落字体 Para"/>
    <w:basedOn w:val="1"/>
    <w:autoRedefine/>
    <w:qFormat/>
    <w:uiPriority w:val="99"/>
    <w:rPr>
      <w:sz w:val="24"/>
      <w:szCs w:val="20"/>
    </w:rPr>
  </w:style>
  <w:style w:type="paragraph" w:customStyle="1" w:styleId="1936">
    <w:name w:val="表题144"/>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1937">
    <w:name w:val="xl2412"/>
    <w:basedOn w:val="1"/>
    <w:autoRedefine/>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1938">
    <w:name w:val="xl131"/>
    <w:basedOn w:val="1"/>
    <w:autoRedefine/>
    <w:qFormat/>
    <w:uiPriority w:val="99"/>
    <w:pPr>
      <w:widowControl/>
      <w:pBdr>
        <w:left w:val="single" w:color="auto" w:sz="4" w:space="0"/>
        <w:right w:val="single" w:color="auto" w:sz="8" w:space="0"/>
      </w:pBdr>
      <w:spacing w:before="100" w:beforeAutospacing="1" w:after="100" w:afterAutospacing="1"/>
      <w:jc w:val="left"/>
    </w:pPr>
    <w:rPr>
      <w:rFonts w:ascii="Arial Unicode MS" w:hAnsi="Arial Unicode MS"/>
      <w:kern w:val="0"/>
    </w:rPr>
  </w:style>
  <w:style w:type="paragraph" w:customStyle="1" w:styleId="1939">
    <w:name w:val="图表文字"/>
    <w:basedOn w:val="1"/>
    <w:autoRedefine/>
    <w:qFormat/>
    <w:uiPriority w:val="0"/>
    <w:pPr>
      <w:spacing w:line="300" w:lineRule="exact"/>
      <w:jc w:val="center"/>
    </w:pPr>
    <w:rPr>
      <w:szCs w:val="20"/>
    </w:rPr>
  </w:style>
  <w:style w:type="paragraph" w:customStyle="1" w:styleId="1940">
    <w:name w:val="內文1階"/>
    <w:basedOn w:val="1"/>
    <w:autoRedefine/>
    <w:qFormat/>
    <w:uiPriority w:val="0"/>
    <w:pPr>
      <w:tabs>
        <w:tab w:val="left" w:pos="604"/>
      </w:tabs>
      <w:ind w:left="604" w:hanging="360"/>
      <w:jc w:val="left"/>
    </w:pPr>
    <w:rPr>
      <w:rFonts w:eastAsia="PMingLiU"/>
      <w:sz w:val="24"/>
      <w:szCs w:val="20"/>
      <w:lang w:eastAsia="zh-TW"/>
    </w:rPr>
  </w:style>
  <w:style w:type="paragraph" w:customStyle="1" w:styleId="1941">
    <w:name w:val="Char Char Char1 Char Char Char1 Char Char Char1 Char Char Char 字元 字元"/>
    <w:basedOn w:val="1"/>
    <w:autoRedefine/>
    <w:qFormat/>
    <w:uiPriority w:val="0"/>
    <w:pPr>
      <w:spacing w:line="400" w:lineRule="exact"/>
      <w:ind w:firstLine="200" w:firstLineChars="200"/>
    </w:pPr>
    <w:rPr>
      <w:sz w:val="28"/>
      <w:szCs w:val="28"/>
    </w:rPr>
  </w:style>
  <w:style w:type="paragraph" w:customStyle="1" w:styleId="1942">
    <w:name w:val="正文段落"/>
    <w:basedOn w:val="1"/>
    <w:autoRedefine/>
    <w:qFormat/>
    <w:uiPriority w:val="0"/>
    <w:pPr>
      <w:autoSpaceDE w:val="0"/>
      <w:autoSpaceDN w:val="0"/>
      <w:adjustRightInd w:val="0"/>
      <w:spacing w:line="500" w:lineRule="exact"/>
      <w:ind w:firstLine="200" w:firstLineChars="200"/>
      <w:textAlignment w:val="baseline"/>
    </w:pPr>
    <w:rPr>
      <w:rFonts w:ascii="宋体" w:hAnsi="Tms Rmn" w:eastAsia="仿宋_GB2312"/>
      <w:kern w:val="0"/>
      <w:sz w:val="28"/>
      <w:szCs w:val="20"/>
    </w:rPr>
  </w:style>
  <w:style w:type="paragraph" w:customStyle="1" w:styleId="1943">
    <w:name w:val="Char Char Char Char Char Char Char Char Char Char Char Char Char Char Char Char Char Char Char Char Char"/>
    <w:basedOn w:val="1"/>
    <w:autoRedefine/>
    <w:qFormat/>
    <w:uiPriority w:val="0"/>
    <w:pPr>
      <w:spacing w:line="240" w:lineRule="exact"/>
      <w:ind w:firstLine="200" w:firstLineChars="200"/>
    </w:pPr>
    <w:rPr>
      <w:sz w:val="28"/>
      <w:szCs w:val="28"/>
    </w:rPr>
  </w:style>
  <w:style w:type="paragraph" w:customStyle="1" w:styleId="1944">
    <w:name w:val="xl112"/>
    <w:basedOn w:val="1"/>
    <w:autoRedefine/>
    <w:qFormat/>
    <w:uiPriority w:val="99"/>
    <w:pPr>
      <w:widowControl/>
      <w:pBdr>
        <w:right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1945">
    <w:name w:val="a1"/>
    <w:basedOn w:val="1"/>
    <w:autoRedefine/>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1946">
    <w:name w:val="正文222"/>
    <w:autoRedefine/>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1947">
    <w:name w:val="xl185"/>
    <w:basedOn w:val="1"/>
    <w:autoRedefine/>
    <w:qFormat/>
    <w:uiPriority w:val="99"/>
    <w:pPr>
      <w:widowControl/>
      <w:pBdr>
        <w:bottom w:val="single" w:color="auto" w:sz="12" w:space="0"/>
        <w:right w:val="single" w:color="auto" w:sz="4"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948">
    <w:name w:val="CM16"/>
    <w:basedOn w:val="107"/>
    <w:next w:val="107"/>
    <w:autoRedefine/>
    <w:qFormat/>
    <w:uiPriority w:val="39"/>
    <w:pPr>
      <w:spacing w:line="440" w:lineRule="atLeast"/>
    </w:pPr>
    <w:rPr>
      <w:rFonts w:ascii="楷体_GB2312" w:hAnsi="Times New Roman" w:eastAsia="楷体_GB2312" w:cs="Times New Roman"/>
      <w:color w:val="auto"/>
    </w:rPr>
  </w:style>
  <w:style w:type="paragraph" w:customStyle="1" w:styleId="1949">
    <w:name w:val="xl85"/>
    <w:basedOn w:val="1"/>
    <w:autoRedefine/>
    <w:qFormat/>
    <w:uiPriority w:val="0"/>
    <w:pPr>
      <w:widowControl/>
      <w:pBdr>
        <w:bottom w:val="single" w:color="auto" w:sz="8" w:space="0"/>
        <w:right w:val="single" w:color="auto" w:sz="8" w:space="0"/>
      </w:pBdr>
      <w:spacing w:before="100" w:beforeAutospacing="1" w:after="100" w:afterAutospacing="1"/>
      <w:jc w:val="center"/>
      <w:textAlignment w:val="bottom"/>
    </w:pPr>
    <w:rPr>
      <w:rFonts w:ascii="宋体" w:hAnsi="宋体" w:cs="宋体"/>
      <w:kern w:val="0"/>
      <w:szCs w:val="21"/>
    </w:rPr>
  </w:style>
  <w:style w:type="paragraph" w:customStyle="1" w:styleId="1950">
    <w:name w:val="表格文本 小五 居中"/>
    <w:basedOn w:val="1"/>
    <w:autoRedefine/>
    <w:qFormat/>
    <w:uiPriority w:val="99"/>
    <w:pPr>
      <w:adjustRightInd w:val="0"/>
      <w:snapToGrid w:val="0"/>
      <w:jc w:val="center"/>
    </w:pPr>
    <w:rPr>
      <w:rFonts w:cs="宋体"/>
      <w:szCs w:val="21"/>
    </w:rPr>
  </w:style>
  <w:style w:type="paragraph" w:customStyle="1" w:styleId="1951">
    <w:name w:val="表前文字"/>
    <w:basedOn w:val="1"/>
    <w:autoRedefine/>
    <w:qFormat/>
    <w:uiPriority w:val="0"/>
    <w:pPr>
      <w:jc w:val="center"/>
    </w:pPr>
    <w:rPr>
      <w:rFonts w:ascii="宋体" w:hAnsi="宋体"/>
      <w:sz w:val="24"/>
      <w:szCs w:val="21"/>
    </w:rPr>
  </w:style>
  <w:style w:type="paragraph" w:customStyle="1" w:styleId="1952">
    <w:name w:val="xl81"/>
    <w:basedOn w:val="1"/>
    <w:autoRedefine/>
    <w:qFormat/>
    <w:uiPriority w:val="0"/>
    <w:pPr>
      <w:widowControl/>
      <w:pBdr>
        <w:top w:val="single" w:color="auto" w:sz="8" w:space="0"/>
        <w:left w:val="single" w:color="auto" w:sz="8" w:space="0"/>
        <w:bottom w:val="single" w:color="auto" w:sz="8" w:space="0"/>
      </w:pBdr>
      <w:spacing w:before="100" w:beforeAutospacing="1" w:after="100" w:afterAutospacing="1"/>
      <w:jc w:val="center"/>
      <w:textAlignment w:val="bottom"/>
    </w:pPr>
    <w:rPr>
      <w:rFonts w:ascii="宋体" w:hAnsi="宋体" w:cs="宋体"/>
      <w:kern w:val="0"/>
      <w:szCs w:val="21"/>
    </w:rPr>
  </w:style>
  <w:style w:type="paragraph" w:customStyle="1" w:styleId="1953">
    <w:name w:val="xl71"/>
    <w:basedOn w:val="1"/>
    <w:autoRedefine/>
    <w:qFormat/>
    <w:uiPriority w:val="0"/>
    <w:pPr>
      <w:widowControl/>
      <w:pBdr>
        <w:left w:val="single" w:color="auto" w:sz="8" w:space="0"/>
        <w:right w:val="single" w:color="auto" w:sz="8" w:space="0"/>
      </w:pBdr>
      <w:spacing w:before="100" w:beforeAutospacing="1" w:after="100" w:afterAutospacing="1"/>
      <w:jc w:val="center"/>
    </w:pPr>
    <w:rPr>
      <w:rFonts w:ascii="宋体" w:hAnsi="宋体" w:cs="宋体"/>
      <w:kern w:val="0"/>
      <w:szCs w:val="21"/>
    </w:rPr>
  </w:style>
  <w:style w:type="paragraph" w:customStyle="1" w:styleId="1954">
    <w:name w:val="福建正文缩进11"/>
    <w:basedOn w:val="9"/>
    <w:autoRedefine/>
    <w:qFormat/>
    <w:uiPriority w:val="0"/>
    <w:pPr>
      <w:adjustRightInd w:val="0"/>
      <w:snapToGrid w:val="0"/>
      <w:spacing w:line="360" w:lineRule="auto"/>
      <w:ind w:firstLine="567" w:firstLineChars="0"/>
    </w:pPr>
    <w:rPr>
      <w:rFonts w:ascii="宋体"/>
      <w:kern w:val="0"/>
      <w:sz w:val="24"/>
      <w:lang w:val="en-US"/>
    </w:rPr>
  </w:style>
  <w:style w:type="paragraph" w:customStyle="1" w:styleId="1955">
    <w:name w:val="xl45"/>
    <w:basedOn w:val="1"/>
    <w:autoRedefine/>
    <w:qFormat/>
    <w:uiPriority w:val="0"/>
    <w:pPr>
      <w:widowControl/>
      <w:pBdr>
        <w:bottom w:val="single" w:color="auto" w:sz="12" w:space="0"/>
        <w:right w:val="single" w:color="auto" w:sz="12"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956">
    <w:name w:val="xl167"/>
    <w:basedOn w:val="1"/>
    <w:autoRedefine/>
    <w:qFormat/>
    <w:uiPriority w:val="99"/>
    <w:pPr>
      <w:widowControl/>
      <w:pBdr>
        <w:bottom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1957">
    <w:name w:val="Char Char1 Char3"/>
    <w:basedOn w:val="1"/>
    <w:autoRedefine/>
    <w:qFormat/>
    <w:uiPriority w:val="39"/>
    <w:pPr>
      <w:widowControl/>
      <w:spacing w:after="160" w:line="240" w:lineRule="exact"/>
      <w:jc w:val="left"/>
    </w:pPr>
    <w:rPr>
      <w:szCs w:val="20"/>
    </w:rPr>
  </w:style>
  <w:style w:type="paragraph" w:customStyle="1" w:styleId="1958">
    <w:name w:val="表内宋511111"/>
    <w:basedOn w:val="81"/>
    <w:autoRedefine/>
    <w:qFormat/>
    <w:uiPriority w:val="0"/>
    <w:pPr>
      <w:adjustRightInd w:val="0"/>
      <w:snapToGrid w:val="0"/>
      <w:spacing w:before="0" w:beforeAutospacing="0" w:after="0" w:afterAutospacing="0"/>
      <w:jc w:val="both"/>
    </w:pPr>
    <w:rPr>
      <w:rFonts w:cs="宋体"/>
      <w:color w:val="000000"/>
      <w:sz w:val="21"/>
      <w:szCs w:val="24"/>
      <w:lang w:val="en-US"/>
    </w:rPr>
  </w:style>
  <w:style w:type="paragraph" w:customStyle="1" w:styleId="1959">
    <w:name w:val="表文字513"/>
    <w:basedOn w:val="1"/>
    <w:autoRedefine/>
    <w:qFormat/>
    <w:uiPriority w:val="0"/>
    <w:pPr>
      <w:adjustRightInd w:val="0"/>
      <w:jc w:val="left"/>
      <w:textAlignment w:val="baseline"/>
    </w:pPr>
    <w:rPr>
      <w:rFonts w:ascii="宋体"/>
      <w:kern w:val="0"/>
      <w:szCs w:val="20"/>
    </w:rPr>
  </w:style>
  <w:style w:type="paragraph" w:customStyle="1" w:styleId="1960">
    <w:name w:val="Char Char2 Char Char Char Char8"/>
    <w:basedOn w:val="1"/>
    <w:autoRedefine/>
    <w:qFormat/>
    <w:uiPriority w:val="0"/>
  </w:style>
  <w:style w:type="paragraph" w:customStyle="1" w:styleId="1961">
    <w:name w:val="Char711"/>
    <w:basedOn w:val="1"/>
    <w:autoRedefine/>
    <w:qFormat/>
    <w:uiPriority w:val="0"/>
    <w:pPr>
      <w:ind w:left="-48"/>
    </w:pPr>
  </w:style>
  <w:style w:type="paragraph" w:customStyle="1" w:styleId="1962">
    <w:name w:val="Char Char Char Char Char Char1 Char Char Char Char"/>
    <w:basedOn w:val="1"/>
    <w:autoRedefine/>
    <w:qFormat/>
    <w:uiPriority w:val="99"/>
    <w:rPr>
      <w:sz w:val="24"/>
    </w:rPr>
  </w:style>
  <w:style w:type="paragraph" w:customStyle="1" w:styleId="1963">
    <w:name w:val="Char Char Char Char6"/>
    <w:basedOn w:val="1"/>
    <w:autoRedefine/>
    <w:qFormat/>
    <w:uiPriority w:val="39"/>
  </w:style>
  <w:style w:type="paragraph" w:customStyle="1" w:styleId="1964">
    <w:name w:val="In Table"/>
    <w:basedOn w:val="1"/>
    <w:autoRedefine/>
    <w:qFormat/>
    <w:uiPriority w:val="99"/>
    <w:pPr>
      <w:tabs>
        <w:tab w:val="left" w:pos="2200"/>
        <w:tab w:val="left" w:pos="3960"/>
        <w:tab w:val="left" w:pos="5280"/>
      </w:tabs>
      <w:spacing w:before="96" w:after="96" w:line="0" w:lineRule="atLeast"/>
      <w:jc w:val="center"/>
    </w:pPr>
    <w:rPr>
      <w:rFonts w:ascii="Tahoma" w:hAnsi="Tahoma" w:eastAsia="华文中宋"/>
      <w:szCs w:val="20"/>
    </w:rPr>
  </w:style>
  <w:style w:type="paragraph" w:customStyle="1" w:styleId="1965">
    <w:name w:val="燕山正文115"/>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1966">
    <w:name w:val="黑点"/>
    <w:basedOn w:val="1"/>
    <w:autoRedefine/>
    <w:qFormat/>
    <w:uiPriority w:val="0"/>
    <w:pPr>
      <w:tabs>
        <w:tab w:val="left" w:pos="425"/>
        <w:tab w:val="left" w:pos="600"/>
        <w:tab w:val="left" w:pos="2100"/>
      </w:tabs>
      <w:adjustRightInd w:val="0"/>
      <w:spacing w:line="360" w:lineRule="auto"/>
      <w:ind w:left="2100" w:hanging="425"/>
      <w:jc w:val="left"/>
      <w:textAlignment w:val="baseline"/>
    </w:pPr>
    <w:rPr>
      <w:rFonts w:ascii="宋体" w:hAnsi="宋体"/>
      <w:color w:val="000000"/>
      <w:kern w:val="0"/>
      <w:sz w:val="24"/>
      <w:szCs w:val="20"/>
    </w:rPr>
  </w:style>
  <w:style w:type="paragraph" w:customStyle="1" w:styleId="1967">
    <w:name w:val="Char Char Char Char Char Char Char Char Char1 Char Char Char Char4"/>
    <w:basedOn w:val="1"/>
    <w:autoRedefine/>
    <w:qFormat/>
    <w:uiPriority w:val="39"/>
    <w:rPr>
      <w:rFonts w:eastAsia="黑体"/>
      <w:b/>
      <w:szCs w:val="20"/>
    </w:rPr>
  </w:style>
  <w:style w:type="paragraph" w:customStyle="1" w:styleId="1968">
    <w:name w:val="图题9"/>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1969">
    <w:name w:val="IDC A-Head (2nd Line)"/>
    <w:basedOn w:val="1"/>
    <w:next w:val="1"/>
    <w:autoRedefine/>
    <w:qFormat/>
    <w:uiPriority w:val="99"/>
    <w:pPr>
      <w:widowControl/>
      <w:jc w:val="center"/>
    </w:pPr>
    <w:rPr>
      <w:caps/>
      <w:kern w:val="0"/>
      <w:sz w:val="24"/>
      <w:szCs w:val="20"/>
    </w:rPr>
  </w:style>
  <w:style w:type="paragraph" w:customStyle="1" w:styleId="1970">
    <w:name w:val="Char Char Char Char Char Char4"/>
    <w:basedOn w:val="1"/>
    <w:autoRedefine/>
    <w:qFormat/>
    <w:uiPriority w:val="99"/>
    <w:rPr>
      <w:sz w:val="24"/>
    </w:rPr>
  </w:style>
  <w:style w:type="paragraph" w:customStyle="1" w:styleId="1971">
    <w:name w:val="xl76"/>
    <w:basedOn w:val="1"/>
    <w:autoRedefine/>
    <w:qFormat/>
    <w:uiPriority w:val="0"/>
    <w:pPr>
      <w:widowControl/>
      <w:pBdr>
        <w:left w:val="single" w:color="auto" w:sz="8" w:space="0"/>
      </w:pBdr>
      <w:spacing w:before="100" w:beforeAutospacing="1" w:after="100" w:afterAutospacing="1"/>
      <w:jc w:val="center"/>
    </w:pPr>
    <w:rPr>
      <w:rFonts w:ascii="宋体" w:hAnsi="宋体" w:cs="宋体"/>
      <w:kern w:val="0"/>
      <w:szCs w:val="21"/>
    </w:rPr>
  </w:style>
  <w:style w:type="paragraph" w:customStyle="1" w:styleId="1972">
    <w:name w:val="正文缩进6"/>
    <w:basedOn w:val="1"/>
    <w:autoRedefine/>
    <w:qFormat/>
    <w:uiPriority w:val="39"/>
    <w:pPr>
      <w:adjustRightInd w:val="0"/>
      <w:ind w:firstLine="420" w:firstLineChars="200"/>
      <w:textAlignment w:val="baseline"/>
    </w:pPr>
    <w:rPr>
      <w:rFonts w:hint="eastAsia" w:hAnsi="宋体"/>
      <w:sz w:val="24"/>
      <w:szCs w:val="20"/>
    </w:rPr>
  </w:style>
  <w:style w:type="paragraph" w:customStyle="1" w:styleId="1973">
    <w:name w:val="2"/>
    <w:basedOn w:val="1"/>
    <w:next w:val="9"/>
    <w:autoRedefine/>
    <w:qFormat/>
    <w:uiPriority w:val="0"/>
    <w:pPr>
      <w:adjustRightInd w:val="0"/>
      <w:snapToGrid w:val="0"/>
      <w:spacing w:line="300" w:lineRule="auto"/>
      <w:ind w:firstLine="200" w:firstLineChars="200"/>
    </w:pPr>
    <w:rPr>
      <w:rFonts w:ascii="仿宋_GB2312" w:eastAsia="仿宋_GB2312"/>
      <w:color w:val="000000"/>
      <w:sz w:val="28"/>
      <w:szCs w:val="20"/>
    </w:rPr>
  </w:style>
  <w:style w:type="paragraph" w:customStyle="1" w:styleId="1974">
    <w:name w:val="标题33"/>
    <w:basedOn w:val="51"/>
    <w:next w:val="5"/>
    <w:autoRedefine/>
    <w:qFormat/>
    <w:uiPriority w:val="0"/>
    <w:pPr>
      <w:spacing w:after="0" w:line="500" w:lineRule="exact"/>
      <w:ind w:left="0" w:leftChars="0"/>
    </w:pPr>
    <w:rPr>
      <w:rFonts w:ascii="仿宋_GB2312" w:hAnsi="仿宋_GB2312" w:eastAsia="仿宋_GB2312"/>
      <w:color w:val="000000"/>
      <w:kern w:val="0"/>
      <w:sz w:val="28"/>
      <w:lang w:val="en-US"/>
    </w:rPr>
  </w:style>
  <w:style w:type="paragraph" w:customStyle="1" w:styleId="1975">
    <w:name w:val="Char Char1 Char Char Char Char"/>
    <w:basedOn w:val="1"/>
    <w:autoRedefine/>
    <w:qFormat/>
    <w:uiPriority w:val="99"/>
    <w:rPr>
      <w:sz w:val="24"/>
    </w:rPr>
  </w:style>
  <w:style w:type="paragraph" w:customStyle="1" w:styleId="1976">
    <w:name w:val="表内文字小3132"/>
    <w:basedOn w:val="1"/>
    <w:autoRedefine/>
    <w:qFormat/>
    <w:uiPriority w:val="0"/>
    <w:pPr>
      <w:adjustRightInd w:val="0"/>
      <w:snapToGrid w:val="0"/>
      <w:jc w:val="center"/>
    </w:pPr>
    <w:rPr>
      <w:rFonts w:ascii="宋体" w:hAnsi="Times" w:cs="宋体"/>
      <w:bCs/>
      <w:color w:val="003366"/>
      <w:szCs w:val="20"/>
    </w:rPr>
  </w:style>
  <w:style w:type="paragraph" w:customStyle="1" w:styleId="1977">
    <w:name w:val="默认段落字体 Para Char Char Char Char61"/>
    <w:basedOn w:val="1"/>
    <w:autoRedefine/>
    <w:qFormat/>
    <w:uiPriority w:val="0"/>
  </w:style>
  <w:style w:type="paragraph" w:customStyle="1" w:styleId="1978">
    <w:name w:val="表内文字小311"/>
    <w:basedOn w:val="1"/>
    <w:autoRedefine/>
    <w:qFormat/>
    <w:uiPriority w:val="0"/>
    <w:pPr>
      <w:adjustRightInd w:val="0"/>
      <w:snapToGrid w:val="0"/>
      <w:jc w:val="center"/>
    </w:pPr>
    <w:rPr>
      <w:rFonts w:ascii="宋体" w:hAnsi="Times" w:cs="宋体"/>
      <w:bCs/>
      <w:color w:val="003366"/>
      <w:szCs w:val="20"/>
    </w:rPr>
  </w:style>
  <w:style w:type="paragraph" w:customStyle="1" w:styleId="1979">
    <w:name w:val="我的样式（正文）"/>
    <w:basedOn w:val="1"/>
    <w:autoRedefine/>
    <w:qFormat/>
    <w:uiPriority w:val="0"/>
    <w:pPr>
      <w:spacing w:line="440" w:lineRule="exact"/>
    </w:pPr>
    <w:rPr>
      <w:rFonts w:ascii="宋体"/>
      <w:sz w:val="28"/>
      <w:szCs w:val="20"/>
    </w:rPr>
  </w:style>
  <w:style w:type="paragraph" w:customStyle="1" w:styleId="1980">
    <w:name w:val="表内文字小2132"/>
    <w:basedOn w:val="1"/>
    <w:autoRedefine/>
    <w:qFormat/>
    <w:uiPriority w:val="0"/>
    <w:pPr>
      <w:adjustRightInd w:val="0"/>
      <w:snapToGrid w:val="0"/>
      <w:jc w:val="center"/>
      <w:textAlignment w:val="baseline"/>
    </w:pPr>
    <w:rPr>
      <w:rFonts w:ascii="宋体" w:hAnsi="Times"/>
      <w:bCs/>
      <w:color w:val="000000"/>
      <w:szCs w:val="20"/>
    </w:rPr>
  </w:style>
  <w:style w:type="paragraph" w:customStyle="1" w:styleId="1981">
    <w:name w:val="2级标题"/>
    <w:autoRedefine/>
    <w:qFormat/>
    <w:uiPriority w:val="0"/>
    <w:pPr>
      <w:widowControl w:val="0"/>
      <w:adjustRightInd w:val="0"/>
      <w:snapToGrid w:val="0"/>
      <w:spacing w:before="156" w:line="500" w:lineRule="exact"/>
      <w:jc w:val="both"/>
      <w:outlineLvl w:val="1"/>
    </w:pPr>
    <w:rPr>
      <w:rFonts w:ascii="宋体" w:hAnsi="宋体" w:eastAsia="宋体" w:cs="Times New Roman"/>
      <w:b/>
      <w:kern w:val="2"/>
      <w:sz w:val="24"/>
      <w:lang w:val="en-US" w:eastAsia="zh-CN" w:bidi="ar-SA"/>
    </w:rPr>
  </w:style>
  <w:style w:type="paragraph" w:customStyle="1" w:styleId="1982">
    <w:name w:val="Fax Header"/>
    <w:basedOn w:val="1"/>
    <w:autoRedefine/>
    <w:qFormat/>
    <w:uiPriority w:val="0"/>
    <w:pPr>
      <w:widowControl/>
      <w:spacing w:before="240" w:after="60"/>
      <w:jc w:val="left"/>
    </w:pPr>
    <w:rPr>
      <w:kern w:val="0"/>
      <w:sz w:val="20"/>
      <w:szCs w:val="20"/>
    </w:rPr>
  </w:style>
  <w:style w:type="paragraph" w:customStyle="1" w:styleId="1983">
    <w:name w:val="表内文字小31111"/>
    <w:basedOn w:val="1"/>
    <w:autoRedefine/>
    <w:qFormat/>
    <w:uiPriority w:val="0"/>
    <w:pPr>
      <w:adjustRightInd w:val="0"/>
      <w:snapToGrid w:val="0"/>
      <w:jc w:val="center"/>
    </w:pPr>
    <w:rPr>
      <w:rFonts w:ascii="宋体" w:hAnsi="Times" w:cs="宋体"/>
      <w:bCs/>
      <w:color w:val="003366"/>
      <w:szCs w:val="20"/>
    </w:rPr>
  </w:style>
  <w:style w:type="paragraph" w:customStyle="1" w:styleId="1984">
    <w:name w:val="样式 列表 + 左侧:  0 厘米 悬挂缩进: 2 字符"/>
    <w:basedOn w:val="66"/>
    <w:autoRedefine/>
    <w:qFormat/>
    <w:uiPriority w:val="99"/>
    <w:pPr>
      <w:tabs>
        <w:tab w:val="center" w:pos="4153"/>
        <w:tab w:val="right" w:pos="8306"/>
      </w:tabs>
      <w:snapToGrid w:val="0"/>
      <w:spacing w:line="240" w:lineRule="exact"/>
      <w:ind w:left="0" w:right="0" w:rightChars="0"/>
    </w:pPr>
    <w:rPr>
      <w:szCs w:val="20"/>
    </w:rPr>
  </w:style>
  <w:style w:type="paragraph" w:customStyle="1" w:styleId="1985">
    <w:name w:val="前言"/>
    <w:basedOn w:val="1"/>
    <w:autoRedefine/>
    <w:qFormat/>
    <w:uiPriority w:val="99"/>
    <w:pPr>
      <w:tabs>
        <w:tab w:val="left" w:pos="1155"/>
      </w:tabs>
      <w:spacing w:line="360" w:lineRule="auto"/>
      <w:ind w:left="1155" w:hanging="405"/>
      <w:jc w:val="center"/>
    </w:pPr>
    <w:rPr>
      <w:rFonts w:ascii="宋体"/>
      <w:b/>
      <w:sz w:val="24"/>
    </w:rPr>
  </w:style>
  <w:style w:type="paragraph" w:customStyle="1" w:styleId="1986">
    <w:name w:val="表内宋5111"/>
    <w:basedOn w:val="81"/>
    <w:autoRedefine/>
    <w:qFormat/>
    <w:uiPriority w:val="0"/>
    <w:pPr>
      <w:adjustRightInd w:val="0"/>
      <w:snapToGrid w:val="0"/>
      <w:spacing w:before="0" w:beforeAutospacing="0" w:after="0" w:afterAutospacing="0"/>
      <w:jc w:val="both"/>
    </w:pPr>
    <w:rPr>
      <w:rFonts w:cs="宋体"/>
      <w:color w:val="000000"/>
      <w:sz w:val="21"/>
      <w:szCs w:val="24"/>
      <w:lang w:val="en-US"/>
    </w:rPr>
  </w:style>
  <w:style w:type="paragraph" w:customStyle="1" w:styleId="1987">
    <w:name w:val="样式（大表格）"/>
    <w:basedOn w:val="134"/>
    <w:autoRedefine/>
    <w:qFormat/>
    <w:uiPriority w:val="0"/>
    <w:pPr>
      <w:tabs>
        <w:tab w:val="left" w:pos="606"/>
      </w:tabs>
      <w:spacing w:beforeLines="0" w:afterLines="0" w:line="360" w:lineRule="auto"/>
      <w:ind w:left="606" w:hanging="576"/>
      <w:jc w:val="both"/>
    </w:pPr>
    <w:rPr>
      <w:rFonts w:ascii="Times New Roman"/>
      <w:b/>
      <w:color w:val="FF0000"/>
      <w:kern w:val="2"/>
      <w:sz w:val="24"/>
      <w:lang w:val="en-US"/>
    </w:rPr>
  </w:style>
  <w:style w:type="paragraph" w:customStyle="1" w:styleId="1988">
    <w:name w:val="燕山正文11311"/>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1989">
    <w:name w:val="正文214"/>
    <w:autoRedefine/>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1990">
    <w:name w:val="表内541112"/>
    <w:basedOn w:val="1"/>
    <w:autoRedefine/>
    <w:qFormat/>
    <w:uiPriority w:val="0"/>
    <w:pPr>
      <w:adjustRightInd w:val="0"/>
      <w:snapToGrid w:val="0"/>
      <w:spacing w:line="300" w:lineRule="auto"/>
      <w:jc w:val="center"/>
    </w:pPr>
    <w:rPr>
      <w:rFonts w:ascii="宋体" w:hAnsi="宋体" w:cs="宋体"/>
      <w:szCs w:val="20"/>
    </w:rPr>
  </w:style>
  <w:style w:type="paragraph" w:customStyle="1" w:styleId="1991">
    <w:name w:val="Char Char Char Char Char Char Char Char1 Char Char Char Char Char Char Char Char Char Char Char Char2"/>
    <w:basedOn w:val="1"/>
    <w:autoRedefine/>
    <w:qFormat/>
    <w:uiPriority w:val="39"/>
    <w:rPr>
      <w:sz w:val="24"/>
    </w:rPr>
  </w:style>
  <w:style w:type="paragraph" w:customStyle="1" w:styleId="1992">
    <w:name w:val="默认段落字体 Para Char Char Char Char3"/>
    <w:basedOn w:val="1"/>
    <w:autoRedefine/>
    <w:qFormat/>
    <w:uiPriority w:val="0"/>
  </w:style>
  <w:style w:type="paragraph" w:customStyle="1" w:styleId="1993">
    <w:name w:val="首行缩进2+小四"/>
    <w:basedOn w:val="1"/>
    <w:autoRedefine/>
    <w:qFormat/>
    <w:uiPriority w:val="0"/>
    <w:pPr>
      <w:spacing w:line="360" w:lineRule="auto"/>
      <w:ind w:firstLine="480" w:firstLineChars="200"/>
    </w:pPr>
    <w:rPr>
      <w:rFonts w:ascii="Arial" w:hAnsi="Arial"/>
      <w:sz w:val="24"/>
    </w:rPr>
  </w:style>
  <w:style w:type="paragraph" w:customStyle="1" w:styleId="1994">
    <w:name w:val="1"/>
    <w:basedOn w:val="1"/>
    <w:next w:val="51"/>
    <w:autoRedefine/>
    <w:qFormat/>
    <w:uiPriority w:val="99"/>
    <w:pPr>
      <w:spacing w:after="120" w:line="480" w:lineRule="auto"/>
      <w:ind w:left="420"/>
    </w:pPr>
    <w:rPr>
      <w:szCs w:val="20"/>
    </w:rPr>
  </w:style>
  <w:style w:type="paragraph" w:customStyle="1" w:styleId="1995">
    <w:name w:val="表格112"/>
    <w:basedOn w:val="1"/>
    <w:autoRedefine/>
    <w:qFormat/>
    <w:uiPriority w:val="0"/>
    <w:pPr>
      <w:adjustRightInd w:val="0"/>
      <w:jc w:val="center"/>
      <w:textAlignment w:val="baseline"/>
    </w:pPr>
    <w:rPr>
      <w:rFonts w:ascii="宋体"/>
      <w:kern w:val="0"/>
      <w:sz w:val="24"/>
      <w:szCs w:val="20"/>
    </w:rPr>
  </w:style>
  <w:style w:type="paragraph" w:customStyle="1" w:styleId="1996">
    <w:name w:val="表文字5113"/>
    <w:basedOn w:val="1"/>
    <w:autoRedefine/>
    <w:qFormat/>
    <w:uiPriority w:val="0"/>
    <w:pPr>
      <w:adjustRightInd w:val="0"/>
      <w:jc w:val="left"/>
      <w:textAlignment w:val="baseline"/>
    </w:pPr>
    <w:rPr>
      <w:rFonts w:ascii="宋体"/>
      <w:kern w:val="0"/>
      <w:szCs w:val="20"/>
    </w:rPr>
  </w:style>
  <w:style w:type="paragraph" w:customStyle="1" w:styleId="1997">
    <w:name w:val="Char12"/>
    <w:basedOn w:val="1"/>
    <w:autoRedefine/>
    <w:qFormat/>
    <w:uiPriority w:val="0"/>
  </w:style>
  <w:style w:type="paragraph" w:customStyle="1" w:styleId="1998">
    <w:name w:val="Char Char Char Char Char Char Char Char Char Char Char Char Char Char Char Char Char Char Char Char Char Char Char Char Char Char Char Char Char Char Char Char Char1 Char Char Char Char Char Char2"/>
    <w:basedOn w:val="1"/>
    <w:autoRedefine/>
    <w:qFormat/>
    <w:uiPriority w:val="39"/>
    <w:rPr>
      <w:sz w:val="24"/>
    </w:rPr>
  </w:style>
  <w:style w:type="paragraph" w:customStyle="1" w:styleId="1999">
    <w:name w:val="正文格式＝3"/>
    <w:basedOn w:val="416"/>
    <w:next w:val="416"/>
    <w:autoRedefine/>
    <w:qFormat/>
    <w:uiPriority w:val="0"/>
    <w:rPr>
      <w:rFonts w:ascii="宋体" w:hAnsi="宋体"/>
      <w:b w:val="0"/>
      <w:spacing w:val="0"/>
      <w:sz w:val="24"/>
      <w:szCs w:val="24"/>
    </w:rPr>
  </w:style>
  <w:style w:type="paragraph" w:customStyle="1" w:styleId="2000">
    <w:name w:val="样式 标题 1 + (中文) 黑体 四号 居中 段前: 0 磅 段后: 0 磅 行距: 2 倍行距1"/>
    <w:basedOn w:val="3"/>
    <w:autoRedefine/>
    <w:qFormat/>
    <w:uiPriority w:val="0"/>
    <w:pPr>
      <w:keepLines/>
      <w:tabs>
        <w:tab w:val="left" w:pos="432"/>
      </w:tabs>
      <w:overflowPunct/>
      <w:snapToGrid/>
      <w:spacing w:before="0" w:after="0" w:line="480" w:lineRule="auto"/>
      <w:jc w:val="center"/>
    </w:pPr>
    <w:rPr>
      <w:rFonts w:ascii="仿宋_GB2312" w:eastAsia="仿宋_GB2312"/>
      <w:sz w:val="36"/>
      <w:szCs w:val="36"/>
    </w:rPr>
  </w:style>
  <w:style w:type="paragraph" w:customStyle="1" w:styleId="2001">
    <w:name w:val="font5"/>
    <w:basedOn w:val="1"/>
    <w:autoRedefine/>
    <w:qFormat/>
    <w:uiPriority w:val="0"/>
    <w:pPr>
      <w:widowControl/>
      <w:spacing w:before="100" w:beforeAutospacing="1" w:after="100" w:afterAutospacing="1"/>
      <w:jc w:val="left"/>
    </w:pPr>
    <w:rPr>
      <w:rFonts w:ascii="宋体" w:hAnsi="宋体"/>
      <w:kern w:val="0"/>
      <w:sz w:val="18"/>
      <w:szCs w:val="20"/>
    </w:rPr>
  </w:style>
  <w:style w:type="paragraph" w:customStyle="1" w:styleId="2002">
    <w:name w:val="表文字55"/>
    <w:basedOn w:val="1"/>
    <w:autoRedefine/>
    <w:qFormat/>
    <w:uiPriority w:val="0"/>
    <w:pPr>
      <w:adjustRightInd w:val="0"/>
      <w:jc w:val="left"/>
      <w:textAlignment w:val="baseline"/>
    </w:pPr>
    <w:rPr>
      <w:rFonts w:ascii="宋体"/>
      <w:kern w:val="0"/>
      <w:szCs w:val="20"/>
    </w:rPr>
  </w:style>
  <w:style w:type="paragraph" w:customStyle="1" w:styleId="2003">
    <w:name w:val="默认段落字体 Para Char Char Char Char Char12"/>
    <w:basedOn w:val="1"/>
    <w:autoRedefine/>
    <w:qFormat/>
    <w:uiPriority w:val="0"/>
  </w:style>
  <w:style w:type="paragraph" w:customStyle="1" w:styleId="2004">
    <w:name w:val="正文新"/>
    <w:basedOn w:val="1"/>
    <w:autoRedefine/>
    <w:qFormat/>
    <w:uiPriority w:val="0"/>
    <w:pPr>
      <w:spacing w:before="80" w:after="60" w:line="300" w:lineRule="auto"/>
      <w:ind w:firstLine="510"/>
    </w:pPr>
    <w:rPr>
      <w:snapToGrid w:val="0"/>
      <w:kern w:val="0"/>
      <w:sz w:val="24"/>
    </w:rPr>
  </w:style>
  <w:style w:type="paragraph" w:customStyle="1" w:styleId="2005">
    <w:name w:val="样式2.2.5"/>
    <w:basedOn w:val="1"/>
    <w:autoRedefine/>
    <w:qFormat/>
    <w:uiPriority w:val="99"/>
    <w:pPr>
      <w:spacing w:beforeLines="50" w:line="360" w:lineRule="auto"/>
      <w:outlineLvl w:val="3"/>
    </w:pPr>
    <w:rPr>
      <w:b/>
      <w:sz w:val="24"/>
    </w:rPr>
  </w:style>
  <w:style w:type="paragraph" w:customStyle="1" w:styleId="2006">
    <w:name w:val="Char Char Char Char Char Char Char Char Char Char Char Char Char Char Char2"/>
    <w:basedOn w:val="1"/>
    <w:autoRedefine/>
    <w:qFormat/>
    <w:uiPriority w:val="39"/>
    <w:rPr>
      <w:sz w:val="24"/>
    </w:rPr>
  </w:style>
  <w:style w:type="paragraph" w:customStyle="1" w:styleId="2007">
    <w:name w:val="图表名称11"/>
    <w:basedOn w:val="86"/>
    <w:autoRedefine/>
    <w:qFormat/>
    <w:uiPriority w:val="0"/>
    <w:pPr>
      <w:widowControl/>
      <w:adjustRightInd w:val="0"/>
      <w:snapToGrid w:val="0"/>
      <w:spacing w:after="0" w:line="480" w:lineRule="exact"/>
      <w:ind w:firstLine="0" w:firstLineChars="0"/>
      <w:jc w:val="center"/>
    </w:pPr>
    <w:rPr>
      <w:rFonts w:ascii="宋体" w:hAnsi="宋体"/>
      <w:bCs/>
      <w:sz w:val="24"/>
      <w:szCs w:val="24"/>
    </w:rPr>
  </w:style>
  <w:style w:type="paragraph" w:customStyle="1" w:styleId="2008">
    <w:name w:val="9"/>
    <w:basedOn w:val="1"/>
    <w:next w:val="34"/>
    <w:autoRedefine/>
    <w:qFormat/>
    <w:uiPriority w:val="0"/>
    <w:pPr>
      <w:spacing w:after="120"/>
    </w:pPr>
    <w:rPr>
      <w:rFonts w:ascii="仿宋_GB2312" w:eastAsia="仿宋_GB2312"/>
      <w:sz w:val="28"/>
    </w:rPr>
  </w:style>
  <w:style w:type="paragraph" w:customStyle="1" w:styleId="2009">
    <w:name w:val="y表格"/>
    <w:basedOn w:val="34"/>
    <w:autoRedefine/>
    <w:qFormat/>
    <w:uiPriority w:val="99"/>
    <w:pPr>
      <w:adjustRightInd w:val="0"/>
      <w:spacing w:before="0" w:after="0" w:line="240" w:lineRule="auto"/>
      <w:ind w:right="0"/>
      <w:jc w:val="center"/>
      <w:textAlignment w:val="baseline"/>
    </w:pPr>
    <w:rPr>
      <w:rFonts w:hint="eastAsia" w:ascii="宋体" w:hAnsi="宋体"/>
      <w:sz w:val="24"/>
      <w:lang w:val="en-US"/>
    </w:rPr>
  </w:style>
  <w:style w:type="paragraph" w:customStyle="1" w:styleId="2010">
    <w:name w:val="表内文字小13"/>
    <w:basedOn w:val="1"/>
    <w:autoRedefine/>
    <w:qFormat/>
    <w:uiPriority w:val="0"/>
    <w:pPr>
      <w:adjustRightInd w:val="0"/>
      <w:snapToGrid w:val="0"/>
      <w:jc w:val="center"/>
    </w:pPr>
    <w:rPr>
      <w:rFonts w:ascii="宋体" w:hAnsi="Times"/>
      <w:szCs w:val="20"/>
    </w:rPr>
  </w:style>
  <w:style w:type="paragraph" w:customStyle="1" w:styleId="2011">
    <w:name w:val="样式211"/>
    <w:basedOn w:val="1"/>
    <w:autoRedefine/>
    <w:qFormat/>
    <w:uiPriority w:val="0"/>
    <w:pPr>
      <w:adjustRightInd w:val="0"/>
      <w:spacing w:line="360" w:lineRule="auto"/>
      <w:jc w:val="center"/>
      <w:textAlignment w:val="baseline"/>
      <w:outlineLvl w:val="0"/>
    </w:pPr>
    <w:rPr>
      <w:kern w:val="0"/>
      <w:szCs w:val="20"/>
    </w:rPr>
  </w:style>
  <w:style w:type="paragraph" w:customStyle="1" w:styleId="2012">
    <w:name w:val="样式 标题 3标题 3 Char标题 3 Char Char Char Char Char Char Char Char C...5 Char"/>
    <w:basedOn w:val="5"/>
    <w:autoRedefine/>
    <w:qFormat/>
    <w:uiPriority w:val="39"/>
    <w:pPr>
      <w:ind w:left="720" w:hanging="432"/>
    </w:pPr>
    <w:rPr>
      <w:kern w:val="0"/>
      <w:lang w:val="en-US"/>
    </w:rPr>
  </w:style>
  <w:style w:type="paragraph" w:customStyle="1" w:styleId="2013">
    <w:name w:val="文本框3"/>
    <w:basedOn w:val="1"/>
    <w:autoRedefine/>
    <w:qFormat/>
    <w:uiPriority w:val="0"/>
    <w:pPr>
      <w:adjustRightInd w:val="0"/>
      <w:snapToGrid w:val="0"/>
      <w:spacing w:after="6"/>
      <w:jc w:val="center"/>
    </w:pPr>
    <w:rPr>
      <w:rFonts w:eastAsia="仿宋_GB2312"/>
    </w:rPr>
  </w:style>
  <w:style w:type="paragraph" w:customStyle="1" w:styleId="2014">
    <w:name w:val="表内文字小212"/>
    <w:basedOn w:val="1"/>
    <w:autoRedefine/>
    <w:qFormat/>
    <w:uiPriority w:val="0"/>
    <w:pPr>
      <w:adjustRightInd w:val="0"/>
      <w:snapToGrid w:val="0"/>
      <w:jc w:val="center"/>
    </w:pPr>
    <w:rPr>
      <w:rFonts w:ascii="宋体" w:hAnsi="Times"/>
      <w:bCs/>
      <w:color w:val="000000"/>
      <w:szCs w:val="20"/>
    </w:rPr>
  </w:style>
  <w:style w:type="paragraph" w:customStyle="1" w:styleId="2015">
    <w:name w:val="正文213"/>
    <w:autoRedefine/>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2016">
    <w:name w:val="主要负责人"/>
    <w:basedOn w:val="1"/>
    <w:next w:val="1"/>
    <w:autoRedefine/>
    <w:qFormat/>
    <w:uiPriority w:val="0"/>
    <w:pPr>
      <w:jc w:val="center"/>
    </w:pPr>
    <w:rPr>
      <w:sz w:val="36"/>
      <w:szCs w:val="20"/>
    </w:rPr>
  </w:style>
  <w:style w:type="paragraph" w:customStyle="1" w:styleId="2017">
    <w:name w:val="标准文本 首行缩进:2 字符 行距1倍"/>
    <w:basedOn w:val="1"/>
    <w:autoRedefine/>
    <w:qFormat/>
    <w:uiPriority w:val="99"/>
    <w:pPr>
      <w:adjustRightInd w:val="0"/>
      <w:snapToGrid w:val="0"/>
      <w:spacing w:line="480" w:lineRule="exact"/>
      <w:ind w:firstLine="540" w:firstLineChars="225"/>
      <w:textAlignment w:val="center"/>
    </w:pPr>
    <w:rPr>
      <w:rFonts w:cs="宋体"/>
      <w:sz w:val="24"/>
      <w:szCs w:val="20"/>
    </w:rPr>
  </w:style>
  <w:style w:type="paragraph" w:customStyle="1" w:styleId="2018">
    <w:name w:val="xl172"/>
    <w:basedOn w:val="1"/>
    <w:autoRedefine/>
    <w:qFormat/>
    <w:uiPriority w:val="99"/>
    <w:pPr>
      <w:widowControl/>
      <w:pBdr>
        <w:top w:val="single" w:color="auto" w:sz="12" w:space="0"/>
        <w:left w:val="single" w:color="auto" w:sz="12" w:space="0"/>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2019">
    <w:name w:val="8"/>
    <w:basedOn w:val="1"/>
    <w:next w:val="70"/>
    <w:autoRedefine/>
    <w:qFormat/>
    <w:uiPriority w:val="0"/>
    <w:pPr>
      <w:ind w:firstLine="556"/>
      <w:jc w:val="left"/>
    </w:pPr>
    <w:rPr>
      <w:rFonts w:ascii="仿宋_GB2312" w:hAnsi="宋体" w:eastAsia="仿宋_GB2312"/>
      <w:sz w:val="28"/>
    </w:rPr>
  </w:style>
  <w:style w:type="paragraph" w:customStyle="1" w:styleId="2020">
    <w:name w:val="Char Char Char Char Char Char Char Char Char Char Char Char Char Char Char Char Char Char Char Char Char Char Char Char Char Char Char Char Char Char Char Char Char Char Char Char Char Char Char3"/>
    <w:basedOn w:val="1"/>
    <w:autoRedefine/>
    <w:qFormat/>
    <w:uiPriority w:val="39"/>
    <w:rPr>
      <w:sz w:val="24"/>
    </w:rPr>
  </w:style>
  <w:style w:type="paragraph" w:customStyle="1" w:styleId="2021">
    <w:name w:val="默认段落字体 Para Char Char Char1 Char Char Char Char"/>
    <w:basedOn w:val="1"/>
    <w:autoRedefine/>
    <w:qFormat/>
    <w:uiPriority w:val="0"/>
    <w:rPr>
      <w:sz w:val="24"/>
    </w:rPr>
  </w:style>
  <w:style w:type="paragraph" w:customStyle="1" w:styleId="2022">
    <w:name w:val="表内文字小1112"/>
    <w:basedOn w:val="1"/>
    <w:autoRedefine/>
    <w:qFormat/>
    <w:uiPriority w:val="0"/>
    <w:pPr>
      <w:adjustRightInd w:val="0"/>
      <w:snapToGrid w:val="0"/>
    </w:pPr>
    <w:rPr>
      <w:rFonts w:ascii="宋体" w:hAnsi="Times" w:cs="宋体"/>
      <w:szCs w:val="20"/>
    </w:rPr>
  </w:style>
  <w:style w:type="paragraph" w:customStyle="1" w:styleId="2023">
    <w:name w:val="五级条标题"/>
    <w:basedOn w:val="1679"/>
    <w:next w:val="1"/>
    <w:autoRedefine/>
    <w:qFormat/>
    <w:uiPriority w:val="0"/>
  </w:style>
  <w:style w:type="paragraph" w:customStyle="1" w:styleId="2024">
    <w:name w:val="Char Char Char Char Char Char Char6"/>
    <w:basedOn w:val="1"/>
    <w:autoRedefine/>
    <w:qFormat/>
    <w:uiPriority w:val="0"/>
    <w:rPr>
      <w:szCs w:val="20"/>
    </w:rPr>
  </w:style>
  <w:style w:type="paragraph" w:customStyle="1" w:styleId="2025">
    <w:name w:val="样式 宋体 四号 左 行距: 固定值 25 磅"/>
    <w:basedOn w:val="1"/>
    <w:autoRedefine/>
    <w:qFormat/>
    <w:uiPriority w:val="0"/>
    <w:pPr>
      <w:spacing w:line="500" w:lineRule="exact"/>
      <w:ind w:firstLine="200" w:firstLineChars="200"/>
      <w:jc w:val="left"/>
    </w:pPr>
    <w:rPr>
      <w:rFonts w:cs="宋体"/>
      <w:sz w:val="28"/>
      <w:szCs w:val="20"/>
    </w:rPr>
  </w:style>
  <w:style w:type="paragraph" w:customStyle="1" w:styleId="2026">
    <w:name w:val="样式 样式 标题 3 + 段前: 0.5 行 段后: 0.5 行 + 段前: 0.5 行 段后: 0.5 行"/>
    <w:basedOn w:val="1"/>
    <w:autoRedefine/>
    <w:qFormat/>
    <w:uiPriority w:val="39"/>
    <w:pPr>
      <w:keepNext/>
      <w:keepLines/>
      <w:adjustRightInd w:val="0"/>
      <w:snapToGrid w:val="0"/>
      <w:spacing w:beforeLines="50" w:afterLines="50" w:line="300" w:lineRule="auto"/>
      <w:ind w:left="180"/>
      <w:jc w:val="left"/>
      <w:outlineLvl w:val="2"/>
    </w:pPr>
    <w:rPr>
      <w:rFonts w:ascii="仿宋_GB2312" w:hAnsi="宋体" w:eastAsia="仿宋_GB2312" w:cs="宋体"/>
      <w:b/>
      <w:sz w:val="30"/>
      <w:szCs w:val="30"/>
    </w:rPr>
  </w:style>
  <w:style w:type="paragraph" w:customStyle="1" w:styleId="2027">
    <w:name w:val="style2"/>
    <w:basedOn w:val="1"/>
    <w:autoRedefine/>
    <w:qFormat/>
    <w:uiPriority w:val="99"/>
    <w:pPr>
      <w:widowControl/>
      <w:spacing w:before="100" w:beforeAutospacing="1" w:after="100" w:afterAutospacing="1"/>
      <w:jc w:val="left"/>
    </w:pPr>
    <w:rPr>
      <w:rFonts w:ascii="宋体" w:hAnsi="宋体"/>
      <w:color w:val="000000"/>
      <w:kern w:val="0"/>
      <w:szCs w:val="20"/>
    </w:rPr>
  </w:style>
  <w:style w:type="paragraph" w:customStyle="1" w:styleId="2028">
    <w:name w:val="表中文字61"/>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2029">
    <w:name w:val="列出段落1"/>
    <w:basedOn w:val="1"/>
    <w:autoRedefine/>
    <w:qFormat/>
    <w:uiPriority w:val="99"/>
    <w:pPr>
      <w:ind w:firstLine="420" w:firstLineChars="200"/>
    </w:pPr>
    <w:rPr>
      <w:szCs w:val="22"/>
    </w:rPr>
  </w:style>
  <w:style w:type="paragraph" w:customStyle="1" w:styleId="2030">
    <w:name w:val="Char4 Char Char Char Char Char Char2"/>
    <w:basedOn w:val="1"/>
    <w:autoRedefine/>
    <w:qFormat/>
    <w:uiPriority w:val="39"/>
    <w:rPr>
      <w:sz w:val="24"/>
    </w:rPr>
  </w:style>
  <w:style w:type="paragraph" w:customStyle="1" w:styleId="2031">
    <w:name w:val="默认段落字体 Para Char Char Char Char Char Char Char"/>
    <w:basedOn w:val="1"/>
    <w:autoRedefine/>
    <w:qFormat/>
    <w:uiPriority w:val="99"/>
    <w:rPr>
      <w:sz w:val="24"/>
    </w:rPr>
  </w:style>
  <w:style w:type="paragraph" w:customStyle="1" w:styleId="2032">
    <w:name w:val="heading"/>
    <w:basedOn w:val="1"/>
    <w:next w:val="1"/>
    <w:autoRedefine/>
    <w:qFormat/>
    <w:uiPriority w:val="99"/>
    <w:pPr>
      <w:keepNext/>
      <w:keepLines/>
      <w:tabs>
        <w:tab w:val="left" w:pos="576"/>
      </w:tabs>
      <w:spacing w:line="360" w:lineRule="auto"/>
      <w:ind w:left="576" w:hanging="576"/>
      <w:outlineLvl w:val="1"/>
    </w:pPr>
    <w:rPr>
      <w:rFonts w:ascii="宋体" w:hAnsi="Arial Black"/>
      <w:sz w:val="24"/>
      <w:szCs w:val="20"/>
    </w:rPr>
  </w:style>
  <w:style w:type="paragraph" w:customStyle="1" w:styleId="2033">
    <w:name w:val="13"/>
    <w:basedOn w:val="1"/>
    <w:next w:val="35"/>
    <w:autoRedefine/>
    <w:qFormat/>
    <w:uiPriority w:val="0"/>
    <w:pPr>
      <w:spacing w:line="500" w:lineRule="exact"/>
      <w:ind w:firstLine="560" w:firstLineChars="200"/>
    </w:pPr>
    <w:rPr>
      <w:rFonts w:ascii="仿宋_GB2312" w:eastAsia="仿宋_GB2312"/>
      <w:color w:val="FF0000"/>
      <w:sz w:val="28"/>
      <w:szCs w:val="20"/>
    </w:rPr>
  </w:style>
  <w:style w:type="paragraph" w:customStyle="1" w:styleId="2034">
    <w:name w:val="样式 正文缩进 + 宋体 黑色 首行缩进:  2 字符11"/>
    <w:basedOn w:val="9"/>
    <w:autoRedefine/>
    <w:qFormat/>
    <w:uiPriority w:val="0"/>
    <w:pPr>
      <w:spacing w:line="360" w:lineRule="auto"/>
      <w:ind w:firstLine="480"/>
      <w:jc w:val="left"/>
    </w:pPr>
    <w:rPr>
      <w:rFonts w:ascii="宋体" w:hAnsi="宋体" w:cs="宋体"/>
      <w:color w:val="FF00FF"/>
      <w:kern w:val="0"/>
      <w:sz w:val="24"/>
      <w:szCs w:val="20"/>
      <w:lang w:val="en-US"/>
    </w:rPr>
  </w:style>
  <w:style w:type="paragraph" w:customStyle="1" w:styleId="2035">
    <w:name w:val="cdb"/>
    <w:basedOn w:val="1"/>
    <w:autoRedefine/>
    <w:qFormat/>
    <w:uiPriority w:val="99"/>
    <w:pPr>
      <w:spacing w:before="120"/>
      <w:ind w:left="851" w:firstLine="482"/>
    </w:pPr>
    <w:rPr>
      <w:szCs w:val="20"/>
    </w:rPr>
  </w:style>
  <w:style w:type="paragraph" w:customStyle="1" w:styleId="2036">
    <w:name w:val="样式 标题 4无效格式无效格式1河石管道4H4H41小小节河石管道41H42H411小小节1河石管道42...112"/>
    <w:basedOn w:val="6"/>
    <w:autoRedefine/>
    <w:qFormat/>
    <w:uiPriority w:val="0"/>
    <w:pPr>
      <w:adjustRightInd w:val="0"/>
      <w:snapToGrid w:val="0"/>
      <w:spacing w:before="0" w:after="0" w:line="360" w:lineRule="auto"/>
      <w:ind w:left="664" w:hanging="864"/>
      <w:jc w:val="left"/>
    </w:pPr>
    <w:rPr>
      <w:rFonts w:ascii="黑体" w:cs="宋体"/>
      <w:b w:val="0"/>
      <w:bCs w:val="0"/>
      <w:sz w:val="24"/>
      <w:szCs w:val="20"/>
    </w:rPr>
  </w:style>
  <w:style w:type="paragraph" w:customStyle="1" w:styleId="2037">
    <w:name w:val="小4黑居中行1"/>
    <w:autoRedefine/>
    <w:qFormat/>
    <w:uiPriority w:val="0"/>
    <w:pPr>
      <w:spacing w:line="360" w:lineRule="auto"/>
      <w:jc w:val="center"/>
    </w:pPr>
    <w:rPr>
      <w:rFonts w:ascii="Times New Roman" w:hAnsi="Times New Roman" w:eastAsia="宋体" w:cs="Times New Roman"/>
      <w:kern w:val="2"/>
      <w:sz w:val="21"/>
      <w:lang w:val="en-US" w:eastAsia="zh-CN" w:bidi="ar-SA"/>
    </w:rPr>
  </w:style>
  <w:style w:type="paragraph" w:customStyle="1" w:styleId="2038">
    <w:name w:val="表中文字1"/>
    <w:autoRedefine/>
    <w:qFormat/>
    <w:uiPriority w:val="0"/>
    <w:pPr>
      <w:widowControl w:val="0"/>
      <w:adjustRightInd w:val="0"/>
      <w:snapToGrid w:val="0"/>
      <w:jc w:val="center"/>
    </w:pPr>
    <w:rPr>
      <w:rFonts w:ascii="仿宋_GB2312" w:hAnsi="Times New Roman" w:eastAsia="仿宋_GB2312" w:cs="Times New Roman"/>
      <w:kern w:val="2"/>
      <w:sz w:val="24"/>
      <w:lang w:val="en-US" w:eastAsia="zh-CN" w:bidi="ar-SA"/>
    </w:rPr>
  </w:style>
  <w:style w:type="paragraph" w:customStyle="1" w:styleId="2039">
    <w:name w:val="表内宋5中1"/>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2040">
    <w:name w:val="淮安正文样式 小四 行距: 1.5 倍行距 首行缩进:  2 字符"/>
    <w:basedOn w:val="1"/>
    <w:autoRedefine/>
    <w:qFormat/>
    <w:uiPriority w:val="99"/>
    <w:pPr>
      <w:adjustRightInd w:val="0"/>
      <w:snapToGrid w:val="0"/>
      <w:spacing w:line="500" w:lineRule="exact"/>
      <w:ind w:firstLine="560" w:firstLineChars="200"/>
    </w:pPr>
    <w:rPr>
      <w:rFonts w:ascii="仿宋_GB2312" w:eastAsia="仿宋_GB2312"/>
      <w:snapToGrid w:val="0"/>
      <w:kern w:val="0"/>
      <w:sz w:val="28"/>
      <w:szCs w:val="28"/>
    </w:rPr>
  </w:style>
  <w:style w:type="paragraph" w:customStyle="1" w:styleId="2041">
    <w:name w:val="Char1 Char Char Char"/>
    <w:basedOn w:val="1"/>
    <w:autoRedefine/>
    <w:qFormat/>
    <w:uiPriority w:val="0"/>
  </w:style>
  <w:style w:type="paragraph" w:customStyle="1" w:styleId="2042">
    <w:name w:val="xl174"/>
    <w:basedOn w:val="1"/>
    <w:autoRedefine/>
    <w:qFormat/>
    <w:uiPriority w:val="99"/>
    <w:pPr>
      <w:widowControl/>
      <w:spacing w:before="100" w:beforeAutospacing="1" w:after="100" w:afterAutospacing="1"/>
      <w:jc w:val="center"/>
    </w:pPr>
    <w:rPr>
      <w:rFonts w:ascii="Arial Unicode MS" w:hAnsi="Arial Unicode MS"/>
      <w:kern w:val="0"/>
      <w:sz w:val="16"/>
      <w:szCs w:val="16"/>
    </w:rPr>
  </w:style>
  <w:style w:type="paragraph" w:customStyle="1" w:styleId="2043">
    <w:name w:val="p0"/>
    <w:basedOn w:val="1"/>
    <w:autoRedefine/>
    <w:qFormat/>
    <w:uiPriority w:val="0"/>
    <w:pPr>
      <w:widowControl/>
    </w:pPr>
    <w:rPr>
      <w:kern w:val="0"/>
      <w:szCs w:val="21"/>
    </w:rPr>
  </w:style>
  <w:style w:type="paragraph" w:customStyle="1" w:styleId="2044">
    <w:name w:val="样式 首行缩进:  2 字符"/>
    <w:basedOn w:val="1"/>
    <w:autoRedefine/>
    <w:qFormat/>
    <w:uiPriority w:val="0"/>
    <w:pPr>
      <w:tabs>
        <w:tab w:val="left" w:pos="0"/>
      </w:tabs>
      <w:spacing w:line="560" w:lineRule="exact"/>
      <w:ind w:firstLine="560" w:firstLineChars="200"/>
    </w:pPr>
    <w:rPr>
      <w:rFonts w:hAnsi="宋体" w:eastAsia="仿宋_GB2312"/>
      <w:spacing w:val="12"/>
      <w:sz w:val="28"/>
      <w:szCs w:val="20"/>
    </w:rPr>
  </w:style>
  <w:style w:type="paragraph" w:customStyle="1" w:styleId="2045">
    <w:name w:val="样式42"/>
    <w:basedOn w:val="34"/>
    <w:autoRedefine/>
    <w:qFormat/>
    <w:uiPriority w:val="0"/>
    <w:pPr>
      <w:widowControl w:val="0"/>
      <w:tabs>
        <w:tab w:val="left" w:pos="1820"/>
      </w:tabs>
      <w:spacing w:before="0" w:after="0" w:line="240" w:lineRule="atLeast"/>
      <w:ind w:right="0"/>
      <w:jc w:val="center"/>
    </w:pPr>
    <w:rPr>
      <w:rFonts w:eastAsia="幼圆"/>
      <w:sz w:val="20"/>
      <w:lang w:val="en-US"/>
    </w:rPr>
  </w:style>
  <w:style w:type="paragraph" w:customStyle="1" w:styleId="2046">
    <w:name w:val="默认段落字体 Para Char Char Char Char Char Char Char Char Char Char"/>
    <w:basedOn w:val="1"/>
    <w:autoRedefine/>
    <w:qFormat/>
    <w:uiPriority w:val="0"/>
    <w:rPr>
      <w:sz w:val="24"/>
      <w:szCs w:val="20"/>
    </w:rPr>
  </w:style>
  <w:style w:type="paragraph" w:customStyle="1" w:styleId="2047">
    <w:name w:val="默认段落字体 Para Char Char Char1 Char Char Char Char Char Char Char Char Char Char"/>
    <w:basedOn w:val="1"/>
    <w:autoRedefine/>
    <w:qFormat/>
    <w:uiPriority w:val="99"/>
    <w:rPr>
      <w:sz w:val="28"/>
    </w:rPr>
  </w:style>
  <w:style w:type="paragraph" w:customStyle="1" w:styleId="2048">
    <w:name w:val="Char Char Char Char Char Char Char Char Char1 Char Char Char Char Char Char1 Char3"/>
    <w:basedOn w:val="1"/>
    <w:autoRedefine/>
    <w:qFormat/>
    <w:uiPriority w:val="39"/>
    <w:rPr>
      <w:szCs w:val="21"/>
    </w:rPr>
  </w:style>
  <w:style w:type="paragraph" w:customStyle="1" w:styleId="2049">
    <w:name w:val="黑体三号3"/>
    <w:basedOn w:val="416"/>
    <w:autoRedefine/>
    <w:qFormat/>
    <w:uiPriority w:val="0"/>
    <w:pPr>
      <w:jc w:val="center"/>
    </w:pPr>
    <w:rPr>
      <w:rFonts w:ascii="黑体" w:hAnsi="宋体" w:eastAsia="黑体" w:cs="宋体"/>
      <w:bCs/>
      <w:spacing w:val="0"/>
      <w:sz w:val="32"/>
    </w:rPr>
  </w:style>
  <w:style w:type="paragraph" w:customStyle="1" w:styleId="2050">
    <w:name w:val="样式5555"/>
    <w:basedOn w:val="1"/>
    <w:autoRedefine/>
    <w:qFormat/>
    <w:uiPriority w:val="99"/>
    <w:pPr>
      <w:tabs>
        <w:tab w:val="left" w:pos="0"/>
      </w:tabs>
      <w:ind w:left="1680" w:hanging="420"/>
    </w:pPr>
    <w:rPr>
      <w:rFonts w:ascii="宋体" w:hAnsi="PMingLiU"/>
      <w:sz w:val="24"/>
    </w:rPr>
  </w:style>
  <w:style w:type="paragraph" w:customStyle="1" w:styleId="2051">
    <w:name w:val="TOC 标题2"/>
    <w:basedOn w:val="3"/>
    <w:next w:val="1"/>
    <w:autoRedefine/>
    <w:qFormat/>
    <w:uiPriority w:val="39"/>
    <w:pPr>
      <w:keepLines/>
      <w:tabs>
        <w:tab w:val="left" w:pos="360"/>
      </w:tabs>
      <w:overflowPunct/>
      <w:snapToGrid/>
      <w:spacing w:before="340" w:after="330" w:line="578" w:lineRule="auto"/>
      <w:ind w:left="0" w:firstLine="0"/>
      <w:outlineLvl w:val="9"/>
    </w:pPr>
    <w:rPr>
      <w:rFonts w:ascii="Calibri" w:hAnsi="Calibri" w:eastAsia="宋体"/>
      <w:color w:val="auto"/>
      <w:sz w:val="44"/>
      <w:szCs w:val="44"/>
    </w:rPr>
  </w:style>
  <w:style w:type="paragraph" w:customStyle="1" w:styleId="2052">
    <w:name w:val="msolistparagraph"/>
    <w:basedOn w:val="1"/>
    <w:autoRedefine/>
    <w:qFormat/>
    <w:uiPriority w:val="39"/>
    <w:pPr>
      <w:widowControl/>
      <w:spacing w:before="100" w:beforeAutospacing="1" w:after="100" w:afterAutospacing="1"/>
      <w:jc w:val="left"/>
    </w:pPr>
    <w:rPr>
      <w:rFonts w:ascii="宋体" w:hAnsi="宋体" w:cs="宋体"/>
      <w:kern w:val="0"/>
      <w:sz w:val="24"/>
    </w:rPr>
  </w:style>
  <w:style w:type="paragraph" w:customStyle="1" w:styleId="2053">
    <w:name w:val="表题31112"/>
    <w:basedOn w:val="35"/>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2054">
    <w:name w:val="默认段落字体 Para Char Char Char Char53"/>
    <w:basedOn w:val="1"/>
    <w:autoRedefine/>
    <w:qFormat/>
    <w:uiPriority w:val="0"/>
  </w:style>
  <w:style w:type="paragraph" w:customStyle="1" w:styleId="2055">
    <w:name w:val="wj12"/>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2056">
    <w:name w:val="黑体三号22"/>
    <w:basedOn w:val="416"/>
    <w:autoRedefine/>
    <w:qFormat/>
    <w:uiPriority w:val="0"/>
    <w:pPr>
      <w:jc w:val="center"/>
    </w:pPr>
    <w:rPr>
      <w:rFonts w:ascii="黑体" w:hAnsi="宋体" w:eastAsia="黑体" w:cs="宋体"/>
      <w:bCs/>
      <w:spacing w:val="0"/>
      <w:sz w:val="32"/>
    </w:rPr>
  </w:style>
  <w:style w:type="paragraph" w:customStyle="1" w:styleId="2057">
    <w:name w:val="正文.1"/>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058">
    <w:name w:val="Char Char Char1 Char Char Char Char Char Char Char Char Char Char Char Char Char Char Char1 Char Char Char Char Char Char Char Char Char Char Char Char Char Char Char Char Char Char Char Char Char Char Char Char Char Char Char2"/>
    <w:basedOn w:val="1"/>
    <w:autoRedefine/>
    <w:qFormat/>
    <w:uiPriority w:val="39"/>
    <w:pPr>
      <w:spacing w:line="240" w:lineRule="exact"/>
      <w:ind w:firstLine="200" w:firstLineChars="200"/>
    </w:pPr>
    <w:rPr>
      <w:sz w:val="28"/>
      <w:szCs w:val="28"/>
    </w:rPr>
  </w:style>
  <w:style w:type="paragraph" w:customStyle="1" w:styleId="2059">
    <w:name w:val="Char Char Char2 Char"/>
    <w:basedOn w:val="1"/>
    <w:autoRedefine/>
    <w:qFormat/>
    <w:uiPriority w:val="99"/>
    <w:pPr>
      <w:tabs>
        <w:tab w:val="left" w:pos="360"/>
      </w:tabs>
    </w:pPr>
  </w:style>
  <w:style w:type="paragraph" w:customStyle="1" w:styleId="2060">
    <w:name w:val="已访问的超级链接"/>
    <w:autoRedefine/>
    <w:unhideWhenUsed/>
    <w:qFormat/>
    <w:uiPriority w:val="99"/>
    <w:rPr>
      <w:rFonts w:ascii="宋体" w:hAnsi="宋体" w:eastAsia="宋体" w:cs="Times New Roman"/>
      <w:kern w:val="2"/>
      <w:sz w:val="24"/>
      <w:szCs w:val="24"/>
      <w:lang w:val="en-US" w:eastAsia="zh-CN" w:bidi="ar-SA"/>
    </w:rPr>
  </w:style>
  <w:style w:type="paragraph" w:customStyle="1" w:styleId="2061">
    <w:name w:val="CM42"/>
    <w:basedOn w:val="107"/>
    <w:next w:val="107"/>
    <w:autoRedefine/>
    <w:qFormat/>
    <w:uiPriority w:val="39"/>
    <w:pPr>
      <w:spacing w:line="240" w:lineRule="auto"/>
    </w:pPr>
    <w:rPr>
      <w:rFonts w:ascii="楷体_GB2312" w:hAnsi="Times New Roman" w:eastAsia="楷体_GB2312" w:cs="Times New Roman"/>
      <w:color w:val="auto"/>
    </w:rPr>
  </w:style>
  <w:style w:type="paragraph" w:customStyle="1" w:styleId="2062">
    <w:name w:val="Char Char Char1 Char Char Char Char Char Char3"/>
    <w:basedOn w:val="1"/>
    <w:autoRedefine/>
    <w:qFormat/>
    <w:uiPriority w:val="39"/>
    <w:rPr>
      <w:szCs w:val="21"/>
    </w:rPr>
  </w:style>
  <w:style w:type="paragraph" w:customStyle="1" w:styleId="2063">
    <w:name w:val="Plain Text2"/>
    <w:basedOn w:val="1"/>
    <w:autoRedefine/>
    <w:qFormat/>
    <w:uiPriority w:val="0"/>
    <w:pPr>
      <w:autoSpaceDE w:val="0"/>
      <w:autoSpaceDN w:val="0"/>
      <w:adjustRightInd w:val="0"/>
      <w:textAlignment w:val="baseline"/>
    </w:pPr>
    <w:rPr>
      <w:rFonts w:ascii="宋体" w:hAnsi="Tms Rmn"/>
      <w:kern w:val="0"/>
      <w:szCs w:val="20"/>
    </w:rPr>
  </w:style>
  <w:style w:type="paragraph" w:customStyle="1" w:styleId="2064">
    <w:name w:val="Char Char Char1 Char Char Char Char Char Char Char Char Char2"/>
    <w:basedOn w:val="1"/>
    <w:autoRedefine/>
    <w:qFormat/>
    <w:uiPriority w:val="39"/>
    <w:rPr>
      <w:szCs w:val="21"/>
    </w:rPr>
  </w:style>
  <w:style w:type="paragraph" w:customStyle="1" w:styleId="2065">
    <w:name w:val="正文标准样式"/>
    <w:basedOn w:val="1"/>
    <w:autoRedefine/>
    <w:qFormat/>
    <w:uiPriority w:val="99"/>
    <w:pPr>
      <w:adjustRightInd w:val="0"/>
      <w:spacing w:line="300" w:lineRule="auto"/>
      <w:ind w:firstLine="482"/>
      <w:textAlignment w:val="baseline"/>
    </w:pPr>
    <w:rPr>
      <w:kern w:val="0"/>
      <w:sz w:val="24"/>
      <w:szCs w:val="20"/>
    </w:rPr>
  </w:style>
  <w:style w:type="paragraph" w:customStyle="1" w:styleId="2066">
    <w:name w:val="正文格式＝62"/>
    <w:basedOn w:val="416"/>
    <w:next w:val="416"/>
    <w:autoRedefine/>
    <w:qFormat/>
    <w:uiPriority w:val="0"/>
    <w:rPr>
      <w:rFonts w:ascii="宋体" w:hAnsi="宋体"/>
      <w:b w:val="0"/>
      <w:spacing w:val="0"/>
      <w:sz w:val="24"/>
      <w:szCs w:val="24"/>
    </w:rPr>
  </w:style>
  <w:style w:type="paragraph" w:customStyle="1" w:styleId="2067">
    <w:name w:val="Char3"/>
    <w:basedOn w:val="1"/>
    <w:autoRedefine/>
    <w:qFormat/>
    <w:uiPriority w:val="0"/>
    <w:rPr>
      <w:sz w:val="24"/>
    </w:rPr>
  </w:style>
  <w:style w:type="paragraph" w:customStyle="1" w:styleId="2068">
    <w:name w:val="Char4 Char Char Char Char Char Char Char Char Char Char Char Char Char Char Char Char Char1 Char Char Char Char2"/>
    <w:basedOn w:val="1"/>
    <w:autoRedefine/>
    <w:qFormat/>
    <w:uiPriority w:val="39"/>
    <w:pPr>
      <w:spacing w:line="240" w:lineRule="exact"/>
      <w:ind w:firstLine="200" w:firstLineChars="200"/>
    </w:pPr>
    <w:rPr>
      <w:sz w:val="28"/>
      <w:szCs w:val="28"/>
    </w:rPr>
  </w:style>
  <w:style w:type="paragraph" w:customStyle="1" w:styleId="2069">
    <w:name w:val="表内文字小84"/>
    <w:basedOn w:val="1"/>
    <w:autoRedefine/>
    <w:qFormat/>
    <w:uiPriority w:val="0"/>
    <w:pPr>
      <w:adjustRightInd w:val="0"/>
      <w:snapToGrid w:val="0"/>
      <w:jc w:val="center"/>
    </w:pPr>
    <w:rPr>
      <w:rFonts w:ascii="宋体" w:hAnsi="Times" w:cs="宋体"/>
      <w:szCs w:val="20"/>
    </w:rPr>
  </w:style>
  <w:style w:type="paragraph" w:customStyle="1" w:styleId="2070">
    <w:name w:val="附件22"/>
    <w:basedOn w:val="3"/>
    <w:next w:val="416"/>
    <w:autoRedefine/>
    <w:qFormat/>
    <w:uiPriority w:val="0"/>
    <w:pPr>
      <w:keepLines/>
      <w:tabs>
        <w:tab w:val="left" w:pos="1566"/>
      </w:tabs>
      <w:overflowPunct/>
      <w:snapToGrid/>
      <w:spacing w:before="0" w:after="210" w:line="360" w:lineRule="auto"/>
      <w:ind w:left="0" w:firstLine="0"/>
      <w:jc w:val="left"/>
    </w:pPr>
    <w:rPr>
      <w:rFonts w:ascii="黑体" w:hAnsi="宋体"/>
      <w:b w:val="0"/>
      <w:color w:val="auto"/>
      <w:sz w:val="32"/>
      <w:szCs w:val="32"/>
    </w:rPr>
  </w:style>
  <w:style w:type="paragraph" w:customStyle="1" w:styleId="2071">
    <w:name w:val="燕山正文1134"/>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2072">
    <w:name w:val="正文(黑体)"/>
    <w:basedOn w:val="1"/>
    <w:autoRedefine/>
    <w:qFormat/>
    <w:uiPriority w:val="99"/>
    <w:pPr>
      <w:autoSpaceDE w:val="0"/>
      <w:autoSpaceDN w:val="0"/>
      <w:adjustRightInd w:val="0"/>
      <w:spacing w:line="288" w:lineRule="auto"/>
      <w:ind w:firstLine="482"/>
      <w:textAlignment w:val="baseline"/>
    </w:pPr>
    <w:rPr>
      <w:rFonts w:ascii="黑体"/>
      <w:kern w:val="0"/>
      <w:sz w:val="24"/>
      <w:szCs w:val="20"/>
    </w:rPr>
  </w:style>
  <w:style w:type="paragraph" w:customStyle="1" w:styleId="2073">
    <w:name w:val="Char114"/>
    <w:basedOn w:val="1"/>
    <w:autoRedefine/>
    <w:qFormat/>
    <w:uiPriority w:val="0"/>
    <w:pPr>
      <w:ind w:left="-48"/>
    </w:pPr>
  </w:style>
  <w:style w:type="paragraph" w:customStyle="1" w:styleId="2074">
    <w:name w:val="xl25"/>
    <w:basedOn w:val="1"/>
    <w:autoRedefine/>
    <w:qFormat/>
    <w:uiPriority w:val="0"/>
    <w:pPr>
      <w:widowControl/>
      <w:pBdr>
        <w:bottom w:val="single" w:color="auto" w:sz="4" w:space="0"/>
        <w:right w:val="single" w:color="auto" w:sz="4" w:space="0"/>
      </w:pBdr>
      <w:spacing w:before="100" w:beforeAutospacing="1" w:after="100" w:afterAutospacing="1"/>
      <w:jc w:val="center"/>
    </w:pPr>
    <w:rPr>
      <w:rFonts w:eastAsia="Arial Unicode MS"/>
      <w:snapToGrid w:val="0"/>
      <w:kern w:val="0"/>
      <w:szCs w:val="21"/>
    </w:rPr>
  </w:style>
  <w:style w:type="paragraph" w:customStyle="1" w:styleId="2075">
    <w:name w:val="Char Char Char Char Char Char Char Char Char Char Char Char Char Char Char Char Char Char Char Char Char Char Char Char Char Char Char Char Char Char Char Char Char Char Char Char Char Char Char Char2"/>
    <w:basedOn w:val="1"/>
    <w:autoRedefine/>
    <w:qFormat/>
    <w:uiPriority w:val="39"/>
    <w:rPr>
      <w:sz w:val="24"/>
    </w:rPr>
  </w:style>
  <w:style w:type="paragraph" w:customStyle="1" w:styleId="2076">
    <w:name w:val="23-47表名4"/>
    <w:basedOn w:val="1"/>
    <w:autoRedefine/>
    <w:qFormat/>
    <w:uiPriority w:val="0"/>
    <w:pPr>
      <w:spacing w:afterLines="50" w:line="440" w:lineRule="exact"/>
      <w:jc w:val="center"/>
    </w:pPr>
    <w:rPr>
      <w:rFonts w:ascii="宋体" w:hAnsi="宋体"/>
      <w:b/>
      <w:sz w:val="24"/>
    </w:rPr>
  </w:style>
  <w:style w:type="paragraph" w:customStyle="1" w:styleId="2077">
    <w:name w:val="Plain Text1"/>
    <w:basedOn w:val="1"/>
    <w:autoRedefine/>
    <w:qFormat/>
    <w:uiPriority w:val="0"/>
    <w:pPr>
      <w:autoSpaceDE w:val="0"/>
      <w:autoSpaceDN w:val="0"/>
      <w:adjustRightInd w:val="0"/>
      <w:textAlignment w:val="baseline"/>
    </w:pPr>
    <w:rPr>
      <w:rFonts w:ascii="宋体" w:hAnsi="Tms Rmn"/>
      <w:kern w:val="0"/>
      <w:szCs w:val="20"/>
    </w:rPr>
  </w:style>
  <w:style w:type="paragraph" w:customStyle="1" w:styleId="2078">
    <w:name w:val="Char Char Char1 Char Char2"/>
    <w:basedOn w:val="1"/>
    <w:autoRedefine/>
    <w:qFormat/>
    <w:uiPriority w:val="39"/>
    <w:rPr>
      <w:rFonts w:ascii="黑体" w:hAnsi="黑体" w:eastAsia="黑体"/>
      <w:b/>
      <w:spacing w:val="10"/>
      <w:sz w:val="28"/>
      <w:szCs w:val="20"/>
    </w:rPr>
  </w:style>
  <w:style w:type="paragraph" w:customStyle="1" w:styleId="2079">
    <w:name w:val="正文修改1"/>
    <w:basedOn w:val="192"/>
    <w:autoRedefine/>
    <w:qFormat/>
    <w:uiPriority w:val="0"/>
    <w:rPr>
      <w:rFonts w:hAnsi="宋体"/>
      <w:color w:val="000000"/>
    </w:rPr>
  </w:style>
  <w:style w:type="paragraph" w:customStyle="1" w:styleId="2080">
    <w:name w:val="font12"/>
    <w:basedOn w:val="1"/>
    <w:autoRedefine/>
    <w:qFormat/>
    <w:uiPriority w:val="0"/>
    <w:pPr>
      <w:widowControl/>
      <w:spacing w:before="100" w:beforeAutospacing="1" w:after="100" w:afterAutospacing="1"/>
      <w:jc w:val="left"/>
    </w:pPr>
    <w:rPr>
      <w:rFonts w:hint="eastAsia" w:ascii="楷体_GB2312" w:hAnsi="Arial Unicode MS" w:eastAsia="楷体_GB2312" w:cs="Arial Unicode MS"/>
      <w:kern w:val="0"/>
      <w:sz w:val="16"/>
      <w:szCs w:val="16"/>
    </w:rPr>
  </w:style>
  <w:style w:type="paragraph" w:customStyle="1" w:styleId="2081">
    <w:name w:val="Char Char Char Char Char Char Char Char1 Char Char Char Char Char Char Char Char Char Char Char Char1 Char"/>
    <w:basedOn w:val="1"/>
    <w:autoRedefine/>
    <w:qFormat/>
    <w:uiPriority w:val="99"/>
    <w:rPr>
      <w:sz w:val="24"/>
      <w:szCs w:val="20"/>
    </w:rPr>
  </w:style>
  <w:style w:type="paragraph" w:customStyle="1" w:styleId="2082">
    <w:name w:val="普通 (Web)1"/>
    <w:basedOn w:val="1"/>
    <w:autoRedefine/>
    <w:qFormat/>
    <w:uiPriority w:val="99"/>
    <w:pPr>
      <w:widowControl/>
      <w:spacing w:before="100" w:beforeAutospacing="1" w:after="100" w:afterAutospacing="1" w:line="400" w:lineRule="atLeast"/>
      <w:ind w:firstLine="480"/>
      <w:jc w:val="left"/>
    </w:pPr>
    <w:rPr>
      <w:rFonts w:ascii="Arial Unicode MS" w:hAnsi="Arial Unicode MS" w:eastAsia="Arial Unicode MS" w:cs="Arial Unicode MS"/>
      <w:kern w:val="0"/>
      <w:sz w:val="24"/>
    </w:rPr>
  </w:style>
  <w:style w:type="paragraph" w:customStyle="1" w:styleId="2083">
    <w:name w:val="xl28"/>
    <w:basedOn w:val="1"/>
    <w:autoRedefine/>
    <w:qFormat/>
    <w:uiPriority w:val="0"/>
    <w:pPr>
      <w:widowControl/>
      <w:pBdr>
        <w:bottom w:val="single" w:color="auto" w:sz="4" w:space="0"/>
        <w:right w:val="single" w:color="auto" w:sz="4" w:space="0"/>
      </w:pBdr>
      <w:spacing w:before="100" w:beforeAutospacing="1" w:after="100" w:afterAutospacing="1"/>
      <w:jc w:val="center"/>
    </w:pPr>
    <w:rPr>
      <w:rFonts w:eastAsia="Arial Unicode MS"/>
      <w:color w:val="000000"/>
      <w:kern w:val="0"/>
      <w:szCs w:val="21"/>
    </w:rPr>
  </w:style>
  <w:style w:type="paragraph" w:customStyle="1" w:styleId="2084">
    <w:name w:val="CM105"/>
    <w:basedOn w:val="107"/>
    <w:next w:val="107"/>
    <w:autoRedefine/>
    <w:qFormat/>
    <w:uiPriority w:val="99"/>
    <w:pPr>
      <w:spacing w:after="125" w:line="240" w:lineRule="auto"/>
    </w:pPr>
    <w:rPr>
      <w:rFonts w:ascii="楷体_GB2312" w:hAnsi="Times New Roman" w:eastAsia="楷体_GB2312" w:cs="Times New Roman"/>
      <w:color w:val="auto"/>
    </w:rPr>
  </w:style>
  <w:style w:type="paragraph" w:customStyle="1" w:styleId="2085">
    <w:name w:val="燕山正文34"/>
    <w:basedOn w:val="1"/>
    <w:autoRedefine/>
    <w:qFormat/>
    <w:uiPriority w:val="0"/>
    <w:pPr>
      <w:tabs>
        <w:tab w:val="left" w:pos="4680"/>
      </w:tabs>
      <w:adjustRightInd w:val="0"/>
      <w:snapToGrid w:val="0"/>
      <w:spacing w:line="480" w:lineRule="exact"/>
    </w:pPr>
    <w:rPr>
      <w:rFonts w:ascii="宋体" w:cs="宋体"/>
      <w:sz w:val="24"/>
    </w:rPr>
  </w:style>
  <w:style w:type="paragraph" w:customStyle="1" w:styleId="2086">
    <w:name w:val="Char171"/>
    <w:basedOn w:val="1"/>
    <w:autoRedefine/>
    <w:qFormat/>
    <w:uiPriority w:val="0"/>
    <w:pPr>
      <w:ind w:left="-48"/>
    </w:pPr>
  </w:style>
  <w:style w:type="paragraph" w:customStyle="1" w:styleId="2087">
    <w:name w:val="Char142"/>
    <w:basedOn w:val="1"/>
    <w:autoRedefine/>
    <w:qFormat/>
    <w:uiPriority w:val="0"/>
    <w:pPr>
      <w:ind w:left="-48"/>
    </w:pPr>
  </w:style>
  <w:style w:type="paragraph" w:customStyle="1" w:styleId="2088">
    <w:name w:val="正文格式212"/>
    <w:basedOn w:val="1"/>
    <w:autoRedefine/>
    <w:qFormat/>
    <w:uiPriority w:val="0"/>
    <w:pPr>
      <w:spacing w:line="360" w:lineRule="auto"/>
      <w:ind w:firstLine="482"/>
    </w:pPr>
    <w:rPr>
      <w:rFonts w:ascii="宋体" w:hAnsi="宋体"/>
      <w:sz w:val="24"/>
    </w:rPr>
  </w:style>
  <w:style w:type="paragraph" w:customStyle="1" w:styleId="2089">
    <w:name w:val="默认段落字体 Para Char Char Char Char Char Char Char Char Char Char Char Char Char1"/>
    <w:basedOn w:val="1"/>
    <w:autoRedefine/>
    <w:qFormat/>
    <w:uiPriority w:val="99"/>
    <w:rPr>
      <w:sz w:val="24"/>
      <w:szCs w:val="20"/>
    </w:rPr>
  </w:style>
  <w:style w:type="paragraph" w:customStyle="1" w:styleId="2090">
    <w:name w:val="样式 标题 2节 + 宋体 左"/>
    <w:basedOn w:val="4"/>
    <w:autoRedefine/>
    <w:qFormat/>
    <w:uiPriority w:val="0"/>
    <w:pPr>
      <w:tabs>
        <w:tab w:val="left" w:pos="567"/>
      </w:tabs>
      <w:spacing w:before="0" w:after="0" w:line="360" w:lineRule="auto"/>
      <w:ind w:left="567" w:hanging="567"/>
      <w:jc w:val="left"/>
    </w:pPr>
    <w:rPr>
      <w:rFonts w:ascii="宋体" w:hAnsi="宋体" w:cs="宋体"/>
      <w:sz w:val="28"/>
      <w:szCs w:val="24"/>
    </w:rPr>
  </w:style>
  <w:style w:type="paragraph" w:customStyle="1" w:styleId="2091">
    <w:name w:val="zw"/>
    <w:basedOn w:val="1"/>
    <w:autoRedefine/>
    <w:qFormat/>
    <w:uiPriority w:val="0"/>
    <w:pPr>
      <w:widowControl/>
      <w:spacing w:before="100" w:beforeAutospacing="1" w:after="100" w:afterAutospacing="1" w:line="330" w:lineRule="atLeast"/>
      <w:jc w:val="left"/>
    </w:pPr>
    <w:rPr>
      <w:rFonts w:ascii="Arial" w:hAnsi="Arial" w:eastAsia="Arial Unicode MS" w:cs="Arial"/>
      <w:color w:val="333333"/>
      <w:kern w:val="0"/>
      <w:sz w:val="18"/>
      <w:szCs w:val="18"/>
    </w:rPr>
  </w:style>
  <w:style w:type="paragraph" w:customStyle="1" w:styleId="2092">
    <w:name w:val="Char Char Char Char Char Char Char Char Char Char Char Char Char Char Char Char Char Char Char Char Char Char Char Char Char Char Char Char Char Char Char Char Char Char Char Char Char2"/>
    <w:basedOn w:val="1"/>
    <w:autoRedefine/>
    <w:qFormat/>
    <w:uiPriority w:val="39"/>
    <w:rPr>
      <w:sz w:val="24"/>
    </w:rPr>
  </w:style>
  <w:style w:type="paragraph" w:customStyle="1" w:styleId="2093">
    <w:name w:val="样式124"/>
    <w:basedOn w:val="1604"/>
    <w:autoRedefine/>
    <w:qFormat/>
    <w:uiPriority w:val="0"/>
    <w:pPr>
      <w:spacing w:line="240" w:lineRule="auto"/>
      <w:ind w:firstLine="0"/>
      <w:jc w:val="center"/>
    </w:pPr>
    <w:rPr>
      <w:rFonts w:cs="Times New Roman"/>
      <w:b/>
      <w:color w:val="auto"/>
      <w:szCs w:val="20"/>
    </w:rPr>
  </w:style>
  <w:style w:type="paragraph" w:customStyle="1" w:styleId="2094">
    <w:name w:val="book1_1"/>
    <w:basedOn w:val="4"/>
    <w:autoRedefine/>
    <w:qFormat/>
    <w:uiPriority w:val="0"/>
  </w:style>
  <w:style w:type="paragraph" w:customStyle="1" w:styleId="2095">
    <w:name w:val="表格12"/>
    <w:basedOn w:val="1"/>
    <w:autoRedefine/>
    <w:qFormat/>
    <w:uiPriority w:val="0"/>
    <w:pPr>
      <w:adjustRightInd w:val="0"/>
      <w:jc w:val="center"/>
      <w:textAlignment w:val="baseline"/>
    </w:pPr>
    <w:rPr>
      <w:rFonts w:ascii="宋体"/>
      <w:kern w:val="0"/>
      <w:sz w:val="24"/>
      <w:szCs w:val="20"/>
    </w:rPr>
  </w:style>
  <w:style w:type="paragraph" w:customStyle="1" w:styleId="2096">
    <w:name w:val="表题311"/>
    <w:basedOn w:val="35"/>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2097">
    <w:name w:val="表题911"/>
    <w:basedOn w:val="45"/>
    <w:autoRedefine/>
    <w:qFormat/>
    <w:uiPriority w:val="0"/>
    <w:pPr>
      <w:adjustRightInd w:val="0"/>
      <w:snapToGrid w:val="0"/>
      <w:spacing w:line="300" w:lineRule="auto"/>
      <w:jc w:val="center"/>
    </w:pPr>
    <w:rPr>
      <w:rFonts w:ascii="黑体" w:eastAsia="黑体"/>
      <w:sz w:val="24"/>
      <w:szCs w:val="20"/>
    </w:rPr>
  </w:style>
  <w:style w:type="paragraph" w:customStyle="1" w:styleId="2098">
    <w:name w:val="条款"/>
    <w:basedOn w:val="1"/>
    <w:autoRedefine/>
    <w:qFormat/>
    <w:uiPriority w:val="0"/>
    <w:rPr>
      <w:szCs w:val="20"/>
    </w:rPr>
  </w:style>
  <w:style w:type="paragraph" w:customStyle="1" w:styleId="2099">
    <w:name w:val="yz"/>
    <w:basedOn w:val="34"/>
    <w:autoRedefine/>
    <w:qFormat/>
    <w:uiPriority w:val="99"/>
    <w:pPr>
      <w:widowControl w:val="0"/>
      <w:tabs>
        <w:tab w:val="left" w:pos="900"/>
      </w:tabs>
      <w:adjustRightInd w:val="0"/>
      <w:snapToGrid/>
      <w:spacing w:before="0" w:after="0" w:line="240" w:lineRule="auto"/>
      <w:ind w:right="0" w:firstLine="200" w:firstLineChars="200"/>
      <w:textAlignment w:val="baseline"/>
    </w:pPr>
    <w:rPr>
      <w:rFonts w:hint="eastAsia" w:ascii="宋体" w:hAnsi="宋体"/>
      <w:sz w:val="24"/>
      <w:lang w:val="en-US"/>
    </w:rPr>
  </w:style>
  <w:style w:type="paragraph" w:customStyle="1" w:styleId="2100">
    <w:name w:val="报告正文朱"/>
    <w:basedOn w:val="177"/>
    <w:autoRedefine/>
    <w:qFormat/>
    <w:uiPriority w:val="99"/>
    <w:pPr>
      <w:widowControl/>
      <w:adjustRightInd w:val="0"/>
      <w:snapToGrid w:val="0"/>
      <w:ind w:firstLine="480" w:firstLineChars="200"/>
    </w:pPr>
    <w:rPr>
      <w:snapToGrid w:val="0"/>
      <w:color w:val="FF0000"/>
      <w:kern w:val="0"/>
      <w:szCs w:val="20"/>
      <w:lang w:val="zh-CN"/>
    </w:rPr>
  </w:style>
  <w:style w:type="paragraph" w:customStyle="1" w:styleId="2101">
    <w:name w:val="文本框"/>
    <w:basedOn w:val="1"/>
    <w:next w:val="1"/>
    <w:autoRedefine/>
    <w:qFormat/>
    <w:uiPriority w:val="0"/>
    <w:pPr>
      <w:widowControl/>
      <w:spacing w:line="320" w:lineRule="exact"/>
      <w:ind w:firstLine="200" w:firstLineChars="200"/>
      <w:jc w:val="center"/>
    </w:pPr>
    <w:rPr>
      <w:rFonts w:ascii="仿宋_GB2312" w:eastAsia="仿宋_GB2312"/>
      <w:kern w:val="0"/>
      <w:sz w:val="24"/>
      <w:szCs w:val="20"/>
    </w:rPr>
  </w:style>
  <w:style w:type="paragraph" w:customStyle="1" w:styleId="2102">
    <w:name w:val="正文格式911"/>
    <w:basedOn w:val="1"/>
    <w:autoRedefine/>
    <w:qFormat/>
    <w:uiPriority w:val="0"/>
    <w:pPr>
      <w:spacing w:line="360" w:lineRule="auto"/>
      <w:ind w:firstLine="482"/>
    </w:pPr>
    <w:rPr>
      <w:rFonts w:ascii="宋体" w:hAnsi="宋体"/>
      <w:sz w:val="24"/>
    </w:rPr>
  </w:style>
  <w:style w:type="paragraph" w:customStyle="1" w:styleId="2103">
    <w:name w:val="样式 标题 2节 + (符号) Arial Black 小四"/>
    <w:basedOn w:val="5"/>
    <w:autoRedefine/>
    <w:qFormat/>
    <w:uiPriority w:val="0"/>
    <w:pPr>
      <w:ind w:left="720" w:hanging="432"/>
    </w:pPr>
    <w:rPr>
      <w:kern w:val="0"/>
      <w:lang w:val="en-US"/>
    </w:rPr>
  </w:style>
  <w:style w:type="paragraph" w:customStyle="1" w:styleId="2104">
    <w:name w:val="样式12"/>
    <w:basedOn w:val="1576"/>
    <w:autoRedefine/>
    <w:qFormat/>
    <w:uiPriority w:val="0"/>
    <w:pPr>
      <w:adjustRightInd w:val="0"/>
      <w:textAlignment w:val="center"/>
    </w:pPr>
    <w:rPr>
      <w:rFonts w:ascii="仿宋_GB2312" w:hAnsi="宋体" w:eastAsia="仿宋_GB2312"/>
      <w:b/>
      <w:color w:val="FF0000"/>
      <w:szCs w:val="30"/>
    </w:rPr>
  </w:style>
  <w:style w:type="paragraph" w:customStyle="1" w:styleId="2105">
    <w:name w:val="正文格式＝5"/>
    <w:basedOn w:val="416"/>
    <w:next w:val="416"/>
    <w:autoRedefine/>
    <w:qFormat/>
    <w:uiPriority w:val="0"/>
    <w:rPr>
      <w:rFonts w:ascii="宋体" w:hAnsi="宋体"/>
      <w:b w:val="0"/>
      <w:spacing w:val="0"/>
      <w:sz w:val="24"/>
      <w:szCs w:val="24"/>
    </w:rPr>
  </w:style>
  <w:style w:type="paragraph" w:customStyle="1" w:styleId="2106">
    <w:name w:val="Char Char Char Char Char Char Char51"/>
    <w:basedOn w:val="1"/>
    <w:autoRedefine/>
    <w:qFormat/>
    <w:uiPriority w:val="0"/>
  </w:style>
  <w:style w:type="paragraph" w:customStyle="1" w:styleId="2107">
    <w:name w:val="puce"/>
    <w:basedOn w:val="1"/>
    <w:autoRedefine/>
    <w:qFormat/>
    <w:uiPriority w:val="0"/>
    <w:pPr>
      <w:widowControl/>
      <w:tabs>
        <w:tab w:val="left" w:pos="1319"/>
      </w:tabs>
      <w:adjustRightInd w:val="0"/>
      <w:snapToGrid w:val="0"/>
      <w:spacing w:before="120" w:line="300" w:lineRule="auto"/>
      <w:ind w:left="1319" w:hanging="360"/>
    </w:pPr>
    <w:rPr>
      <w:rFonts w:ascii="Arial" w:hAnsi="Arial"/>
      <w:kern w:val="0"/>
      <w:sz w:val="24"/>
      <w:szCs w:val="20"/>
    </w:rPr>
  </w:style>
  <w:style w:type="paragraph" w:customStyle="1" w:styleId="2108">
    <w:name w:val="默认段落字体 Para Char24"/>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109">
    <w:name w:val="xl67"/>
    <w:basedOn w:val="1"/>
    <w:autoRedefine/>
    <w:qFormat/>
    <w:uiPriority w:val="0"/>
    <w:pPr>
      <w:widowControl/>
      <w:pBdr>
        <w:left w:val="single" w:color="auto" w:sz="4" w:space="0"/>
      </w:pBdr>
      <w:spacing w:before="100" w:beforeAutospacing="1" w:after="100" w:afterAutospacing="1"/>
      <w:jc w:val="center"/>
    </w:pPr>
    <w:rPr>
      <w:rFonts w:hint="eastAsia" w:ascii="仿宋_GB2312" w:hAnsi="宋体" w:eastAsia="仿宋_GB2312"/>
      <w:kern w:val="0"/>
      <w:sz w:val="24"/>
      <w:szCs w:val="20"/>
    </w:rPr>
  </w:style>
  <w:style w:type="paragraph" w:customStyle="1" w:styleId="2110">
    <w:name w:val="日期2"/>
    <w:basedOn w:val="1"/>
    <w:next w:val="1"/>
    <w:autoRedefine/>
    <w:qFormat/>
    <w:uiPriority w:val="99"/>
    <w:rPr>
      <w:rFonts w:eastAsia="仿宋_GB2312"/>
      <w:sz w:val="30"/>
      <w:szCs w:val="20"/>
    </w:rPr>
  </w:style>
  <w:style w:type="paragraph" w:customStyle="1" w:styleId="2111">
    <w:name w:val="Char52"/>
    <w:basedOn w:val="1"/>
    <w:autoRedefine/>
    <w:qFormat/>
    <w:uiPriority w:val="0"/>
    <w:pPr>
      <w:adjustRightInd w:val="0"/>
      <w:snapToGrid w:val="0"/>
      <w:ind w:left="-45"/>
    </w:pPr>
  </w:style>
  <w:style w:type="paragraph" w:customStyle="1" w:styleId="2112">
    <w:name w:val="目录 1 Char Char"/>
    <w:basedOn w:val="1"/>
    <w:next w:val="1"/>
    <w:autoRedefine/>
    <w:qFormat/>
    <w:uiPriority w:val="0"/>
    <w:pPr>
      <w:widowControl/>
      <w:tabs>
        <w:tab w:val="left" w:leader="dot" w:pos="8010"/>
      </w:tabs>
      <w:snapToGrid w:val="0"/>
      <w:spacing w:line="300" w:lineRule="auto"/>
      <w:jc w:val="left"/>
      <w:textAlignment w:val="baseline"/>
    </w:pPr>
    <w:rPr>
      <w:rFonts w:ascii="黑体" w:eastAsia="黑体"/>
      <w:color w:val="000000"/>
      <w:kern w:val="0"/>
      <w:sz w:val="28"/>
      <w:szCs w:val="44"/>
      <w:u w:color="000000"/>
    </w:rPr>
  </w:style>
  <w:style w:type="paragraph" w:customStyle="1" w:styleId="2113">
    <w:name w:val="表内5中"/>
    <w:basedOn w:val="1"/>
    <w:autoRedefine/>
    <w:qFormat/>
    <w:uiPriority w:val="0"/>
    <w:pPr>
      <w:adjustRightInd w:val="0"/>
      <w:snapToGrid w:val="0"/>
      <w:jc w:val="center"/>
    </w:pPr>
    <w:rPr>
      <w:rFonts w:ascii="宋体" w:hAnsi="宋体" w:cs="Arial"/>
      <w:snapToGrid w:val="0"/>
      <w:color w:val="000000"/>
      <w:szCs w:val="21"/>
    </w:rPr>
  </w:style>
  <w:style w:type="paragraph" w:customStyle="1" w:styleId="2114">
    <w:name w:val="日期1"/>
    <w:basedOn w:val="1"/>
    <w:next w:val="1"/>
    <w:autoRedefine/>
    <w:qFormat/>
    <w:uiPriority w:val="0"/>
    <w:rPr>
      <w:rFonts w:eastAsia="仿宋_GB2312"/>
      <w:sz w:val="30"/>
      <w:szCs w:val="20"/>
    </w:rPr>
  </w:style>
  <w:style w:type="paragraph" w:customStyle="1" w:styleId="2115">
    <w:name w:val="新表"/>
    <w:basedOn w:val="1"/>
    <w:autoRedefine/>
    <w:qFormat/>
    <w:uiPriority w:val="0"/>
    <w:pPr>
      <w:spacing w:line="360" w:lineRule="exact"/>
    </w:pPr>
    <w:rPr>
      <w:rFonts w:eastAsia="仿宋_GB2312"/>
      <w:bCs/>
      <w:kern w:val="0"/>
      <w:sz w:val="24"/>
      <w:szCs w:val="20"/>
    </w:rPr>
  </w:style>
  <w:style w:type="paragraph" w:customStyle="1" w:styleId="2116">
    <w:name w:val="附件6"/>
    <w:basedOn w:val="3"/>
    <w:next w:val="416"/>
    <w:autoRedefine/>
    <w:qFormat/>
    <w:uiPriority w:val="0"/>
    <w:pPr>
      <w:keepLines/>
      <w:tabs>
        <w:tab w:val="left" w:pos="1566"/>
      </w:tabs>
      <w:overflowPunct/>
      <w:adjustRightInd w:val="0"/>
      <w:spacing w:beforeLines="100" w:after="0" w:line="360" w:lineRule="auto"/>
      <w:ind w:left="0" w:firstLine="0"/>
    </w:pPr>
    <w:rPr>
      <w:rFonts w:ascii="黑体" w:hAnsi="宋体"/>
      <w:b w:val="0"/>
      <w:color w:val="auto"/>
      <w:sz w:val="32"/>
      <w:szCs w:val="32"/>
    </w:rPr>
  </w:style>
  <w:style w:type="paragraph" w:customStyle="1" w:styleId="2117">
    <w:name w:val="正文楷体"/>
    <w:basedOn w:val="1"/>
    <w:autoRedefine/>
    <w:qFormat/>
    <w:uiPriority w:val="0"/>
    <w:rPr>
      <w:rFonts w:eastAsia="楷体_GB2312"/>
      <w:szCs w:val="20"/>
    </w:rPr>
  </w:style>
  <w:style w:type="paragraph" w:customStyle="1" w:styleId="2118">
    <w:name w:val="3 Char Char Char Char Char Char Char Char Char Char"/>
    <w:basedOn w:val="1"/>
    <w:autoRedefine/>
    <w:qFormat/>
    <w:uiPriority w:val="39"/>
    <w:rPr>
      <w:sz w:val="24"/>
    </w:rPr>
  </w:style>
  <w:style w:type="paragraph" w:customStyle="1" w:styleId="2119">
    <w:name w:val="Char1 Char Char Char1"/>
    <w:basedOn w:val="1"/>
    <w:autoRedefine/>
    <w:qFormat/>
    <w:uiPriority w:val="99"/>
  </w:style>
  <w:style w:type="paragraph" w:customStyle="1" w:styleId="2120">
    <w:name w:val="表内文字小313"/>
    <w:basedOn w:val="1"/>
    <w:autoRedefine/>
    <w:qFormat/>
    <w:uiPriority w:val="0"/>
    <w:pPr>
      <w:adjustRightInd w:val="0"/>
      <w:snapToGrid w:val="0"/>
      <w:jc w:val="center"/>
    </w:pPr>
    <w:rPr>
      <w:rFonts w:ascii="宋体" w:hAnsi="Times" w:cs="宋体"/>
      <w:bCs/>
      <w:color w:val="003366"/>
      <w:szCs w:val="20"/>
    </w:rPr>
  </w:style>
  <w:style w:type="paragraph" w:customStyle="1" w:styleId="2121">
    <w:name w:val="默认段落字体 Para Char Char Char Char Char Char Char Char Char Char Char Char Char"/>
    <w:basedOn w:val="1"/>
    <w:autoRedefine/>
    <w:qFormat/>
    <w:uiPriority w:val="0"/>
    <w:rPr>
      <w:sz w:val="24"/>
    </w:rPr>
  </w:style>
  <w:style w:type="paragraph" w:customStyle="1" w:styleId="2122">
    <w:name w:val="样式11"/>
    <w:basedOn w:val="1"/>
    <w:autoRedefine/>
    <w:qFormat/>
    <w:uiPriority w:val="0"/>
    <w:pPr>
      <w:tabs>
        <w:tab w:val="left" w:pos="720"/>
      </w:tabs>
      <w:adjustRightInd w:val="0"/>
      <w:snapToGrid w:val="0"/>
      <w:spacing w:line="312" w:lineRule="auto"/>
      <w:ind w:left="720" w:hanging="720"/>
    </w:pPr>
    <w:rPr>
      <w:rFonts w:ascii="仿宋_GB2312" w:eastAsia="仿宋_GB2312"/>
      <w:sz w:val="28"/>
      <w:szCs w:val="20"/>
    </w:rPr>
  </w:style>
  <w:style w:type="paragraph" w:customStyle="1" w:styleId="2123">
    <w:name w:val="图框文"/>
    <w:basedOn w:val="1"/>
    <w:autoRedefine/>
    <w:qFormat/>
    <w:uiPriority w:val="0"/>
    <w:pPr>
      <w:kinsoku w:val="0"/>
      <w:wordWrap w:val="0"/>
      <w:overflowPunct w:val="0"/>
      <w:autoSpaceDE w:val="0"/>
      <w:autoSpaceDN w:val="0"/>
      <w:spacing w:line="0" w:lineRule="atLeast"/>
      <w:jc w:val="center"/>
    </w:pPr>
    <w:rPr>
      <w:rFonts w:ascii="仿宋_GB2312" w:eastAsia="仿宋_GB2312"/>
      <w:sz w:val="24"/>
      <w:szCs w:val="20"/>
    </w:rPr>
  </w:style>
  <w:style w:type="paragraph" w:customStyle="1" w:styleId="2124">
    <w:name w:val="表内文字小2"/>
    <w:basedOn w:val="1"/>
    <w:autoRedefine/>
    <w:qFormat/>
    <w:uiPriority w:val="0"/>
    <w:pPr>
      <w:adjustRightInd w:val="0"/>
      <w:snapToGrid w:val="0"/>
      <w:jc w:val="center"/>
    </w:pPr>
    <w:rPr>
      <w:rFonts w:ascii="宋体" w:hAnsi="Times"/>
      <w:bCs/>
      <w:color w:val="000000"/>
      <w:szCs w:val="20"/>
    </w:rPr>
  </w:style>
  <w:style w:type="paragraph" w:customStyle="1" w:styleId="2125">
    <w:name w:val="默认段落字体 Para Char Char Char Char Char Char1 Char Char Char Char Char Char Char"/>
    <w:basedOn w:val="1"/>
    <w:autoRedefine/>
    <w:qFormat/>
    <w:uiPriority w:val="99"/>
    <w:rPr>
      <w:sz w:val="24"/>
      <w:szCs w:val="20"/>
    </w:rPr>
  </w:style>
  <w:style w:type="paragraph" w:customStyle="1" w:styleId="2126">
    <w:name w:val="正文样式1"/>
    <w:basedOn w:val="1"/>
    <w:autoRedefine/>
    <w:qFormat/>
    <w:uiPriority w:val="0"/>
    <w:pPr>
      <w:adjustRightInd w:val="0"/>
      <w:spacing w:line="360" w:lineRule="auto"/>
      <w:ind w:firstLine="480" w:firstLineChars="200"/>
      <w:textAlignment w:val="baseline"/>
    </w:pPr>
    <w:rPr>
      <w:rFonts w:ascii="Arial" w:hAnsi="Arial" w:cs="Arial"/>
      <w:kern w:val="0"/>
      <w:sz w:val="24"/>
      <w:szCs w:val="20"/>
    </w:rPr>
  </w:style>
  <w:style w:type="paragraph" w:customStyle="1" w:styleId="2127">
    <w:name w:val="表序号"/>
    <w:basedOn w:val="7"/>
    <w:autoRedefine/>
    <w:qFormat/>
    <w:uiPriority w:val="0"/>
  </w:style>
  <w:style w:type="paragraph" w:customStyle="1" w:styleId="2128">
    <w:name w:val="样式11.2.1"/>
    <w:basedOn w:val="1"/>
    <w:autoRedefine/>
    <w:qFormat/>
    <w:uiPriority w:val="99"/>
    <w:pPr>
      <w:spacing w:line="360" w:lineRule="auto"/>
    </w:pPr>
    <w:rPr>
      <w:b/>
      <w:sz w:val="28"/>
    </w:rPr>
  </w:style>
  <w:style w:type="paragraph" w:customStyle="1" w:styleId="2129">
    <w:name w:val="7"/>
    <w:basedOn w:val="1"/>
    <w:next w:val="70"/>
    <w:autoRedefine/>
    <w:qFormat/>
    <w:uiPriority w:val="0"/>
    <w:pPr>
      <w:adjustRightInd w:val="0"/>
      <w:snapToGrid w:val="0"/>
      <w:spacing w:line="312" w:lineRule="auto"/>
      <w:ind w:firstLine="560" w:firstLineChars="200"/>
    </w:pPr>
    <w:rPr>
      <w:rFonts w:ascii="仿宋_GB2312" w:eastAsia="仿宋_GB2312"/>
      <w:sz w:val="28"/>
    </w:rPr>
  </w:style>
  <w:style w:type="paragraph" w:customStyle="1" w:styleId="2130">
    <w:name w:val="表题141"/>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2131">
    <w:name w:val="附件5"/>
    <w:basedOn w:val="3"/>
    <w:next w:val="416"/>
    <w:autoRedefine/>
    <w:qFormat/>
    <w:uiPriority w:val="0"/>
    <w:pPr>
      <w:keepLines/>
      <w:tabs>
        <w:tab w:val="left" w:pos="1566"/>
      </w:tabs>
      <w:overflowPunct/>
      <w:snapToGrid/>
      <w:spacing w:before="0" w:after="210" w:line="360" w:lineRule="auto"/>
      <w:ind w:left="0" w:firstLine="0"/>
      <w:jc w:val="left"/>
    </w:pPr>
    <w:rPr>
      <w:rFonts w:ascii="黑体" w:hAnsi="宋体"/>
      <w:color w:val="auto"/>
      <w:sz w:val="32"/>
      <w:szCs w:val="32"/>
    </w:rPr>
  </w:style>
  <w:style w:type="paragraph" w:customStyle="1" w:styleId="2132">
    <w:name w:val="样式4.1.2.1"/>
    <w:basedOn w:val="1"/>
    <w:autoRedefine/>
    <w:qFormat/>
    <w:uiPriority w:val="99"/>
    <w:pPr>
      <w:spacing w:beforeLines="50" w:line="360" w:lineRule="auto"/>
    </w:pPr>
    <w:rPr>
      <w:sz w:val="24"/>
    </w:rPr>
  </w:style>
  <w:style w:type="paragraph" w:customStyle="1" w:styleId="2133">
    <w:name w:val="默认段落字体 Para Char Char Char Char"/>
    <w:basedOn w:val="1"/>
    <w:autoRedefine/>
    <w:qFormat/>
    <w:uiPriority w:val="0"/>
    <w:rPr>
      <w:sz w:val="24"/>
    </w:rPr>
  </w:style>
  <w:style w:type="paragraph" w:customStyle="1" w:styleId="2134">
    <w:name w:val="默认段落字体 Para Char Char Char1 Char Char Char Char Char Char Char Char Char"/>
    <w:basedOn w:val="1"/>
    <w:autoRedefine/>
    <w:qFormat/>
    <w:uiPriority w:val="99"/>
    <w:rPr>
      <w:sz w:val="24"/>
      <w:szCs w:val="20"/>
    </w:rPr>
  </w:style>
  <w:style w:type="paragraph" w:customStyle="1" w:styleId="2135">
    <w:name w:val="标题4311"/>
    <w:basedOn w:val="1"/>
    <w:autoRedefine/>
    <w:qFormat/>
    <w:uiPriority w:val="0"/>
    <w:pPr>
      <w:adjustRightInd w:val="0"/>
      <w:snapToGrid w:val="0"/>
      <w:spacing w:line="480" w:lineRule="exact"/>
      <w:jc w:val="center"/>
    </w:pPr>
    <w:rPr>
      <w:rFonts w:ascii="宋体" w:hAnsi="宋体" w:cs="宋体"/>
      <w:sz w:val="24"/>
    </w:rPr>
  </w:style>
  <w:style w:type="paragraph" w:customStyle="1" w:styleId="2136">
    <w:name w:val="样式4.1"/>
    <w:basedOn w:val="4"/>
    <w:autoRedefine/>
    <w:qFormat/>
    <w:uiPriority w:val="99"/>
    <w:pPr>
      <w:spacing w:beforeLines="50" w:after="0" w:line="360" w:lineRule="auto"/>
    </w:pPr>
    <w:rPr>
      <w:rFonts w:ascii="Times New Roman" w:hAnsi="Times New Roman"/>
      <w:sz w:val="30"/>
      <w:szCs w:val="30"/>
    </w:rPr>
  </w:style>
  <w:style w:type="paragraph" w:customStyle="1" w:styleId="2137">
    <w:name w:val="Char Char Char Char Char Char Char Char1 Char Char Char Char Char Char Char Char Char Char"/>
    <w:basedOn w:val="1"/>
    <w:autoRedefine/>
    <w:qFormat/>
    <w:uiPriority w:val="39"/>
    <w:rPr>
      <w:sz w:val="24"/>
    </w:rPr>
  </w:style>
  <w:style w:type="paragraph" w:customStyle="1" w:styleId="2138">
    <w:name w:val="正文修改32"/>
    <w:basedOn w:val="192"/>
    <w:autoRedefine/>
    <w:qFormat/>
    <w:uiPriority w:val="0"/>
    <w:rPr>
      <w:rFonts w:hAnsi="宋体"/>
      <w:color w:val="000000"/>
    </w:rPr>
  </w:style>
  <w:style w:type="paragraph" w:customStyle="1" w:styleId="2139">
    <w:name w:val="样式 标题 3 + 黑体 四号"/>
    <w:basedOn w:val="5"/>
    <w:autoRedefine/>
    <w:qFormat/>
    <w:uiPriority w:val="99"/>
    <w:pPr>
      <w:ind w:left="720" w:hanging="432"/>
    </w:pPr>
    <w:rPr>
      <w:kern w:val="0"/>
      <w:lang w:val="en-US"/>
    </w:rPr>
  </w:style>
  <w:style w:type="paragraph" w:customStyle="1" w:styleId="2140">
    <w:name w:val="样式 标题 2第一章 标题 2Heading 2 HiddenHeading 2 CCBSheading 2H2h2...2"/>
    <w:basedOn w:val="4"/>
    <w:autoRedefine/>
    <w:qFormat/>
    <w:uiPriority w:val="0"/>
    <w:pPr>
      <w:spacing w:before="120" w:after="120" w:line="500" w:lineRule="exact"/>
    </w:pPr>
    <w:rPr>
      <w:rFonts w:ascii="Times New Roman" w:hAnsi="Times New Roman" w:eastAsia="仿宋_GB2312"/>
      <w:color w:val="000000"/>
      <w:sz w:val="28"/>
    </w:rPr>
  </w:style>
  <w:style w:type="paragraph" w:customStyle="1" w:styleId="2141">
    <w:name w:val="Char Char Char Char Char Char Char Char Char Char Char"/>
    <w:basedOn w:val="1"/>
    <w:autoRedefine/>
    <w:qFormat/>
    <w:uiPriority w:val="0"/>
    <w:rPr>
      <w:sz w:val="24"/>
    </w:rPr>
  </w:style>
  <w:style w:type="paragraph" w:customStyle="1" w:styleId="2142">
    <w:name w:val="D"/>
    <w:basedOn w:val="2143"/>
    <w:next w:val="1"/>
    <w:autoRedefine/>
    <w:qFormat/>
    <w:uiPriority w:val="0"/>
    <w:pPr>
      <w:tabs>
        <w:tab w:val="left" w:pos="720"/>
        <w:tab w:val="left" w:pos="1770"/>
      </w:tabs>
      <w:ind w:left="1770" w:hanging="864"/>
      <w:outlineLvl w:val="3"/>
    </w:pPr>
  </w:style>
  <w:style w:type="paragraph" w:customStyle="1" w:styleId="2143">
    <w:name w:val="C"/>
    <w:basedOn w:val="2144"/>
    <w:next w:val="2145"/>
    <w:autoRedefine/>
    <w:qFormat/>
    <w:uiPriority w:val="0"/>
    <w:pPr>
      <w:keepNext/>
      <w:keepLines/>
      <w:widowControl/>
      <w:tabs>
        <w:tab w:val="left" w:pos="720"/>
      </w:tabs>
      <w:spacing w:beforeLines="0" w:afterLines="0" w:line="360" w:lineRule="auto"/>
      <w:ind w:left="720" w:hanging="720"/>
      <w:jc w:val="left"/>
      <w:outlineLvl w:val="2"/>
    </w:pPr>
    <w:rPr>
      <w:b w:val="0"/>
      <w:bCs/>
      <w:kern w:val="44"/>
      <w:sz w:val="24"/>
      <w:szCs w:val="24"/>
    </w:rPr>
  </w:style>
  <w:style w:type="paragraph" w:customStyle="1" w:styleId="2144">
    <w:name w:val="B"/>
    <w:basedOn w:val="66"/>
    <w:autoRedefine/>
    <w:qFormat/>
    <w:uiPriority w:val="0"/>
    <w:pPr>
      <w:spacing w:beforeLines="20" w:afterLines="20"/>
      <w:ind w:left="0" w:right="0" w:rightChars="0"/>
    </w:pPr>
    <w:rPr>
      <w:rFonts w:ascii="Times New Roman" w:eastAsia="宋体"/>
      <w:b/>
    </w:rPr>
  </w:style>
  <w:style w:type="paragraph" w:customStyle="1" w:styleId="2145">
    <w:name w:val="正文aa"/>
    <w:basedOn w:val="1"/>
    <w:autoRedefine/>
    <w:qFormat/>
    <w:uiPriority w:val="0"/>
    <w:pPr>
      <w:widowControl/>
      <w:spacing w:line="360" w:lineRule="auto"/>
      <w:ind w:firstLine="200" w:firstLineChars="200"/>
      <w:jc w:val="left"/>
    </w:pPr>
    <w:rPr>
      <w:sz w:val="24"/>
    </w:rPr>
  </w:style>
  <w:style w:type="paragraph" w:customStyle="1" w:styleId="2146">
    <w:name w:val="Date1"/>
    <w:basedOn w:val="1"/>
    <w:next w:val="1"/>
    <w:autoRedefine/>
    <w:qFormat/>
    <w:uiPriority w:val="0"/>
    <w:pPr>
      <w:adjustRightInd w:val="0"/>
      <w:textAlignment w:val="baseline"/>
    </w:pPr>
    <w:rPr>
      <w:szCs w:val="20"/>
    </w:rPr>
  </w:style>
  <w:style w:type="paragraph" w:customStyle="1" w:styleId="2147">
    <w:name w:val="表中文字32"/>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2148">
    <w:name w:val="Char Char Char Char Char Char Char Char Char Char Char1 Char Char Char Char Char Char"/>
    <w:basedOn w:val="1"/>
    <w:autoRedefine/>
    <w:qFormat/>
    <w:uiPriority w:val="39"/>
    <w:rPr>
      <w:sz w:val="24"/>
    </w:rPr>
  </w:style>
  <w:style w:type="paragraph" w:customStyle="1" w:styleId="2149">
    <w:name w:val="xl38"/>
    <w:basedOn w:val="1"/>
    <w:autoRedefine/>
    <w:qFormat/>
    <w:uiPriority w:val="0"/>
    <w:pPr>
      <w:widowControl/>
      <w:pBdr>
        <w:left w:val="single" w:color="auto" w:sz="4" w:space="0"/>
        <w:bottom w:val="single" w:color="auto" w:sz="4" w:space="0"/>
      </w:pBdr>
      <w:spacing w:before="100" w:beforeAutospacing="1" w:after="100" w:afterAutospacing="1"/>
      <w:jc w:val="center"/>
      <w:textAlignment w:val="top"/>
    </w:pPr>
    <w:rPr>
      <w:rFonts w:hint="eastAsia" w:ascii="仿宋_GB2312" w:hAnsi="宋体" w:eastAsia="仿宋_GB2312"/>
      <w:kern w:val="0"/>
      <w:sz w:val="24"/>
    </w:rPr>
  </w:style>
  <w:style w:type="paragraph" w:customStyle="1" w:styleId="2150">
    <w:name w:val="表格内容11"/>
    <w:autoRedefine/>
    <w:qFormat/>
    <w:uiPriority w:val="0"/>
    <w:pPr>
      <w:jc w:val="center"/>
    </w:pPr>
    <w:rPr>
      <w:rFonts w:ascii="Times New Roman" w:hAnsi="Times New Roman" w:eastAsia="宋体" w:cs="Times New Roman"/>
      <w:kern w:val="2"/>
      <w:sz w:val="21"/>
      <w:szCs w:val="21"/>
      <w:lang w:val="en-US" w:eastAsia="zh-CN" w:bidi="ar-SA"/>
    </w:rPr>
  </w:style>
  <w:style w:type="paragraph" w:customStyle="1" w:styleId="2151">
    <w:name w:val="Char Char Char Char Char Char Char Char Char Char Char Char Char Char Char Char Char Char"/>
    <w:basedOn w:val="1"/>
    <w:autoRedefine/>
    <w:qFormat/>
    <w:uiPriority w:val="99"/>
    <w:rPr>
      <w:sz w:val="24"/>
    </w:rPr>
  </w:style>
  <w:style w:type="paragraph" w:customStyle="1" w:styleId="2152">
    <w:name w:val="Char152"/>
    <w:basedOn w:val="1"/>
    <w:autoRedefine/>
    <w:qFormat/>
    <w:uiPriority w:val="0"/>
    <w:pPr>
      <w:adjustRightInd w:val="0"/>
      <w:snapToGrid w:val="0"/>
      <w:spacing w:beforeLines="50" w:line="360" w:lineRule="auto"/>
    </w:pPr>
    <w:rPr>
      <w:rFonts w:ascii="黑体" w:eastAsia="黑体"/>
      <w:sz w:val="32"/>
      <w:szCs w:val="32"/>
    </w:rPr>
  </w:style>
  <w:style w:type="paragraph" w:customStyle="1" w:styleId="2153">
    <w:name w:val="Char Char Char Char Char Char Char Char Char Char Char Char Char Char Char Char Char Char Char Char Char Char Char Char Char Char"/>
    <w:basedOn w:val="1"/>
    <w:autoRedefine/>
    <w:qFormat/>
    <w:uiPriority w:val="99"/>
    <w:rPr>
      <w:sz w:val="24"/>
    </w:rPr>
  </w:style>
  <w:style w:type="paragraph" w:customStyle="1" w:styleId="2154">
    <w:name w:val="默认段落字体 Para Char Char Char Char Char Char"/>
    <w:basedOn w:val="1"/>
    <w:autoRedefine/>
    <w:qFormat/>
    <w:uiPriority w:val="99"/>
    <w:rPr>
      <w:sz w:val="24"/>
      <w:szCs w:val="20"/>
    </w:rPr>
  </w:style>
  <w:style w:type="paragraph" w:customStyle="1" w:styleId="2155">
    <w:name w:val="zhang正文"/>
    <w:basedOn w:val="35"/>
    <w:autoRedefine/>
    <w:qFormat/>
    <w:uiPriority w:val="99"/>
    <w:pPr>
      <w:tabs>
        <w:tab w:val="left" w:pos="0"/>
      </w:tabs>
      <w:autoSpaceDE w:val="0"/>
      <w:autoSpaceDN w:val="0"/>
      <w:adjustRightInd w:val="0"/>
      <w:snapToGrid w:val="0"/>
      <w:spacing w:after="0" w:line="500" w:lineRule="exact"/>
      <w:ind w:left="0" w:leftChars="0" w:firstLine="539"/>
      <w:textAlignment w:val="baseline"/>
    </w:pPr>
    <w:rPr>
      <w:rFonts w:eastAsia="楷体_GB2312"/>
      <w:sz w:val="28"/>
      <w:lang w:val="en-US"/>
    </w:rPr>
  </w:style>
  <w:style w:type="paragraph" w:customStyle="1" w:styleId="2156">
    <w:name w:val="Char9"/>
    <w:basedOn w:val="1"/>
    <w:autoRedefine/>
    <w:qFormat/>
    <w:uiPriority w:val="0"/>
    <w:pPr>
      <w:ind w:left="-48"/>
    </w:pPr>
  </w:style>
  <w:style w:type="paragraph" w:customStyle="1" w:styleId="2157">
    <w:name w:val="样式 样式15 + 段前: 0.5 行"/>
    <w:basedOn w:val="2158"/>
    <w:autoRedefine/>
    <w:qFormat/>
    <w:uiPriority w:val="99"/>
    <w:pPr>
      <w:shd w:val="clear" w:color="auto" w:fill="auto"/>
      <w:tabs>
        <w:tab w:val="left" w:pos="-962"/>
        <w:tab w:val="left" w:pos="0"/>
      </w:tabs>
      <w:spacing w:beforeLines="0"/>
      <w:ind w:left="2100" w:hanging="420"/>
    </w:pPr>
    <w:rPr>
      <w:rFonts w:ascii="Times New Roman" w:hAnsi="Times New Roman" w:cs="宋体"/>
      <w:b/>
      <w:szCs w:val="20"/>
    </w:rPr>
  </w:style>
  <w:style w:type="paragraph" w:customStyle="1" w:styleId="2158">
    <w:name w:val="样式15"/>
    <w:basedOn w:val="1"/>
    <w:autoRedefine/>
    <w:qFormat/>
    <w:uiPriority w:val="0"/>
    <w:pPr>
      <w:shd w:val="clear" w:color="auto" w:fill="FFFFFF"/>
      <w:spacing w:beforeLines="50" w:line="360" w:lineRule="auto"/>
      <w:jc w:val="left"/>
      <w:textAlignment w:val="baseline"/>
      <w:outlineLvl w:val="3"/>
    </w:pPr>
    <w:rPr>
      <w:rFonts w:ascii="仿宋_GB2312" w:hAnsi="宋体"/>
      <w:sz w:val="24"/>
    </w:rPr>
  </w:style>
  <w:style w:type="paragraph" w:customStyle="1" w:styleId="2159">
    <w:name w:val="Char Char Char Char Char Char Char Char Char Char Char Char Char Char Char Char Char Char Char Char Char Char Char Char Char Char Char Char Char Char Char Char Char Char Char Char"/>
    <w:basedOn w:val="1"/>
    <w:autoRedefine/>
    <w:qFormat/>
    <w:uiPriority w:val="99"/>
    <w:rPr>
      <w:sz w:val="24"/>
    </w:rPr>
  </w:style>
  <w:style w:type="paragraph" w:customStyle="1" w:styleId="2160">
    <w:name w:val="样式4"/>
    <w:basedOn w:val="34"/>
    <w:autoRedefine/>
    <w:qFormat/>
    <w:uiPriority w:val="0"/>
    <w:pPr>
      <w:widowControl w:val="0"/>
      <w:snapToGrid/>
      <w:spacing w:before="0" w:after="0" w:line="240" w:lineRule="auto"/>
      <w:ind w:right="-105" w:rightChars="-50" w:firstLine="608" w:firstLineChars="217"/>
    </w:pPr>
    <w:rPr>
      <w:rFonts w:ascii="宋体" w:hAnsi="宋体"/>
      <w:snapToGrid w:val="0"/>
      <w:color w:val="000000"/>
      <w:sz w:val="28"/>
      <w:szCs w:val="24"/>
      <w:lang w:val="en-US"/>
    </w:rPr>
  </w:style>
  <w:style w:type="paragraph" w:customStyle="1" w:styleId="2161">
    <w:name w:val="Char Char Char Char Char Char Char Char Char Char Char Char Char Char Char Char Char Char Char Char Char Char Char Char"/>
    <w:basedOn w:val="1"/>
    <w:autoRedefine/>
    <w:qFormat/>
    <w:uiPriority w:val="39"/>
    <w:rPr>
      <w:sz w:val="24"/>
    </w:rPr>
  </w:style>
  <w:style w:type="paragraph" w:customStyle="1" w:styleId="2162">
    <w:name w:val="表题41"/>
    <w:basedOn w:val="35"/>
    <w:autoRedefine/>
    <w:qFormat/>
    <w:uiPriority w:val="0"/>
    <w:pPr>
      <w:tabs>
        <w:tab w:val="left" w:pos="4305"/>
      </w:tabs>
      <w:adjustRightInd w:val="0"/>
      <w:snapToGrid w:val="0"/>
      <w:spacing w:after="0" w:line="360" w:lineRule="auto"/>
      <w:ind w:left="0" w:leftChars="0" w:firstLine="561"/>
    </w:pPr>
    <w:rPr>
      <w:rFonts w:ascii="宋体" w:hAnsi="宋体" w:cs="宋体"/>
      <w:color w:val="000000"/>
      <w:szCs w:val="24"/>
      <w:lang w:val="en-US"/>
    </w:rPr>
  </w:style>
  <w:style w:type="paragraph" w:customStyle="1" w:styleId="2163">
    <w:name w:val="新正文样式"/>
    <w:basedOn w:val="1"/>
    <w:autoRedefine/>
    <w:qFormat/>
    <w:uiPriority w:val="99"/>
    <w:pPr>
      <w:tabs>
        <w:tab w:val="left" w:pos="567"/>
      </w:tabs>
      <w:spacing w:line="360" w:lineRule="auto"/>
      <w:ind w:firstLine="567"/>
    </w:pPr>
    <w:rPr>
      <w:spacing w:val="20"/>
      <w:sz w:val="24"/>
      <w:szCs w:val="20"/>
    </w:rPr>
  </w:style>
  <w:style w:type="paragraph" w:customStyle="1" w:styleId="2164">
    <w:name w:val="公式样式1"/>
    <w:basedOn w:val="1"/>
    <w:autoRedefine/>
    <w:qFormat/>
    <w:uiPriority w:val="0"/>
    <w:pPr>
      <w:adjustRightInd w:val="0"/>
      <w:snapToGrid w:val="0"/>
      <w:spacing w:line="360" w:lineRule="auto"/>
    </w:pPr>
    <w:rPr>
      <w:rFonts w:eastAsia="仿宋_GB2312"/>
      <w:smallCaps/>
      <w:szCs w:val="20"/>
    </w:rPr>
  </w:style>
  <w:style w:type="paragraph" w:customStyle="1" w:styleId="2165">
    <w:name w:val="样式 标题 3 + 加粗 段前: 3.9 磅 段后: 3.9 磅 行距: 多倍行距 1.35 字行2"/>
    <w:basedOn w:val="5"/>
    <w:autoRedefine/>
    <w:qFormat/>
    <w:uiPriority w:val="39"/>
    <w:pPr>
      <w:ind w:left="720" w:hanging="432"/>
    </w:pPr>
    <w:rPr>
      <w:kern w:val="0"/>
      <w:lang w:val="en-US"/>
    </w:rPr>
  </w:style>
  <w:style w:type="paragraph" w:customStyle="1" w:styleId="2166">
    <w:name w:val="Char30"/>
    <w:basedOn w:val="1"/>
    <w:autoRedefine/>
    <w:qFormat/>
    <w:uiPriority w:val="0"/>
    <w:pPr>
      <w:ind w:left="-48"/>
    </w:pPr>
  </w:style>
  <w:style w:type="paragraph" w:customStyle="1" w:styleId="2167">
    <w:name w:val="PP 行"/>
    <w:basedOn w:val="58"/>
    <w:autoRedefine/>
    <w:qFormat/>
    <w:uiPriority w:val="0"/>
    <w:pPr>
      <w:spacing w:before="0"/>
      <w:ind w:left="100" w:leftChars="2100" w:firstLine="0"/>
    </w:pPr>
    <w:rPr>
      <w:rFonts w:ascii="Times New Roman" w:hAnsi="Times New Roman" w:eastAsia="宋体"/>
      <w:kern w:val="2"/>
      <w:sz w:val="21"/>
    </w:rPr>
  </w:style>
  <w:style w:type="paragraph" w:customStyle="1" w:styleId="2168">
    <w:name w:val="表1"/>
    <w:next w:val="1"/>
    <w:autoRedefine/>
    <w:qFormat/>
    <w:uiPriority w:val="0"/>
    <w:pPr>
      <w:adjustRightInd w:val="0"/>
      <w:snapToGrid w:val="0"/>
      <w:jc w:val="center"/>
    </w:pPr>
    <w:rPr>
      <w:rFonts w:ascii="宋体" w:hAnsi="Times New Roman" w:eastAsia="宋体" w:cs="Times New Roman"/>
      <w:sz w:val="21"/>
      <w:lang w:val="en-US" w:eastAsia="zh-CN" w:bidi="ar-SA"/>
    </w:rPr>
  </w:style>
  <w:style w:type="paragraph" w:customStyle="1" w:styleId="2169">
    <w:name w:val="图表名称3"/>
    <w:basedOn w:val="86"/>
    <w:autoRedefine/>
    <w:qFormat/>
    <w:uiPriority w:val="0"/>
    <w:pPr>
      <w:widowControl/>
      <w:adjustRightInd w:val="0"/>
      <w:snapToGrid w:val="0"/>
      <w:spacing w:after="0" w:line="480" w:lineRule="exact"/>
      <w:ind w:firstLine="0" w:firstLineChars="0"/>
      <w:jc w:val="center"/>
    </w:pPr>
    <w:rPr>
      <w:rFonts w:ascii="宋体" w:hAnsi="宋体"/>
      <w:bCs/>
      <w:sz w:val="24"/>
      <w:szCs w:val="24"/>
    </w:rPr>
  </w:style>
  <w:style w:type="paragraph" w:customStyle="1" w:styleId="2170">
    <w:name w:val="单位名称"/>
    <w:basedOn w:val="1"/>
    <w:next w:val="1"/>
    <w:autoRedefine/>
    <w:qFormat/>
    <w:uiPriority w:val="0"/>
    <w:pPr>
      <w:spacing w:line="500" w:lineRule="atLeast"/>
      <w:jc w:val="center"/>
    </w:pPr>
    <w:rPr>
      <w:sz w:val="44"/>
      <w:szCs w:val="20"/>
    </w:rPr>
  </w:style>
  <w:style w:type="paragraph" w:customStyle="1" w:styleId="2171">
    <w:name w:val="Char911"/>
    <w:basedOn w:val="1"/>
    <w:autoRedefine/>
    <w:qFormat/>
    <w:uiPriority w:val="0"/>
    <w:pPr>
      <w:ind w:left="-48"/>
    </w:pPr>
  </w:style>
  <w:style w:type="paragraph" w:customStyle="1" w:styleId="2172">
    <w:name w:val="图题611"/>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2173">
    <w:name w:val="Char Char Char1 Char Char Char Char Char Char Char2"/>
    <w:basedOn w:val="1"/>
    <w:autoRedefine/>
    <w:qFormat/>
    <w:uiPriority w:val="99"/>
    <w:rPr>
      <w:rFonts w:ascii="Tahoma" w:hAnsi="Tahoma"/>
      <w:sz w:val="24"/>
      <w:szCs w:val="20"/>
    </w:rPr>
  </w:style>
  <w:style w:type="paragraph" w:customStyle="1" w:styleId="2174">
    <w:name w:val="报告表正文"/>
    <w:basedOn w:val="1"/>
    <w:autoRedefine/>
    <w:qFormat/>
    <w:uiPriority w:val="99"/>
    <w:pPr>
      <w:adjustRightInd w:val="0"/>
      <w:spacing w:line="312" w:lineRule="auto"/>
      <w:ind w:left="113" w:right="113" w:firstLine="482"/>
      <w:jc w:val="left"/>
      <w:textAlignment w:val="baseline"/>
    </w:pPr>
    <w:rPr>
      <w:kern w:val="0"/>
      <w:sz w:val="24"/>
      <w:szCs w:val="20"/>
    </w:rPr>
  </w:style>
  <w:style w:type="paragraph" w:customStyle="1" w:styleId="2175">
    <w:name w:val="标题二"/>
    <w:basedOn w:val="1"/>
    <w:autoRedefine/>
    <w:qFormat/>
    <w:uiPriority w:val="99"/>
    <w:pPr>
      <w:widowControl/>
      <w:tabs>
        <w:tab w:val="left" w:pos="0"/>
      </w:tabs>
      <w:adjustRightInd w:val="0"/>
      <w:snapToGrid w:val="0"/>
      <w:spacing w:beforeLines="50" w:afterLines="50" w:line="360" w:lineRule="auto"/>
      <w:jc w:val="left"/>
      <w:outlineLvl w:val="1"/>
    </w:pPr>
    <w:rPr>
      <w:b/>
      <w:kern w:val="44"/>
      <w:sz w:val="32"/>
      <w:szCs w:val="20"/>
    </w:rPr>
  </w:style>
  <w:style w:type="paragraph" w:customStyle="1" w:styleId="2176">
    <w:name w:val="表格内容1"/>
    <w:basedOn w:val="1"/>
    <w:autoRedefine/>
    <w:qFormat/>
    <w:uiPriority w:val="0"/>
    <w:pPr>
      <w:adjustRightInd w:val="0"/>
      <w:snapToGrid w:val="0"/>
      <w:spacing w:beforeLines="15" w:afterLines="15" w:line="240" w:lineRule="exact"/>
      <w:jc w:val="center"/>
    </w:pPr>
    <w:rPr>
      <w:rFonts w:ascii="宋体" w:hAnsi="宋体"/>
      <w:snapToGrid w:val="0"/>
      <w:kern w:val="0"/>
      <w:szCs w:val="20"/>
    </w:rPr>
  </w:style>
  <w:style w:type="paragraph" w:customStyle="1" w:styleId="2177">
    <w:name w:val="Char Char Char Char Char Char Char Char Char"/>
    <w:basedOn w:val="1"/>
    <w:autoRedefine/>
    <w:qFormat/>
    <w:uiPriority w:val="0"/>
    <w:rPr>
      <w:sz w:val="24"/>
    </w:rPr>
  </w:style>
  <w:style w:type="paragraph" w:customStyle="1" w:styleId="2178">
    <w:name w:val="报告表格"/>
    <w:basedOn w:val="1"/>
    <w:next w:val="1"/>
    <w:autoRedefine/>
    <w:qFormat/>
    <w:uiPriority w:val="0"/>
    <w:pPr>
      <w:autoSpaceDE w:val="0"/>
      <w:autoSpaceDN w:val="0"/>
      <w:adjustRightInd w:val="0"/>
      <w:spacing w:line="318" w:lineRule="atLeast"/>
      <w:jc w:val="center"/>
      <w:textAlignment w:val="bottom"/>
    </w:pPr>
    <w:rPr>
      <w:kern w:val="0"/>
      <w:sz w:val="24"/>
      <w:szCs w:val="20"/>
    </w:rPr>
  </w:style>
  <w:style w:type="paragraph" w:customStyle="1" w:styleId="2179">
    <w:name w:val="Char54"/>
    <w:basedOn w:val="1"/>
    <w:autoRedefine/>
    <w:qFormat/>
    <w:uiPriority w:val="0"/>
    <w:pPr>
      <w:adjustRightInd w:val="0"/>
      <w:snapToGrid w:val="0"/>
      <w:ind w:left="-45"/>
    </w:pPr>
  </w:style>
  <w:style w:type="paragraph" w:customStyle="1" w:styleId="2180">
    <w:name w:val="表格中"/>
    <w:basedOn w:val="1"/>
    <w:autoRedefine/>
    <w:qFormat/>
    <w:uiPriority w:val="39"/>
    <w:pPr>
      <w:adjustRightInd w:val="0"/>
      <w:snapToGrid w:val="0"/>
      <w:jc w:val="center"/>
    </w:pPr>
    <w:rPr>
      <w:rFonts w:ascii="仿宋_GB2312" w:eastAsia="仿宋_GB2312"/>
      <w:bCs/>
      <w:szCs w:val="21"/>
    </w:rPr>
  </w:style>
  <w:style w:type="paragraph" w:customStyle="1" w:styleId="2181">
    <w:name w:val="3 Char"/>
    <w:basedOn w:val="1"/>
    <w:autoRedefine/>
    <w:qFormat/>
    <w:uiPriority w:val="39"/>
    <w:rPr>
      <w:sz w:val="24"/>
    </w:rPr>
  </w:style>
  <w:style w:type="paragraph" w:customStyle="1" w:styleId="2182">
    <w:name w:val="表内宋5中15"/>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2183">
    <w:name w:val="参加人员名单"/>
    <w:basedOn w:val="1"/>
    <w:next w:val="1"/>
    <w:autoRedefine/>
    <w:qFormat/>
    <w:uiPriority w:val="0"/>
    <w:pPr>
      <w:jc w:val="center"/>
      <w:outlineLvl w:val="0"/>
    </w:pPr>
    <w:rPr>
      <w:sz w:val="32"/>
      <w:szCs w:val="20"/>
    </w:rPr>
  </w:style>
  <w:style w:type="paragraph" w:customStyle="1" w:styleId="2184">
    <w:name w:val="Char Char Char Char Char Char Char Char Char Char"/>
    <w:basedOn w:val="1"/>
    <w:autoRedefine/>
    <w:qFormat/>
    <w:uiPriority w:val="0"/>
    <w:rPr>
      <w:sz w:val="24"/>
      <w:szCs w:val="20"/>
    </w:rPr>
  </w:style>
  <w:style w:type="paragraph" w:customStyle="1" w:styleId="2185">
    <w:name w:val="表居中（中文）"/>
    <w:basedOn w:val="1"/>
    <w:autoRedefine/>
    <w:qFormat/>
    <w:uiPriority w:val="0"/>
    <w:pPr>
      <w:adjustRightInd w:val="0"/>
      <w:spacing w:line="380" w:lineRule="atLeast"/>
      <w:jc w:val="center"/>
      <w:textAlignment w:val="baseline"/>
    </w:pPr>
    <w:rPr>
      <w:rFonts w:eastAsia="楷体_GB2312"/>
      <w:kern w:val="0"/>
      <w:szCs w:val="20"/>
    </w:rPr>
  </w:style>
  <w:style w:type="paragraph" w:customStyle="1" w:styleId="2186">
    <w:name w:val="表中文字5"/>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2187">
    <w:name w:val="表题1312"/>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2188">
    <w:name w:val="小3楷顶"/>
    <w:basedOn w:val="1"/>
    <w:autoRedefine/>
    <w:qFormat/>
    <w:uiPriority w:val="99"/>
    <w:pPr>
      <w:keepNext/>
      <w:keepLines/>
      <w:spacing w:before="240" w:after="240" w:line="500" w:lineRule="exact"/>
      <w:outlineLvl w:val="1"/>
    </w:pPr>
    <w:rPr>
      <w:rFonts w:ascii="黑体" w:eastAsia="楷体_GB2312"/>
      <w:sz w:val="30"/>
      <w:szCs w:val="20"/>
    </w:rPr>
  </w:style>
  <w:style w:type="paragraph" w:customStyle="1" w:styleId="2189">
    <w:name w:val="表内53"/>
    <w:basedOn w:val="1"/>
    <w:autoRedefine/>
    <w:qFormat/>
    <w:uiPriority w:val="0"/>
    <w:pPr>
      <w:adjustRightInd w:val="0"/>
      <w:snapToGrid w:val="0"/>
      <w:spacing w:line="300" w:lineRule="auto"/>
      <w:jc w:val="left"/>
    </w:pPr>
    <w:rPr>
      <w:rFonts w:ascii="宋体"/>
      <w:szCs w:val="20"/>
    </w:rPr>
  </w:style>
  <w:style w:type="paragraph" w:customStyle="1" w:styleId="2190">
    <w:name w:val="表号"/>
    <w:basedOn w:val="1"/>
    <w:autoRedefine/>
    <w:qFormat/>
    <w:uiPriority w:val="99"/>
    <w:rPr>
      <w:szCs w:val="20"/>
    </w:rPr>
  </w:style>
  <w:style w:type="paragraph" w:customStyle="1" w:styleId="2191">
    <w:name w:val="样式 楷体_GB2312 居中"/>
    <w:basedOn w:val="1"/>
    <w:autoRedefine/>
    <w:qFormat/>
    <w:uiPriority w:val="99"/>
    <w:pPr>
      <w:spacing w:line="360" w:lineRule="auto"/>
      <w:jc w:val="center"/>
    </w:pPr>
    <w:rPr>
      <w:rFonts w:ascii="楷体_GB2312" w:eastAsia="楷体_GB2312"/>
      <w:szCs w:val="20"/>
    </w:rPr>
  </w:style>
  <w:style w:type="paragraph" w:customStyle="1" w:styleId="2192">
    <w:name w:val="表内文字小113"/>
    <w:basedOn w:val="1"/>
    <w:autoRedefine/>
    <w:qFormat/>
    <w:uiPriority w:val="0"/>
    <w:pPr>
      <w:adjustRightInd w:val="0"/>
      <w:snapToGrid w:val="0"/>
    </w:pPr>
    <w:rPr>
      <w:rFonts w:ascii="宋体" w:hAnsi="Times" w:cs="宋体"/>
      <w:szCs w:val="20"/>
    </w:rPr>
  </w:style>
  <w:style w:type="paragraph" w:customStyle="1" w:styleId="2193">
    <w:name w:val="表34"/>
    <w:basedOn w:val="1"/>
    <w:autoRedefine/>
    <w:qFormat/>
    <w:uiPriority w:val="0"/>
    <w:pPr>
      <w:adjustRightInd w:val="0"/>
      <w:snapToGrid w:val="0"/>
      <w:jc w:val="center"/>
    </w:pPr>
    <w:rPr>
      <w:rFonts w:eastAsia="仿宋_GB2312"/>
      <w:sz w:val="24"/>
    </w:rPr>
  </w:style>
  <w:style w:type="paragraph" w:customStyle="1" w:styleId="2194">
    <w:name w:val="样式 首行缩进:  0.85 厘米 行距: 固定值 23 磅"/>
    <w:basedOn w:val="1"/>
    <w:autoRedefine/>
    <w:qFormat/>
    <w:uiPriority w:val="99"/>
    <w:pPr>
      <w:spacing w:line="480" w:lineRule="exact"/>
      <w:ind w:firstLine="560" w:firstLineChars="200"/>
    </w:pPr>
    <w:rPr>
      <w:rFonts w:eastAsia="仿宋_GB2312"/>
      <w:color w:val="000000"/>
      <w:sz w:val="28"/>
      <w:szCs w:val="20"/>
    </w:rPr>
  </w:style>
  <w:style w:type="paragraph" w:customStyle="1" w:styleId="2195">
    <w:name w:val="表格 32"/>
    <w:basedOn w:val="1"/>
    <w:autoRedefine/>
    <w:qFormat/>
    <w:uiPriority w:val="99"/>
    <w:pPr>
      <w:autoSpaceDE w:val="0"/>
      <w:autoSpaceDN w:val="0"/>
      <w:adjustRightInd w:val="0"/>
      <w:jc w:val="center"/>
      <w:textAlignment w:val="baseline"/>
    </w:pPr>
    <w:rPr>
      <w:rFonts w:eastAsia="仿宋_GB2312"/>
      <w:kern w:val="0"/>
      <w:sz w:val="24"/>
      <w:szCs w:val="20"/>
    </w:rPr>
  </w:style>
  <w:style w:type="paragraph" w:customStyle="1" w:styleId="2196">
    <w:name w:val="样式 标题 3 + 黑色 段前: 0行 段后: 0 行"/>
    <w:basedOn w:val="5"/>
    <w:autoRedefine/>
    <w:qFormat/>
    <w:uiPriority w:val="0"/>
    <w:pPr>
      <w:ind w:left="720" w:hanging="432"/>
    </w:pPr>
    <w:rPr>
      <w:kern w:val="0"/>
      <w:lang w:val="en-US"/>
    </w:rPr>
  </w:style>
  <w:style w:type="paragraph" w:customStyle="1" w:styleId="2197">
    <w:name w:val="小四表文左齐"/>
    <w:basedOn w:val="1"/>
    <w:autoRedefine/>
    <w:qFormat/>
    <w:uiPriority w:val="0"/>
    <w:pPr>
      <w:adjustRightInd w:val="0"/>
      <w:snapToGrid w:val="0"/>
      <w:jc w:val="center"/>
    </w:pPr>
    <w:rPr>
      <w:rFonts w:ascii="仿宋_GB2312" w:hAnsi="宋体"/>
      <w:sz w:val="24"/>
      <w:szCs w:val="20"/>
    </w:rPr>
  </w:style>
  <w:style w:type="paragraph" w:customStyle="1" w:styleId="2198">
    <w:name w:val="aa"/>
    <w:basedOn w:val="1"/>
    <w:autoRedefine/>
    <w:qFormat/>
    <w:uiPriority w:val="39"/>
    <w:pPr>
      <w:widowControl/>
      <w:spacing w:before="100" w:beforeAutospacing="1" w:after="100" w:afterAutospacing="1"/>
      <w:jc w:val="left"/>
    </w:pPr>
    <w:rPr>
      <w:rFonts w:ascii="Arial" w:hAnsi="Arial" w:cs="Arial"/>
      <w:kern w:val="0"/>
      <w:sz w:val="18"/>
      <w:szCs w:val="18"/>
    </w:rPr>
  </w:style>
  <w:style w:type="paragraph" w:customStyle="1" w:styleId="2199">
    <w:name w:val="文件编号"/>
    <w:basedOn w:val="1"/>
    <w:next w:val="1"/>
    <w:autoRedefine/>
    <w:qFormat/>
    <w:uiPriority w:val="0"/>
    <w:pPr>
      <w:jc w:val="center"/>
    </w:pPr>
    <w:rPr>
      <w:rFonts w:ascii="黑体" w:eastAsia="黑体"/>
      <w:sz w:val="44"/>
      <w:szCs w:val="20"/>
    </w:rPr>
  </w:style>
  <w:style w:type="paragraph" w:customStyle="1" w:styleId="2200">
    <w:name w:val="正文.22"/>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201">
    <w:name w:val="表内宋5中32"/>
    <w:basedOn w:val="1"/>
    <w:autoRedefine/>
    <w:qFormat/>
    <w:uiPriority w:val="0"/>
    <w:pPr>
      <w:adjustRightInd w:val="0"/>
      <w:snapToGrid w:val="0"/>
      <w:textAlignment w:val="baseline"/>
    </w:pPr>
    <w:rPr>
      <w:color w:val="000000"/>
      <w:kern w:val="0"/>
      <w:szCs w:val="20"/>
    </w:rPr>
  </w:style>
  <w:style w:type="paragraph" w:customStyle="1" w:styleId="2202">
    <w:name w:val="框图"/>
    <w:basedOn w:val="1"/>
    <w:autoRedefine/>
    <w:qFormat/>
    <w:uiPriority w:val="0"/>
    <w:pPr>
      <w:adjustRightInd w:val="0"/>
      <w:snapToGrid w:val="0"/>
      <w:ind w:left="2" w:leftChars="-38" w:right="-106" w:hanging="108" w:hangingChars="54"/>
      <w:jc w:val="center"/>
    </w:pPr>
    <w:rPr>
      <w:rFonts w:ascii="仿宋_GB2312" w:eastAsia="仿宋_GB2312"/>
      <w:sz w:val="20"/>
      <w:szCs w:val="20"/>
    </w:rPr>
  </w:style>
  <w:style w:type="paragraph" w:customStyle="1" w:styleId="2203">
    <w:name w:val="p14_l"/>
    <w:basedOn w:val="1"/>
    <w:autoRedefine/>
    <w:qFormat/>
    <w:uiPriority w:val="99"/>
    <w:pPr>
      <w:widowControl/>
      <w:spacing w:before="100" w:beforeAutospacing="1" w:after="100" w:afterAutospacing="1"/>
      <w:jc w:val="left"/>
    </w:pPr>
    <w:rPr>
      <w:rFonts w:ascii="宋体" w:hAnsi="宋体"/>
      <w:color w:val="484848"/>
      <w:kern w:val="0"/>
      <w:sz w:val="23"/>
      <w:szCs w:val="20"/>
    </w:rPr>
  </w:style>
  <w:style w:type="paragraph" w:customStyle="1" w:styleId="2204">
    <w:name w:val="文章附标题"/>
    <w:basedOn w:val="1"/>
    <w:next w:val="1683"/>
    <w:autoRedefine/>
    <w:qFormat/>
    <w:uiPriority w:val="99"/>
    <w:pPr>
      <w:widowControl/>
      <w:spacing w:before="187" w:after="175" w:line="374" w:lineRule="atLeast"/>
      <w:jc w:val="center"/>
      <w:textAlignment w:val="baseline"/>
    </w:pPr>
    <w:rPr>
      <w:color w:val="000000"/>
      <w:kern w:val="0"/>
      <w:sz w:val="36"/>
      <w:szCs w:val="20"/>
      <w:u w:color="000000"/>
    </w:rPr>
  </w:style>
  <w:style w:type="paragraph" w:customStyle="1" w:styleId="2205">
    <w:name w:val="封面标准文稿编辑信息"/>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206">
    <w:name w:val="Char Char1 Char"/>
    <w:basedOn w:val="1"/>
    <w:autoRedefine/>
    <w:qFormat/>
    <w:uiPriority w:val="99"/>
    <w:pPr>
      <w:widowControl/>
      <w:spacing w:after="160" w:line="240" w:lineRule="exact"/>
      <w:jc w:val="left"/>
    </w:pPr>
    <w:rPr>
      <w:szCs w:val="20"/>
    </w:rPr>
  </w:style>
  <w:style w:type="paragraph" w:customStyle="1" w:styleId="2207">
    <w:name w:val="标题431112"/>
    <w:basedOn w:val="1"/>
    <w:autoRedefine/>
    <w:qFormat/>
    <w:uiPriority w:val="0"/>
    <w:pPr>
      <w:adjustRightInd w:val="0"/>
      <w:snapToGrid w:val="0"/>
      <w:spacing w:line="480" w:lineRule="exact"/>
      <w:jc w:val="center"/>
    </w:pPr>
    <w:rPr>
      <w:rFonts w:ascii="宋体" w:hAnsi="宋体" w:cs="宋体"/>
      <w:sz w:val="24"/>
    </w:rPr>
  </w:style>
  <w:style w:type="paragraph" w:customStyle="1" w:styleId="2208">
    <w:name w:val="样式 标题 11.标题 1章标题 1H1Section HeadHeader1h11st levell1Hea..."/>
    <w:basedOn w:val="3"/>
    <w:autoRedefine/>
    <w:qFormat/>
    <w:uiPriority w:val="39"/>
    <w:pPr>
      <w:tabs>
        <w:tab w:val="left" w:pos="360"/>
      </w:tabs>
      <w:overflowPunct/>
      <w:snapToGrid/>
      <w:spacing w:before="0" w:after="0" w:line="240" w:lineRule="auto"/>
      <w:ind w:left="0" w:firstLine="0"/>
      <w:jc w:val="center"/>
    </w:pPr>
    <w:rPr>
      <w:rFonts w:ascii="Calibri" w:hAnsi="Calibri" w:eastAsia="楷体_GB2312"/>
      <w:b w:val="0"/>
      <w:bCs w:val="0"/>
      <w:color w:val="auto"/>
      <w:kern w:val="0"/>
      <w:sz w:val="28"/>
      <w:szCs w:val="20"/>
    </w:rPr>
  </w:style>
  <w:style w:type="paragraph" w:customStyle="1" w:styleId="2209">
    <w:name w:val="项目名称"/>
    <w:basedOn w:val="1"/>
    <w:next w:val="1"/>
    <w:autoRedefine/>
    <w:qFormat/>
    <w:uiPriority w:val="0"/>
    <w:pPr>
      <w:spacing w:line="800" w:lineRule="atLeast"/>
      <w:jc w:val="center"/>
      <w:outlineLvl w:val="0"/>
    </w:pPr>
    <w:rPr>
      <w:rFonts w:ascii="黑体" w:eastAsia="黑体"/>
      <w:sz w:val="52"/>
      <w:szCs w:val="20"/>
    </w:rPr>
  </w:style>
  <w:style w:type="paragraph" w:customStyle="1" w:styleId="2210">
    <w:name w:val="默认段落字体 Para Char Char Char Char34"/>
    <w:basedOn w:val="1"/>
    <w:autoRedefine/>
    <w:qFormat/>
    <w:uiPriority w:val="0"/>
  </w:style>
  <w:style w:type="paragraph" w:customStyle="1" w:styleId="2211">
    <w:name w:val="目录3"/>
    <w:basedOn w:val="1"/>
    <w:next w:val="1"/>
    <w:autoRedefine/>
    <w:qFormat/>
    <w:uiPriority w:val="0"/>
    <w:pPr>
      <w:widowControl/>
      <w:tabs>
        <w:tab w:val="left" w:leader="dot" w:pos="8503"/>
      </w:tabs>
      <w:spacing w:line="317" w:lineRule="atLeast"/>
      <w:ind w:left="419" w:firstLine="419"/>
      <w:textAlignment w:val="baseline"/>
    </w:pPr>
    <w:rPr>
      <w:color w:val="000000"/>
      <w:kern w:val="0"/>
      <w:szCs w:val="20"/>
      <w:u w:color="000000"/>
    </w:rPr>
  </w:style>
  <w:style w:type="paragraph" w:customStyle="1" w:styleId="2212">
    <w:name w:val="图题222"/>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2213">
    <w:name w:val="表内59"/>
    <w:basedOn w:val="1"/>
    <w:autoRedefine/>
    <w:qFormat/>
    <w:uiPriority w:val="0"/>
    <w:pPr>
      <w:adjustRightInd w:val="0"/>
      <w:snapToGrid w:val="0"/>
      <w:spacing w:line="300" w:lineRule="auto"/>
      <w:jc w:val="center"/>
    </w:pPr>
    <w:rPr>
      <w:rFonts w:ascii="宋体"/>
      <w:snapToGrid w:val="0"/>
      <w:szCs w:val="21"/>
    </w:rPr>
  </w:style>
  <w:style w:type="paragraph" w:customStyle="1" w:styleId="2214">
    <w:name w:val="四级无标题条"/>
    <w:basedOn w:val="1"/>
    <w:autoRedefine/>
    <w:qFormat/>
    <w:uiPriority w:val="99"/>
    <w:rPr>
      <w:szCs w:val="20"/>
    </w:rPr>
  </w:style>
  <w:style w:type="paragraph" w:customStyle="1" w:styleId="2215">
    <w:name w:val="图题44"/>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2216">
    <w:name w:val="环评样式"/>
    <w:basedOn w:val="1"/>
    <w:autoRedefine/>
    <w:qFormat/>
    <w:uiPriority w:val="0"/>
    <w:pPr>
      <w:adjustRightInd w:val="0"/>
      <w:snapToGrid w:val="0"/>
      <w:spacing w:line="360" w:lineRule="auto"/>
      <w:ind w:left="5" w:hanging="5"/>
      <w:textAlignment w:val="baseline"/>
      <w:outlineLvl w:val="0"/>
    </w:pPr>
    <w:rPr>
      <w:rFonts w:ascii="仿宋_GB2312" w:hAnsi="Alaska" w:eastAsia="仿宋_GB2312"/>
      <w:kern w:val="0"/>
      <w:sz w:val="30"/>
      <w:szCs w:val="20"/>
    </w:rPr>
  </w:style>
  <w:style w:type="paragraph" w:customStyle="1" w:styleId="2217">
    <w:name w:val="CM117"/>
    <w:basedOn w:val="107"/>
    <w:next w:val="107"/>
    <w:autoRedefine/>
    <w:qFormat/>
    <w:uiPriority w:val="39"/>
    <w:pPr>
      <w:spacing w:after="58" w:line="240" w:lineRule="auto"/>
    </w:pPr>
    <w:rPr>
      <w:rFonts w:ascii="楷体_GB2312" w:hAnsi="Times New Roman" w:eastAsia="楷体_GB2312" w:cs="Times New Roman"/>
      <w:color w:val="auto"/>
    </w:rPr>
  </w:style>
  <w:style w:type="paragraph" w:customStyle="1" w:styleId="2218">
    <w:name w:val="附件1"/>
    <w:basedOn w:val="3"/>
    <w:next w:val="416"/>
    <w:autoRedefine/>
    <w:qFormat/>
    <w:uiPriority w:val="0"/>
    <w:pPr>
      <w:keepLines/>
      <w:tabs>
        <w:tab w:val="left" w:pos="1566"/>
      </w:tabs>
      <w:overflowPunct/>
      <w:snapToGrid/>
      <w:spacing w:before="0" w:after="210" w:line="360" w:lineRule="auto"/>
      <w:ind w:left="0" w:firstLine="0"/>
      <w:jc w:val="left"/>
    </w:pPr>
    <w:rPr>
      <w:rFonts w:ascii="黑体" w:hAnsi="宋体"/>
      <w:b w:val="0"/>
      <w:color w:val="auto"/>
      <w:sz w:val="32"/>
      <w:szCs w:val="32"/>
    </w:rPr>
  </w:style>
  <w:style w:type="paragraph" w:customStyle="1" w:styleId="2219">
    <w:name w:val="表格标注"/>
    <w:basedOn w:val="2176"/>
    <w:autoRedefine/>
    <w:qFormat/>
    <w:uiPriority w:val="99"/>
    <w:pPr>
      <w:spacing w:beforeLines="20"/>
    </w:pPr>
  </w:style>
  <w:style w:type="paragraph" w:customStyle="1" w:styleId="2220">
    <w:name w:val="表内文字小3"/>
    <w:basedOn w:val="1"/>
    <w:autoRedefine/>
    <w:qFormat/>
    <w:uiPriority w:val="0"/>
    <w:pPr>
      <w:adjustRightInd w:val="0"/>
      <w:snapToGrid w:val="0"/>
      <w:jc w:val="center"/>
    </w:pPr>
    <w:rPr>
      <w:rFonts w:ascii="宋体" w:hAnsi="Times"/>
      <w:szCs w:val="20"/>
    </w:rPr>
  </w:style>
  <w:style w:type="paragraph" w:customStyle="1" w:styleId="2221">
    <w:name w:val="默认段落字体 Para Char"/>
    <w:basedOn w:val="1"/>
    <w:autoRedefine/>
    <w:qFormat/>
    <w:uiPriority w:val="0"/>
    <w:rPr>
      <w:sz w:val="26"/>
      <w:szCs w:val="20"/>
    </w:rPr>
  </w:style>
  <w:style w:type="paragraph" w:customStyle="1" w:styleId="2222">
    <w:name w:val="xl42"/>
    <w:basedOn w:val="1"/>
    <w:autoRedefine/>
    <w:qFormat/>
    <w:uiPriority w:val="0"/>
    <w:pPr>
      <w:widowControl/>
      <w:pBdr>
        <w:bottom w:val="dotted" w:color="auto" w:sz="4" w:space="0"/>
        <w:right w:val="dotted" w:color="auto" w:sz="4" w:space="0"/>
      </w:pBdr>
      <w:spacing w:before="100" w:beforeAutospacing="1" w:after="100" w:afterAutospacing="1"/>
      <w:jc w:val="center"/>
    </w:pPr>
    <w:rPr>
      <w:kern w:val="0"/>
      <w:szCs w:val="20"/>
    </w:rPr>
  </w:style>
  <w:style w:type="paragraph" w:customStyle="1" w:styleId="2223">
    <w:name w:val="正文王"/>
    <w:basedOn w:val="45"/>
    <w:autoRedefine/>
    <w:qFormat/>
    <w:uiPriority w:val="0"/>
    <w:pPr>
      <w:spacing w:line="440" w:lineRule="exact"/>
    </w:pPr>
    <w:rPr>
      <w:rFonts w:ascii="Arial" w:hAnsi="Arial"/>
      <w:snapToGrid w:val="0"/>
      <w:sz w:val="24"/>
      <w:szCs w:val="20"/>
    </w:rPr>
  </w:style>
  <w:style w:type="paragraph" w:customStyle="1" w:styleId="2224">
    <w:name w:val="样式 标题 4无效格式无效格式1河石管道4H4H41小小节河石管道41H42H411小小节1河石管道42...1"/>
    <w:basedOn w:val="6"/>
    <w:autoRedefine/>
    <w:qFormat/>
    <w:uiPriority w:val="0"/>
    <w:pPr>
      <w:adjustRightInd w:val="0"/>
      <w:snapToGrid w:val="0"/>
      <w:spacing w:before="0" w:after="0" w:line="360" w:lineRule="auto"/>
      <w:ind w:left="664" w:hanging="864"/>
      <w:jc w:val="left"/>
    </w:pPr>
    <w:rPr>
      <w:rFonts w:ascii="黑体" w:cs="宋体"/>
      <w:b w:val="0"/>
      <w:bCs w:val="0"/>
      <w:sz w:val="24"/>
      <w:szCs w:val="20"/>
    </w:rPr>
  </w:style>
  <w:style w:type="paragraph" w:customStyle="1" w:styleId="2225">
    <w:name w:val="font14"/>
    <w:basedOn w:val="1"/>
    <w:autoRedefine/>
    <w:qFormat/>
    <w:uiPriority w:val="0"/>
    <w:pPr>
      <w:widowControl/>
      <w:spacing w:before="100" w:beforeAutospacing="1" w:after="100" w:afterAutospacing="1"/>
      <w:jc w:val="left"/>
    </w:pPr>
    <w:rPr>
      <w:kern w:val="0"/>
      <w:szCs w:val="21"/>
    </w:rPr>
  </w:style>
  <w:style w:type="paragraph" w:customStyle="1" w:styleId="2226">
    <w:name w:val="表题312"/>
    <w:basedOn w:val="35"/>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2227">
    <w:name w:val="默认段落字体 Para Char Char Char Char24"/>
    <w:basedOn w:val="1"/>
    <w:autoRedefine/>
    <w:qFormat/>
    <w:uiPriority w:val="0"/>
  </w:style>
  <w:style w:type="paragraph" w:customStyle="1" w:styleId="2228">
    <w:name w:val="样式 标题 3 + 左侧:  0 毫米 悬挂缩进: 7.09 字符 行距: 最小值 25 磅"/>
    <w:basedOn w:val="5"/>
    <w:autoRedefine/>
    <w:qFormat/>
    <w:uiPriority w:val="0"/>
    <w:pPr>
      <w:ind w:left="720" w:hanging="432"/>
    </w:pPr>
    <w:rPr>
      <w:kern w:val="0"/>
      <w:lang w:val="en-US"/>
    </w:rPr>
  </w:style>
  <w:style w:type="paragraph" w:customStyle="1" w:styleId="2229">
    <w:name w:val="注解"/>
    <w:autoRedefine/>
    <w:qFormat/>
    <w:uiPriority w:val="0"/>
    <w:pPr>
      <w:widowControl w:val="0"/>
      <w:jc w:val="center"/>
    </w:pPr>
    <w:rPr>
      <w:rFonts w:ascii="宋体" w:hAnsi="Arial Black" w:eastAsia="宋体" w:cs="Times New Roman"/>
      <w:kern w:val="2"/>
      <w:sz w:val="18"/>
      <w:lang w:val="en-US" w:eastAsia="zh-CN" w:bidi="ar-SA"/>
    </w:rPr>
  </w:style>
  <w:style w:type="paragraph" w:customStyle="1" w:styleId="2230">
    <w:name w:val="默认段落字体 Para Char21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231">
    <w:name w:val="Char42"/>
    <w:basedOn w:val="1"/>
    <w:autoRedefine/>
    <w:qFormat/>
    <w:uiPriority w:val="0"/>
    <w:rPr>
      <w:sz w:val="24"/>
    </w:rPr>
  </w:style>
  <w:style w:type="paragraph" w:customStyle="1" w:styleId="2232">
    <w:name w:val="表内5313"/>
    <w:basedOn w:val="1"/>
    <w:autoRedefine/>
    <w:qFormat/>
    <w:uiPriority w:val="0"/>
    <w:pPr>
      <w:adjustRightInd w:val="0"/>
      <w:snapToGrid w:val="0"/>
      <w:spacing w:line="300" w:lineRule="auto"/>
      <w:jc w:val="left"/>
    </w:pPr>
    <w:rPr>
      <w:rFonts w:ascii="宋体"/>
      <w:szCs w:val="20"/>
    </w:rPr>
  </w:style>
  <w:style w:type="paragraph" w:customStyle="1" w:styleId="2233">
    <w:name w:val="Char Char1 Char Char Char Char Char Char Char"/>
    <w:basedOn w:val="1"/>
    <w:autoRedefine/>
    <w:qFormat/>
    <w:uiPriority w:val="99"/>
    <w:rPr>
      <w:sz w:val="24"/>
      <w:szCs w:val="20"/>
    </w:rPr>
  </w:style>
  <w:style w:type="paragraph" w:customStyle="1" w:styleId="2234">
    <w:name w:val="样式 标题 3 + 左侧:  0 毫米 首行缩进:  0 毫米 行距: 最小值 25 磅"/>
    <w:basedOn w:val="5"/>
    <w:autoRedefine/>
    <w:qFormat/>
    <w:uiPriority w:val="0"/>
    <w:pPr>
      <w:ind w:left="720" w:hanging="432"/>
    </w:pPr>
    <w:rPr>
      <w:kern w:val="0"/>
      <w:lang w:val="en-US"/>
    </w:rPr>
  </w:style>
  <w:style w:type="paragraph" w:customStyle="1" w:styleId="2235">
    <w:name w:val="表格内字体43"/>
    <w:basedOn w:val="416"/>
    <w:next w:val="416"/>
    <w:autoRedefine/>
    <w:qFormat/>
    <w:uiPriority w:val="0"/>
    <w:pPr>
      <w:spacing w:line="240" w:lineRule="auto"/>
      <w:ind w:firstLine="0"/>
      <w:jc w:val="center"/>
    </w:pPr>
    <w:rPr>
      <w:rFonts w:ascii="宋体" w:hAnsi="宋体"/>
      <w:b w:val="0"/>
      <w:spacing w:val="0"/>
      <w:szCs w:val="24"/>
    </w:rPr>
  </w:style>
  <w:style w:type="paragraph" w:customStyle="1" w:styleId="2236">
    <w:name w:val="默认段落字体 Para Char3"/>
    <w:basedOn w:val="1"/>
    <w:autoRedefine/>
    <w:qFormat/>
    <w:uiPriority w:val="0"/>
    <w:pPr>
      <w:spacing w:line="360" w:lineRule="auto"/>
      <w:ind w:firstLine="200" w:firstLineChars="200"/>
    </w:pPr>
    <w:rPr>
      <w:rFonts w:ascii="宋体" w:hAnsi="宋体" w:cs="宋体"/>
      <w:sz w:val="24"/>
    </w:rPr>
  </w:style>
  <w:style w:type="paragraph" w:customStyle="1" w:styleId="2237">
    <w:name w:val="Char Char Char Char Char Char Char31"/>
    <w:basedOn w:val="1"/>
    <w:autoRedefine/>
    <w:qFormat/>
    <w:uiPriority w:val="0"/>
  </w:style>
  <w:style w:type="paragraph" w:customStyle="1" w:styleId="2238">
    <w:name w:val="xl2411"/>
    <w:basedOn w:val="1"/>
    <w:autoRedefine/>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2239">
    <w:name w:val="燕山正文11112"/>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240">
    <w:name w:val="燕山正文7"/>
    <w:basedOn w:val="1"/>
    <w:autoRedefine/>
    <w:qFormat/>
    <w:uiPriority w:val="0"/>
    <w:pPr>
      <w:tabs>
        <w:tab w:val="left" w:pos="4680"/>
      </w:tabs>
      <w:adjustRightInd w:val="0"/>
      <w:snapToGrid w:val="0"/>
      <w:spacing w:line="480" w:lineRule="exact"/>
    </w:pPr>
    <w:rPr>
      <w:rFonts w:ascii="宋体" w:cs="宋体"/>
      <w:sz w:val="24"/>
    </w:rPr>
  </w:style>
  <w:style w:type="paragraph" w:customStyle="1" w:styleId="2241">
    <w:name w:val="Char Char Char Char Char Char Char Char"/>
    <w:basedOn w:val="1"/>
    <w:autoRedefine/>
    <w:qFormat/>
    <w:uiPriority w:val="0"/>
    <w:rPr>
      <w:sz w:val="24"/>
      <w:szCs w:val="20"/>
    </w:rPr>
  </w:style>
  <w:style w:type="paragraph" w:customStyle="1" w:styleId="2242">
    <w:name w:val="Char Char Char Char Char Char Char113"/>
    <w:basedOn w:val="1"/>
    <w:autoRedefine/>
    <w:qFormat/>
    <w:uiPriority w:val="0"/>
    <w:rPr>
      <w:szCs w:val="20"/>
    </w:rPr>
  </w:style>
  <w:style w:type="paragraph" w:customStyle="1" w:styleId="2243">
    <w:name w:val="Char48"/>
    <w:basedOn w:val="1"/>
    <w:autoRedefine/>
    <w:qFormat/>
    <w:uiPriority w:val="0"/>
    <w:pPr>
      <w:ind w:left="-48"/>
    </w:pPr>
  </w:style>
  <w:style w:type="paragraph" w:customStyle="1" w:styleId="2244">
    <w:name w:val="xl83"/>
    <w:basedOn w:val="1"/>
    <w:autoRedefine/>
    <w:qFormat/>
    <w:uiPriority w:val="0"/>
    <w:pPr>
      <w:widowControl/>
      <w:pBdr>
        <w:bottom w:val="single" w:color="auto" w:sz="8" w:space="0"/>
        <w:right w:val="single" w:color="auto" w:sz="8" w:space="0"/>
      </w:pBdr>
      <w:spacing w:before="100" w:beforeAutospacing="1" w:after="100" w:afterAutospacing="1"/>
      <w:jc w:val="center"/>
      <w:textAlignment w:val="bottom"/>
    </w:pPr>
    <w:rPr>
      <w:rFonts w:ascii="宋体" w:hAnsi="宋体" w:cs="宋体"/>
      <w:kern w:val="0"/>
      <w:szCs w:val="21"/>
    </w:rPr>
  </w:style>
  <w:style w:type="paragraph" w:customStyle="1" w:styleId="2245">
    <w:name w:val="正文文字缩进2字符"/>
    <w:basedOn w:val="1"/>
    <w:next w:val="35"/>
    <w:autoRedefine/>
    <w:qFormat/>
    <w:uiPriority w:val="0"/>
    <w:pPr>
      <w:tabs>
        <w:tab w:val="left" w:pos="360"/>
        <w:tab w:val="center" w:pos="630"/>
      </w:tabs>
      <w:spacing w:line="480" w:lineRule="exact"/>
      <w:ind w:firstLine="567"/>
    </w:pPr>
    <w:rPr>
      <w:rFonts w:ascii="宋体"/>
      <w:spacing w:val="6"/>
      <w:sz w:val="28"/>
      <w:szCs w:val="20"/>
    </w:rPr>
  </w:style>
  <w:style w:type="paragraph" w:customStyle="1" w:styleId="2246">
    <w:name w:val="燕山正文114"/>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247">
    <w:name w:val="小四宋居中1.0"/>
    <w:basedOn w:val="1"/>
    <w:next w:val="1"/>
    <w:autoRedefine/>
    <w:qFormat/>
    <w:uiPriority w:val="0"/>
    <w:pPr>
      <w:spacing w:line="230" w:lineRule="exact"/>
      <w:jc w:val="center"/>
    </w:pPr>
    <w:rPr>
      <w:rFonts w:ascii="仿宋_GB2312" w:hAnsi="宋体" w:eastAsia="仿宋_GB2312"/>
      <w:szCs w:val="20"/>
    </w:rPr>
  </w:style>
  <w:style w:type="paragraph" w:customStyle="1" w:styleId="2248">
    <w:name w:val="图框"/>
    <w:basedOn w:val="1"/>
    <w:autoRedefine/>
    <w:qFormat/>
    <w:uiPriority w:val="0"/>
    <w:pPr>
      <w:jc w:val="center"/>
    </w:pPr>
    <w:rPr>
      <w:szCs w:val="15"/>
    </w:rPr>
  </w:style>
  <w:style w:type="paragraph" w:customStyle="1" w:styleId="2249">
    <w:name w:val="默认段落字体 Para Char Char Char Char7"/>
    <w:basedOn w:val="1"/>
    <w:autoRedefine/>
    <w:qFormat/>
    <w:uiPriority w:val="0"/>
  </w:style>
  <w:style w:type="paragraph" w:customStyle="1" w:styleId="2250">
    <w:name w:val="xl78"/>
    <w:basedOn w:val="1"/>
    <w:autoRedefine/>
    <w:qFormat/>
    <w:uiPriority w:val="0"/>
    <w:pPr>
      <w:widowControl/>
      <w:pBdr>
        <w:bottom w:val="single" w:color="auto" w:sz="8" w:space="0"/>
        <w:right w:val="single" w:color="auto" w:sz="8" w:space="0"/>
      </w:pBdr>
      <w:spacing w:before="100" w:beforeAutospacing="1" w:after="100" w:afterAutospacing="1"/>
      <w:jc w:val="center"/>
      <w:textAlignment w:val="bottom"/>
    </w:pPr>
    <w:rPr>
      <w:rFonts w:ascii="宋体" w:hAnsi="宋体" w:cs="宋体"/>
      <w:kern w:val="0"/>
      <w:szCs w:val="21"/>
    </w:rPr>
  </w:style>
  <w:style w:type="paragraph" w:customStyle="1" w:styleId="2251">
    <w:name w:val="Char1111"/>
    <w:basedOn w:val="1"/>
    <w:autoRedefine/>
    <w:qFormat/>
    <w:uiPriority w:val="0"/>
    <w:pPr>
      <w:adjustRightInd w:val="0"/>
      <w:snapToGrid w:val="0"/>
      <w:spacing w:beforeLines="50" w:line="360" w:lineRule="auto"/>
    </w:pPr>
    <w:rPr>
      <w:rFonts w:ascii="黑体" w:eastAsia="黑体"/>
      <w:sz w:val="32"/>
      <w:szCs w:val="32"/>
    </w:rPr>
  </w:style>
  <w:style w:type="paragraph" w:customStyle="1" w:styleId="2252">
    <w:name w:val="Char Char Char Char Char Char Char Char Char Char Char1 Char Char Char Char Char Char Char Char Char Char Char Char Char Char Char Char"/>
    <w:basedOn w:val="1"/>
    <w:autoRedefine/>
    <w:qFormat/>
    <w:uiPriority w:val="99"/>
    <w:rPr>
      <w:sz w:val="24"/>
    </w:rPr>
  </w:style>
  <w:style w:type="paragraph" w:customStyle="1" w:styleId="2253">
    <w:name w:val="列出段落3"/>
    <w:basedOn w:val="1"/>
    <w:autoRedefine/>
    <w:qFormat/>
    <w:uiPriority w:val="99"/>
    <w:pPr>
      <w:ind w:firstLine="420" w:firstLineChars="200"/>
    </w:pPr>
    <w:rPr>
      <w:szCs w:val="22"/>
    </w:rPr>
  </w:style>
  <w:style w:type="paragraph" w:customStyle="1" w:styleId="2254">
    <w:name w:val="_Style 1"/>
    <w:basedOn w:val="1"/>
    <w:next w:val="9"/>
    <w:autoRedefine/>
    <w:qFormat/>
    <w:uiPriority w:val="99"/>
    <w:pPr>
      <w:adjustRightInd w:val="0"/>
      <w:spacing w:line="288" w:lineRule="auto"/>
      <w:ind w:firstLine="480"/>
      <w:textAlignment w:val="baseline"/>
    </w:pPr>
    <w:rPr>
      <w:rFonts w:ascii="宋体" w:hAnsi="宋体" w:cs="宋体"/>
      <w:sz w:val="24"/>
    </w:rPr>
  </w:style>
  <w:style w:type="paragraph" w:customStyle="1" w:styleId="2255">
    <w:name w:val="正文文本缩进 33"/>
    <w:basedOn w:val="1"/>
    <w:autoRedefine/>
    <w:qFormat/>
    <w:uiPriority w:val="99"/>
    <w:pPr>
      <w:spacing w:after="120"/>
      <w:ind w:left="420" w:leftChars="200"/>
    </w:pPr>
    <w:rPr>
      <w:rFonts w:eastAsia="仿宋_GB2312"/>
      <w:sz w:val="16"/>
      <w:szCs w:val="16"/>
    </w:rPr>
  </w:style>
  <w:style w:type="paragraph" w:customStyle="1" w:styleId="2256">
    <w:name w:val="正文格式23"/>
    <w:basedOn w:val="1"/>
    <w:autoRedefine/>
    <w:qFormat/>
    <w:uiPriority w:val="0"/>
    <w:pPr>
      <w:spacing w:line="360" w:lineRule="auto"/>
      <w:ind w:firstLine="482"/>
    </w:pPr>
    <w:rPr>
      <w:rFonts w:ascii="宋体" w:hAnsi="宋体"/>
      <w:sz w:val="24"/>
    </w:rPr>
  </w:style>
  <w:style w:type="paragraph" w:customStyle="1" w:styleId="2257">
    <w:name w:val="日期3"/>
    <w:basedOn w:val="1"/>
    <w:next w:val="1"/>
    <w:autoRedefine/>
    <w:qFormat/>
    <w:uiPriority w:val="99"/>
    <w:rPr>
      <w:rFonts w:eastAsia="仿宋_GB2312"/>
      <w:sz w:val="30"/>
      <w:szCs w:val="20"/>
    </w:rPr>
  </w:style>
  <w:style w:type="paragraph" w:customStyle="1" w:styleId="2258">
    <w:name w:val="标题003"/>
    <w:basedOn w:val="1"/>
    <w:autoRedefine/>
    <w:qFormat/>
    <w:uiPriority w:val="0"/>
    <w:pPr>
      <w:spacing w:before="120" w:line="440" w:lineRule="exact"/>
      <w:outlineLvl w:val="2"/>
    </w:pPr>
    <w:rPr>
      <w:b/>
      <w:sz w:val="27"/>
      <w:szCs w:val="20"/>
    </w:rPr>
  </w:style>
  <w:style w:type="paragraph" w:customStyle="1" w:styleId="2259">
    <w:name w:val="表内54"/>
    <w:basedOn w:val="1"/>
    <w:autoRedefine/>
    <w:qFormat/>
    <w:uiPriority w:val="0"/>
    <w:pPr>
      <w:adjustRightInd w:val="0"/>
      <w:snapToGrid w:val="0"/>
      <w:spacing w:line="300" w:lineRule="auto"/>
      <w:jc w:val="left"/>
    </w:pPr>
    <w:rPr>
      <w:rFonts w:ascii="宋体"/>
      <w:sz w:val="18"/>
      <w:szCs w:val="20"/>
    </w:rPr>
  </w:style>
  <w:style w:type="paragraph" w:customStyle="1" w:styleId="2260">
    <w:name w:val="样式a"/>
    <w:basedOn w:val="1"/>
    <w:autoRedefine/>
    <w:qFormat/>
    <w:uiPriority w:val="99"/>
    <w:pPr>
      <w:adjustRightInd w:val="0"/>
      <w:snapToGrid w:val="0"/>
      <w:spacing w:line="420" w:lineRule="exact"/>
      <w:ind w:left="5" w:firstLine="200" w:firstLineChars="200"/>
      <w:textAlignment w:val="baseline"/>
    </w:pPr>
    <w:rPr>
      <w:kern w:val="0"/>
      <w:sz w:val="24"/>
    </w:rPr>
  </w:style>
  <w:style w:type="paragraph" w:customStyle="1" w:styleId="2261">
    <w:name w:val="标题4113"/>
    <w:basedOn w:val="1"/>
    <w:autoRedefine/>
    <w:qFormat/>
    <w:uiPriority w:val="0"/>
    <w:pPr>
      <w:adjustRightInd w:val="0"/>
      <w:snapToGrid w:val="0"/>
      <w:spacing w:line="300" w:lineRule="auto"/>
      <w:jc w:val="left"/>
    </w:pPr>
    <w:rPr>
      <w:rFonts w:ascii="黑体" w:hAnsi="宋体" w:eastAsia="黑体" w:cs="宋体"/>
      <w:bCs/>
      <w:sz w:val="24"/>
      <w:szCs w:val="20"/>
    </w:rPr>
  </w:style>
  <w:style w:type="paragraph" w:customStyle="1" w:styleId="2262">
    <w:name w:val="表头样式1"/>
    <w:basedOn w:val="1"/>
    <w:autoRedefine/>
    <w:qFormat/>
    <w:uiPriority w:val="0"/>
    <w:pPr>
      <w:autoSpaceDE w:val="0"/>
      <w:autoSpaceDN w:val="0"/>
      <w:adjustRightInd w:val="0"/>
      <w:snapToGrid w:val="0"/>
      <w:spacing w:beforeLines="20" w:afterLines="20" w:line="360" w:lineRule="auto"/>
      <w:ind w:firstLine="480" w:firstLineChars="200"/>
      <w:jc w:val="center"/>
    </w:pPr>
    <w:rPr>
      <w:rFonts w:ascii="黑体" w:hAnsi="宋体" w:eastAsia="黑体"/>
      <w:kern w:val="0"/>
      <w:sz w:val="24"/>
      <w:szCs w:val="20"/>
    </w:rPr>
  </w:style>
  <w:style w:type="paragraph" w:customStyle="1" w:styleId="2263">
    <w:name w:val="001"/>
    <w:basedOn w:val="1"/>
    <w:autoRedefine/>
    <w:qFormat/>
    <w:uiPriority w:val="99"/>
    <w:pPr>
      <w:spacing w:line="360" w:lineRule="auto"/>
    </w:pPr>
    <w:rPr>
      <w:rFonts w:eastAsia="华文中宋"/>
      <w:sz w:val="28"/>
      <w:szCs w:val="28"/>
    </w:rPr>
  </w:style>
  <w:style w:type="paragraph" w:customStyle="1" w:styleId="2264">
    <w:name w:val="表内宋5中3"/>
    <w:basedOn w:val="1"/>
    <w:autoRedefine/>
    <w:qFormat/>
    <w:uiPriority w:val="0"/>
    <w:pPr>
      <w:adjustRightInd w:val="0"/>
      <w:snapToGrid w:val="0"/>
      <w:textAlignment w:val="baseline"/>
    </w:pPr>
    <w:rPr>
      <w:color w:val="000000"/>
      <w:kern w:val="0"/>
      <w:szCs w:val="20"/>
    </w:rPr>
  </w:style>
  <w:style w:type="paragraph" w:customStyle="1" w:styleId="2265">
    <w:name w:val="BGWZ1"/>
    <w:basedOn w:val="1"/>
    <w:autoRedefine/>
    <w:qFormat/>
    <w:uiPriority w:val="99"/>
    <w:pPr>
      <w:snapToGrid w:val="0"/>
      <w:spacing w:line="300" w:lineRule="exact"/>
      <w:jc w:val="center"/>
    </w:pPr>
    <w:rPr>
      <w:snapToGrid w:val="0"/>
      <w:kern w:val="0"/>
      <w:szCs w:val="21"/>
      <w:lang w:eastAsia="zh-TW"/>
    </w:rPr>
  </w:style>
  <w:style w:type="paragraph" w:customStyle="1" w:styleId="2266">
    <w:name w:val="Char Char Char1 Char3"/>
    <w:basedOn w:val="1"/>
    <w:autoRedefine/>
    <w:qFormat/>
    <w:uiPriority w:val="99"/>
    <w:rPr>
      <w:szCs w:val="20"/>
    </w:rPr>
  </w:style>
  <w:style w:type="paragraph" w:customStyle="1" w:styleId="2267">
    <w:name w:val="表内52"/>
    <w:basedOn w:val="1"/>
    <w:autoRedefine/>
    <w:qFormat/>
    <w:uiPriority w:val="0"/>
    <w:pPr>
      <w:adjustRightInd w:val="0"/>
      <w:snapToGrid w:val="0"/>
      <w:spacing w:line="300" w:lineRule="auto"/>
      <w:jc w:val="left"/>
    </w:pPr>
    <w:rPr>
      <w:rFonts w:ascii="宋体"/>
      <w:sz w:val="18"/>
      <w:szCs w:val="20"/>
    </w:rPr>
  </w:style>
  <w:style w:type="paragraph" w:customStyle="1" w:styleId="2268">
    <w:name w:val="宏福4"/>
    <w:basedOn w:val="1"/>
    <w:autoRedefine/>
    <w:qFormat/>
    <w:uiPriority w:val="0"/>
    <w:pPr>
      <w:adjustRightInd w:val="0"/>
      <w:spacing w:line="400" w:lineRule="atLeast"/>
      <w:ind w:firstLine="567"/>
      <w:jc w:val="left"/>
      <w:textAlignment w:val="baseline"/>
    </w:pPr>
    <w:rPr>
      <w:sz w:val="28"/>
      <w:szCs w:val="28"/>
    </w:rPr>
  </w:style>
  <w:style w:type="paragraph" w:customStyle="1" w:styleId="2269">
    <w:name w:val="表题21111"/>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2270">
    <w:name w:val="tu"/>
    <w:basedOn w:val="73"/>
    <w:autoRedefine/>
    <w:qFormat/>
    <w:uiPriority w:val="0"/>
    <w:pPr>
      <w:spacing w:line="360" w:lineRule="auto"/>
    </w:pPr>
    <w:rPr>
      <w:rFonts w:ascii="Times New Roman" w:eastAsia="宋体"/>
      <w:b/>
    </w:rPr>
  </w:style>
  <w:style w:type="paragraph" w:customStyle="1" w:styleId="2271">
    <w:name w:val="列出段落4"/>
    <w:basedOn w:val="1"/>
    <w:autoRedefine/>
    <w:qFormat/>
    <w:uiPriority w:val="99"/>
    <w:pPr>
      <w:ind w:firstLine="420" w:firstLineChars="200"/>
    </w:pPr>
    <w:rPr>
      <w:szCs w:val="22"/>
    </w:rPr>
  </w:style>
  <w:style w:type="paragraph" w:customStyle="1" w:styleId="2272">
    <w:name w:val="1表格"/>
    <w:basedOn w:val="1"/>
    <w:autoRedefine/>
    <w:qFormat/>
    <w:uiPriority w:val="99"/>
    <w:pPr>
      <w:adjustRightInd w:val="0"/>
      <w:snapToGrid w:val="0"/>
      <w:jc w:val="center"/>
      <w:textAlignment w:val="baseline"/>
    </w:pPr>
    <w:rPr>
      <w:rFonts w:ascii="宋体" w:hAnsi="宋体" w:cs="宋体"/>
      <w:spacing w:val="4"/>
      <w:sz w:val="24"/>
    </w:rPr>
  </w:style>
  <w:style w:type="paragraph" w:customStyle="1" w:styleId="2273">
    <w:name w:val="样式 标题 3 + 段前: 12 磅1"/>
    <w:basedOn w:val="5"/>
    <w:autoRedefine/>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lang w:val="en-US"/>
    </w:rPr>
  </w:style>
  <w:style w:type="paragraph" w:customStyle="1" w:styleId="2274">
    <w:name w:val="Char Char Char Char Char Char Char Char Char1 Char Char Char1 Char1"/>
    <w:basedOn w:val="1"/>
    <w:autoRedefine/>
    <w:qFormat/>
    <w:uiPriority w:val="39"/>
    <w:pPr>
      <w:spacing w:line="360" w:lineRule="auto"/>
      <w:ind w:firstLine="200" w:firstLineChars="200"/>
    </w:pPr>
    <w:rPr>
      <w:rFonts w:ascii="宋体" w:hAnsi="宋体" w:cs="宋体"/>
      <w:sz w:val="24"/>
    </w:rPr>
  </w:style>
  <w:style w:type="paragraph" w:customStyle="1" w:styleId="2275">
    <w:name w:val="wangjunbo.bullet"/>
    <w:basedOn w:val="1"/>
    <w:autoRedefine/>
    <w:qFormat/>
    <w:uiPriority w:val="0"/>
    <w:pPr>
      <w:jc w:val="center"/>
    </w:pPr>
    <w:rPr>
      <w:rFonts w:ascii="宋体" w:hAnsi="宋体"/>
      <w:szCs w:val="20"/>
    </w:rPr>
  </w:style>
  <w:style w:type="paragraph" w:customStyle="1" w:styleId="2276">
    <w:name w:val="图题23"/>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2277">
    <w:name w:val="Char33"/>
    <w:basedOn w:val="1"/>
    <w:autoRedefine/>
    <w:qFormat/>
    <w:uiPriority w:val="0"/>
    <w:rPr>
      <w:sz w:val="24"/>
    </w:rPr>
  </w:style>
  <w:style w:type="paragraph" w:customStyle="1" w:styleId="2278">
    <w:name w:val="图表名称1"/>
    <w:basedOn w:val="86"/>
    <w:autoRedefine/>
    <w:qFormat/>
    <w:uiPriority w:val="0"/>
    <w:pPr>
      <w:widowControl/>
      <w:adjustRightInd w:val="0"/>
      <w:snapToGrid w:val="0"/>
      <w:spacing w:after="0" w:line="480" w:lineRule="exact"/>
      <w:ind w:firstLine="0" w:firstLineChars="0"/>
      <w:jc w:val="center"/>
    </w:pPr>
    <w:rPr>
      <w:rFonts w:ascii="宋体" w:hAnsi="宋体"/>
      <w:bCs/>
      <w:sz w:val="24"/>
      <w:szCs w:val="24"/>
    </w:rPr>
  </w:style>
  <w:style w:type="paragraph" w:customStyle="1" w:styleId="2279">
    <w:name w:val="Char Char Char Char11"/>
    <w:basedOn w:val="1"/>
    <w:autoRedefine/>
    <w:qFormat/>
    <w:uiPriority w:val="0"/>
    <w:pPr>
      <w:widowControl/>
      <w:spacing w:after="160" w:line="240" w:lineRule="exact"/>
      <w:jc w:val="left"/>
    </w:pPr>
    <w:rPr>
      <w:rFonts w:ascii="Tahoma" w:hAnsi="Tahoma" w:cs="Tahoma"/>
      <w:kern w:val="0"/>
      <w:sz w:val="20"/>
      <w:szCs w:val="20"/>
      <w:lang w:eastAsia="en-US"/>
    </w:rPr>
  </w:style>
  <w:style w:type="paragraph" w:customStyle="1" w:styleId="2280">
    <w:name w:val="黑体三号12"/>
    <w:basedOn w:val="416"/>
    <w:autoRedefine/>
    <w:qFormat/>
    <w:uiPriority w:val="0"/>
    <w:pPr>
      <w:jc w:val="center"/>
    </w:pPr>
    <w:rPr>
      <w:rFonts w:ascii="黑体" w:hAnsi="宋体" w:eastAsia="黑体" w:cs="宋体"/>
      <w:bCs/>
      <w:spacing w:val="0"/>
      <w:sz w:val="32"/>
    </w:rPr>
  </w:style>
  <w:style w:type="paragraph" w:customStyle="1" w:styleId="2281">
    <w:name w:val="样式 正文文本缩进 + 左侧:  0.95 厘米 首行缩进:  0.63 厘米"/>
    <w:basedOn w:val="35"/>
    <w:autoRedefine/>
    <w:qFormat/>
    <w:uiPriority w:val="0"/>
    <w:pPr>
      <w:spacing w:after="0" w:line="480" w:lineRule="exact"/>
      <w:ind w:left="0" w:leftChars="0" w:firstLine="480" w:firstLineChars="200"/>
    </w:pPr>
    <w:rPr>
      <w:rFonts w:ascii="宋体" w:hAnsi="宋体"/>
      <w:color w:val="000000"/>
      <w:lang w:val="en-US"/>
    </w:rPr>
  </w:style>
  <w:style w:type="paragraph" w:customStyle="1" w:styleId="2282">
    <w:name w:val="标题44"/>
    <w:basedOn w:val="1"/>
    <w:autoRedefine/>
    <w:qFormat/>
    <w:uiPriority w:val="0"/>
    <w:pPr>
      <w:adjustRightInd w:val="0"/>
      <w:snapToGrid w:val="0"/>
      <w:spacing w:line="300" w:lineRule="auto"/>
      <w:jc w:val="left"/>
    </w:pPr>
    <w:rPr>
      <w:rFonts w:ascii="黑体" w:eastAsia="黑体"/>
      <w:bCs/>
      <w:sz w:val="24"/>
    </w:rPr>
  </w:style>
  <w:style w:type="paragraph" w:customStyle="1" w:styleId="2283">
    <w:name w:val="6"/>
    <w:basedOn w:val="1"/>
    <w:next w:val="76"/>
    <w:autoRedefine/>
    <w:qFormat/>
    <w:uiPriority w:val="0"/>
    <w:pPr>
      <w:spacing w:after="120" w:line="480" w:lineRule="auto"/>
    </w:pPr>
  </w:style>
  <w:style w:type="paragraph" w:customStyle="1" w:styleId="2284">
    <w:name w:val="正文格式211"/>
    <w:basedOn w:val="1"/>
    <w:autoRedefine/>
    <w:qFormat/>
    <w:uiPriority w:val="0"/>
    <w:pPr>
      <w:spacing w:line="360" w:lineRule="auto"/>
      <w:ind w:firstLine="482"/>
    </w:pPr>
    <w:rPr>
      <w:rFonts w:ascii="宋体" w:hAnsi="宋体"/>
      <w:sz w:val="24"/>
    </w:rPr>
  </w:style>
  <w:style w:type="paragraph" w:customStyle="1" w:styleId="2285">
    <w:name w:val="CM27"/>
    <w:basedOn w:val="1"/>
    <w:next w:val="1"/>
    <w:autoRedefine/>
    <w:qFormat/>
    <w:uiPriority w:val="0"/>
    <w:pPr>
      <w:autoSpaceDE w:val="0"/>
      <w:autoSpaceDN w:val="0"/>
      <w:adjustRightInd w:val="0"/>
      <w:spacing w:after="178"/>
      <w:jc w:val="left"/>
    </w:pPr>
    <w:rPr>
      <w:rFonts w:ascii="Li Super" w:eastAsia="Li Super"/>
      <w:kern w:val="0"/>
      <w:sz w:val="24"/>
    </w:rPr>
  </w:style>
  <w:style w:type="paragraph" w:customStyle="1" w:styleId="2286">
    <w:name w:val="样式 标题 3 + 首行缩进:  2 字符1"/>
    <w:basedOn w:val="5"/>
    <w:autoRedefine/>
    <w:qFormat/>
    <w:uiPriority w:val="0"/>
    <w:pPr>
      <w:ind w:left="720" w:hanging="432"/>
    </w:pPr>
    <w:rPr>
      <w:kern w:val="0"/>
      <w:lang w:val="en-US"/>
    </w:rPr>
  </w:style>
  <w:style w:type="paragraph" w:customStyle="1" w:styleId="2287">
    <w:name w:val="表内文字小2133"/>
    <w:basedOn w:val="1"/>
    <w:autoRedefine/>
    <w:qFormat/>
    <w:uiPriority w:val="0"/>
    <w:pPr>
      <w:adjustRightInd w:val="0"/>
      <w:snapToGrid w:val="0"/>
      <w:jc w:val="center"/>
      <w:textAlignment w:val="baseline"/>
    </w:pPr>
    <w:rPr>
      <w:rFonts w:ascii="宋体" w:hAnsi="Times"/>
      <w:bCs/>
      <w:color w:val="000000"/>
      <w:szCs w:val="20"/>
    </w:rPr>
  </w:style>
  <w:style w:type="paragraph" w:customStyle="1" w:styleId="2288">
    <w:name w:val="正文文本缩进 34"/>
    <w:basedOn w:val="1"/>
    <w:autoRedefine/>
    <w:qFormat/>
    <w:uiPriority w:val="99"/>
    <w:pPr>
      <w:spacing w:after="120"/>
      <w:ind w:left="420" w:leftChars="200"/>
    </w:pPr>
    <w:rPr>
      <w:rFonts w:eastAsia="仿宋_GB2312"/>
      <w:sz w:val="16"/>
      <w:szCs w:val="16"/>
    </w:rPr>
  </w:style>
  <w:style w:type="paragraph" w:customStyle="1" w:styleId="2289">
    <w:name w:val="样式2.6.4"/>
    <w:basedOn w:val="1"/>
    <w:autoRedefine/>
    <w:qFormat/>
    <w:uiPriority w:val="99"/>
    <w:pPr>
      <w:tabs>
        <w:tab w:val="left" w:pos="286"/>
        <w:tab w:val="left" w:pos="1247"/>
      </w:tabs>
      <w:spacing w:beforeLines="50" w:line="360" w:lineRule="auto"/>
      <w:ind w:left="2100" w:hanging="420"/>
      <w:outlineLvl w:val="3"/>
    </w:pPr>
    <w:rPr>
      <w:b/>
      <w:sz w:val="24"/>
    </w:rPr>
  </w:style>
  <w:style w:type="paragraph" w:customStyle="1" w:styleId="2290">
    <w:name w:val="正文001"/>
    <w:basedOn w:val="1"/>
    <w:autoRedefine/>
    <w:qFormat/>
    <w:uiPriority w:val="0"/>
    <w:pPr>
      <w:spacing w:before="60" w:line="420" w:lineRule="exact"/>
      <w:ind w:firstLine="482"/>
    </w:pPr>
    <w:rPr>
      <w:sz w:val="24"/>
      <w:szCs w:val="20"/>
    </w:rPr>
  </w:style>
  <w:style w:type="paragraph" w:customStyle="1" w:styleId="2291">
    <w:name w:val="黑体三号5"/>
    <w:basedOn w:val="416"/>
    <w:autoRedefine/>
    <w:qFormat/>
    <w:uiPriority w:val="0"/>
    <w:pPr>
      <w:jc w:val="center"/>
    </w:pPr>
    <w:rPr>
      <w:rFonts w:ascii="黑体" w:hAnsi="宋体" w:eastAsia="黑体" w:cs="宋体"/>
      <w:bCs/>
      <w:spacing w:val="0"/>
      <w:sz w:val="32"/>
    </w:rPr>
  </w:style>
  <w:style w:type="paragraph" w:customStyle="1" w:styleId="2292">
    <w:name w:val="日期4"/>
    <w:basedOn w:val="1"/>
    <w:next w:val="1"/>
    <w:autoRedefine/>
    <w:qFormat/>
    <w:uiPriority w:val="99"/>
    <w:rPr>
      <w:rFonts w:eastAsia="仿宋_GB2312"/>
      <w:sz w:val="30"/>
      <w:szCs w:val="20"/>
    </w:rPr>
  </w:style>
  <w:style w:type="paragraph" w:customStyle="1" w:styleId="2293">
    <w:name w:val="表内54133"/>
    <w:basedOn w:val="1"/>
    <w:autoRedefine/>
    <w:qFormat/>
    <w:uiPriority w:val="0"/>
    <w:pPr>
      <w:adjustRightInd w:val="0"/>
      <w:snapToGrid w:val="0"/>
      <w:spacing w:line="300" w:lineRule="auto"/>
      <w:jc w:val="center"/>
    </w:pPr>
    <w:rPr>
      <w:rFonts w:ascii="宋体" w:hAnsi="宋体" w:cs="宋体"/>
      <w:szCs w:val="20"/>
    </w:rPr>
  </w:style>
  <w:style w:type="paragraph" w:customStyle="1" w:styleId="2294">
    <w:name w:val="纯文本21"/>
    <w:basedOn w:val="1"/>
    <w:autoRedefine/>
    <w:qFormat/>
    <w:uiPriority w:val="34"/>
    <w:pPr>
      <w:adjustRightInd w:val="0"/>
    </w:pPr>
    <w:rPr>
      <w:rFonts w:ascii="宋体" w:hAnsi="Courier New"/>
      <w:szCs w:val="20"/>
    </w:rPr>
  </w:style>
  <w:style w:type="paragraph" w:customStyle="1" w:styleId="2295">
    <w:name w:val="正文格式＝22"/>
    <w:basedOn w:val="416"/>
    <w:next w:val="416"/>
    <w:autoRedefine/>
    <w:qFormat/>
    <w:uiPriority w:val="0"/>
    <w:rPr>
      <w:rFonts w:ascii="宋体" w:hAnsi="宋体"/>
      <w:b w:val="0"/>
      <w:spacing w:val="0"/>
      <w:sz w:val="24"/>
      <w:szCs w:val="24"/>
    </w:rPr>
  </w:style>
  <w:style w:type="paragraph" w:customStyle="1" w:styleId="2296">
    <w:name w:val="环评正文字体"/>
    <w:basedOn w:val="1"/>
    <w:autoRedefine/>
    <w:qFormat/>
    <w:uiPriority w:val="99"/>
    <w:pPr>
      <w:spacing w:line="360" w:lineRule="auto"/>
      <w:ind w:firstLine="480" w:firstLineChars="200"/>
    </w:pPr>
    <w:rPr>
      <w:sz w:val="24"/>
      <w:szCs w:val="20"/>
    </w:rPr>
  </w:style>
  <w:style w:type="paragraph" w:customStyle="1" w:styleId="2297">
    <w:name w:val="黑体三号411"/>
    <w:basedOn w:val="416"/>
    <w:autoRedefine/>
    <w:qFormat/>
    <w:uiPriority w:val="0"/>
    <w:pPr>
      <w:jc w:val="center"/>
    </w:pPr>
    <w:rPr>
      <w:rFonts w:ascii="黑体" w:hAnsi="宋体" w:eastAsia="黑体" w:cs="宋体"/>
      <w:bCs/>
      <w:spacing w:val="0"/>
      <w:sz w:val="32"/>
    </w:rPr>
  </w:style>
  <w:style w:type="paragraph" w:customStyle="1" w:styleId="2298">
    <w:name w:val="燕山正文42"/>
    <w:basedOn w:val="1"/>
    <w:autoRedefine/>
    <w:qFormat/>
    <w:uiPriority w:val="0"/>
    <w:pPr>
      <w:tabs>
        <w:tab w:val="left" w:pos="4680"/>
      </w:tabs>
      <w:adjustRightInd w:val="0"/>
      <w:snapToGrid w:val="0"/>
      <w:spacing w:line="480" w:lineRule="exact"/>
    </w:pPr>
    <w:rPr>
      <w:rFonts w:ascii="宋体" w:cs="宋体"/>
      <w:sz w:val="24"/>
    </w:rPr>
  </w:style>
  <w:style w:type="paragraph" w:customStyle="1" w:styleId="2299">
    <w:name w:val="标题001"/>
    <w:basedOn w:val="1"/>
    <w:autoRedefine/>
    <w:qFormat/>
    <w:uiPriority w:val="0"/>
    <w:pPr>
      <w:spacing w:before="60" w:line="480" w:lineRule="exact"/>
      <w:outlineLvl w:val="0"/>
    </w:pPr>
    <w:rPr>
      <w:b/>
      <w:sz w:val="32"/>
      <w:szCs w:val="20"/>
    </w:rPr>
  </w:style>
  <w:style w:type="paragraph" w:customStyle="1" w:styleId="2300">
    <w:name w:val="图题注11"/>
    <w:basedOn w:val="22"/>
    <w:autoRedefine/>
    <w:qFormat/>
    <w:uiPriority w:val="0"/>
    <w:pPr>
      <w:widowControl w:val="0"/>
      <w:spacing w:after="0" w:line="240" w:lineRule="auto"/>
      <w:ind w:left="0" w:right="0" w:firstLine="0"/>
      <w:jc w:val="center"/>
    </w:pPr>
    <w:rPr>
      <w:rFonts w:ascii="黑体" w:hAnsi="Arial" w:cs="宋体"/>
      <w:b/>
      <w:bCs/>
      <w:color w:val="auto"/>
      <w:sz w:val="24"/>
      <w:szCs w:val="24"/>
    </w:rPr>
  </w:style>
  <w:style w:type="paragraph" w:customStyle="1" w:styleId="2301">
    <w:name w:val="Char14"/>
    <w:basedOn w:val="1"/>
    <w:autoRedefine/>
    <w:qFormat/>
    <w:uiPriority w:val="0"/>
  </w:style>
  <w:style w:type="paragraph" w:customStyle="1" w:styleId="2302">
    <w:name w:val="标题21"/>
    <w:basedOn w:val="1"/>
    <w:autoRedefine/>
    <w:qFormat/>
    <w:uiPriority w:val="99"/>
    <w:pPr>
      <w:suppressLineNumbers/>
      <w:spacing w:line="360" w:lineRule="auto"/>
      <w:outlineLvl w:val="1"/>
    </w:pPr>
    <w:rPr>
      <w:rFonts w:eastAsia="黑体"/>
      <w:sz w:val="36"/>
      <w:szCs w:val="36"/>
    </w:rPr>
  </w:style>
  <w:style w:type="paragraph" w:customStyle="1" w:styleId="2303">
    <w:name w:val="Char Char Char1 Char Char Char Char1"/>
    <w:basedOn w:val="1"/>
    <w:autoRedefine/>
    <w:qFormat/>
    <w:uiPriority w:val="39"/>
  </w:style>
  <w:style w:type="paragraph" w:customStyle="1" w:styleId="2304">
    <w:name w:val="font6"/>
    <w:basedOn w:val="1"/>
    <w:autoRedefine/>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2305">
    <w:name w:val="样式 题注 + 首行缩进:  2 字符"/>
    <w:basedOn w:val="22"/>
    <w:autoRedefine/>
    <w:qFormat/>
    <w:uiPriority w:val="0"/>
    <w:pPr>
      <w:widowControl w:val="0"/>
      <w:spacing w:after="0" w:line="520" w:lineRule="exact"/>
      <w:ind w:left="0" w:right="0" w:firstLine="0"/>
      <w:jc w:val="center"/>
    </w:pPr>
    <w:rPr>
      <w:rFonts w:ascii="Arial" w:hAnsi="Arial"/>
      <w:color w:val="auto"/>
      <w:sz w:val="24"/>
    </w:rPr>
  </w:style>
  <w:style w:type="paragraph" w:customStyle="1" w:styleId="2306">
    <w:name w:val="Char Char2 Char Char Char Char Char Char3"/>
    <w:basedOn w:val="1"/>
    <w:autoRedefine/>
    <w:qFormat/>
    <w:uiPriority w:val="39"/>
    <w:pPr>
      <w:spacing w:line="480" w:lineRule="exact"/>
    </w:pPr>
    <w:rPr>
      <w:sz w:val="22"/>
    </w:rPr>
  </w:style>
  <w:style w:type="paragraph" w:customStyle="1" w:styleId="2307">
    <w:name w:val="默认段落字体 Para Char Char Char Char33"/>
    <w:basedOn w:val="1"/>
    <w:autoRedefine/>
    <w:qFormat/>
    <w:uiPriority w:val="0"/>
  </w:style>
  <w:style w:type="paragraph" w:customStyle="1" w:styleId="2308">
    <w:name w:val="样式 正文缩进正文缩进 Char正文缩进1 Char正文缩进1正文（首行缩进两字） Char正文缩进 Char Cha..."/>
    <w:basedOn w:val="9"/>
    <w:autoRedefine/>
    <w:qFormat/>
    <w:uiPriority w:val="0"/>
    <w:pPr>
      <w:spacing w:beforeLines="50" w:line="360" w:lineRule="auto"/>
      <w:ind w:firstLine="567" w:firstLineChars="0"/>
      <w:jc w:val="left"/>
    </w:pPr>
    <w:rPr>
      <w:kern w:val="0"/>
      <w:sz w:val="24"/>
      <w:szCs w:val="20"/>
      <w:lang w:val="en-US"/>
    </w:rPr>
  </w:style>
  <w:style w:type="paragraph" w:customStyle="1" w:styleId="2309">
    <w:name w:val="正文格式611"/>
    <w:basedOn w:val="1"/>
    <w:autoRedefine/>
    <w:qFormat/>
    <w:uiPriority w:val="0"/>
    <w:pPr>
      <w:spacing w:line="360" w:lineRule="auto"/>
      <w:ind w:firstLine="482"/>
    </w:pPr>
    <w:rPr>
      <w:rFonts w:ascii="宋体" w:hAnsi="宋体"/>
      <w:sz w:val="24"/>
    </w:rPr>
  </w:style>
  <w:style w:type="paragraph" w:customStyle="1" w:styleId="2310">
    <w:name w:val="font7"/>
    <w:basedOn w:val="1"/>
    <w:autoRedefine/>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2311">
    <w:name w:val="普通表格1"/>
    <w:basedOn w:val="45"/>
    <w:autoRedefine/>
    <w:qFormat/>
    <w:uiPriority w:val="0"/>
    <w:pPr>
      <w:snapToGrid w:val="0"/>
      <w:spacing w:line="380" w:lineRule="exact"/>
    </w:pPr>
    <w:rPr>
      <w:rFonts w:ascii="Times New Roman" w:hAnsi="Times New Roman"/>
      <w:sz w:val="24"/>
      <w:szCs w:val="20"/>
    </w:rPr>
  </w:style>
  <w:style w:type="paragraph" w:customStyle="1" w:styleId="2312">
    <w:name w:val="表格内字体53"/>
    <w:basedOn w:val="416"/>
    <w:next w:val="416"/>
    <w:autoRedefine/>
    <w:qFormat/>
    <w:uiPriority w:val="0"/>
    <w:pPr>
      <w:adjustRightInd w:val="0"/>
      <w:snapToGrid w:val="0"/>
      <w:spacing w:line="240" w:lineRule="auto"/>
      <w:ind w:firstLine="0"/>
    </w:pPr>
    <w:rPr>
      <w:rFonts w:ascii="宋体" w:hAnsi="宋体"/>
      <w:b w:val="0"/>
      <w:spacing w:val="0"/>
      <w:szCs w:val="24"/>
    </w:rPr>
  </w:style>
  <w:style w:type="paragraph" w:customStyle="1" w:styleId="2313">
    <w:name w:val="xl66"/>
    <w:basedOn w:val="1"/>
    <w:autoRedefine/>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kern w:val="0"/>
      <w:szCs w:val="21"/>
    </w:rPr>
  </w:style>
  <w:style w:type="paragraph" w:customStyle="1" w:styleId="2314">
    <w:name w:val="标题002"/>
    <w:basedOn w:val="1"/>
    <w:autoRedefine/>
    <w:qFormat/>
    <w:uiPriority w:val="0"/>
    <w:pPr>
      <w:spacing w:before="160" w:line="480" w:lineRule="exact"/>
      <w:outlineLvl w:val="1"/>
    </w:pPr>
    <w:rPr>
      <w:b/>
      <w:sz w:val="28"/>
      <w:szCs w:val="20"/>
    </w:rPr>
  </w:style>
  <w:style w:type="paragraph" w:customStyle="1" w:styleId="2315">
    <w:name w:val="表格编号"/>
    <w:basedOn w:val="1"/>
    <w:next w:val="1"/>
    <w:autoRedefine/>
    <w:qFormat/>
    <w:uiPriority w:val="0"/>
    <w:pPr>
      <w:spacing w:before="300" w:after="200"/>
      <w:ind w:left="964" w:hanging="425"/>
      <w:jc w:val="center"/>
    </w:pPr>
    <w:rPr>
      <w:sz w:val="24"/>
      <w:szCs w:val="20"/>
    </w:rPr>
  </w:style>
  <w:style w:type="paragraph" w:customStyle="1" w:styleId="2316">
    <w:name w:val="图注"/>
    <w:basedOn w:val="1"/>
    <w:next w:val="1"/>
    <w:autoRedefine/>
    <w:qFormat/>
    <w:uiPriority w:val="0"/>
    <w:pPr>
      <w:spacing w:before="120" w:line="320" w:lineRule="atLeast"/>
      <w:ind w:left="7" w:leftChars="-27" w:hanging="72" w:hangingChars="30"/>
      <w:jc w:val="center"/>
    </w:pPr>
    <w:rPr>
      <w:rFonts w:ascii="宋体" w:hAnsi="宋体"/>
      <w:bCs/>
      <w:color w:val="000000"/>
      <w:kern w:val="0"/>
      <w:sz w:val="24"/>
    </w:rPr>
  </w:style>
  <w:style w:type="paragraph" w:customStyle="1" w:styleId="2317">
    <w:name w:val="样式 标题 3头 + (中文) 黑体 四号 段前: 0 磅 段后: 0 磅 行距: 1.5 倍行距3"/>
    <w:basedOn w:val="5"/>
    <w:autoRedefine/>
    <w:qFormat/>
    <w:uiPriority w:val="0"/>
    <w:pPr>
      <w:tabs>
        <w:tab w:val="left" w:pos="720"/>
      </w:tabs>
      <w:spacing w:before="0" w:after="0" w:line="360" w:lineRule="auto"/>
      <w:ind w:left="720" w:hanging="720"/>
    </w:pPr>
    <w:rPr>
      <w:rFonts w:ascii="仿宋_GB2312" w:eastAsia="仿宋_GB2312"/>
      <w:kern w:val="0"/>
      <w:lang w:val="en-US"/>
    </w:rPr>
  </w:style>
  <w:style w:type="paragraph" w:customStyle="1" w:styleId="2318">
    <w:name w:val="样式3.1"/>
    <w:basedOn w:val="2319"/>
    <w:autoRedefine/>
    <w:qFormat/>
    <w:uiPriority w:val="99"/>
    <w:pPr>
      <w:tabs>
        <w:tab w:val="left" w:pos="0"/>
      </w:tabs>
      <w:spacing w:before="50"/>
      <w:ind w:left="1260" w:hanging="420"/>
    </w:pPr>
  </w:style>
  <w:style w:type="paragraph" w:customStyle="1" w:styleId="2319">
    <w:name w:val="样式 样式 标题2 + 段前: 0.5 行"/>
    <w:basedOn w:val="2320"/>
    <w:autoRedefine/>
    <w:qFormat/>
    <w:uiPriority w:val="99"/>
    <w:pPr>
      <w:spacing w:beforeLines="0"/>
    </w:pPr>
    <w:rPr>
      <w:bCs/>
    </w:rPr>
  </w:style>
  <w:style w:type="paragraph" w:customStyle="1" w:styleId="2320">
    <w:name w:val="样式 标题2"/>
    <w:basedOn w:val="1"/>
    <w:autoRedefine/>
    <w:qFormat/>
    <w:uiPriority w:val="99"/>
    <w:pPr>
      <w:keepNext/>
      <w:keepLines/>
      <w:spacing w:beforeLines="50" w:line="360" w:lineRule="auto"/>
      <w:outlineLvl w:val="1"/>
    </w:pPr>
    <w:rPr>
      <w:rFonts w:cs="宋体"/>
      <w:b/>
      <w:sz w:val="30"/>
      <w:szCs w:val="20"/>
    </w:rPr>
  </w:style>
  <w:style w:type="paragraph" w:customStyle="1" w:styleId="2321">
    <w:name w:val="xl73"/>
    <w:basedOn w:val="1"/>
    <w:autoRedefine/>
    <w:qFormat/>
    <w:uiPriority w:val="0"/>
    <w:pPr>
      <w:widowControl/>
      <w:pBdr>
        <w:right w:val="single" w:color="auto" w:sz="8" w:space="0"/>
      </w:pBdr>
      <w:spacing w:before="100" w:beforeAutospacing="1" w:after="100" w:afterAutospacing="1"/>
      <w:jc w:val="center"/>
    </w:pPr>
    <w:rPr>
      <w:rFonts w:ascii="宋体" w:hAnsi="宋体" w:cs="宋体"/>
      <w:kern w:val="0"/>
      <w:szCs w:val="21"/>
    </w:rPr>
  </w:style>
  <w:style w:type="paragraph" w:customStyle="1" w:styleId="2322">
    <w:name w:val="Char132"/>
    <w:basedOn w:val="1"/>
    <w:autoRedefine/>
    <w:qFormat/>
    <w:uiPriority w:val="0"/>
    <w:pPr>
      <w:ind w:left="-48"/>
    </w:pPr>
  </w:style>
  <w:style w:type="paragraph" w:customStyle="1" w:styleId="2323">
    <w:name w:val="xl74"/>
    <w:basedOn w:val="1"/>
    <w:autoRedefine/>
    <w:qFormat/>
    <w:uiPriority w:val="0"/>
    <w:pPr>
      <w:widowControl/>
      <w:pBdr>
        <w:top w:val="single" w:color="auto" w:sz="8" w:space="0"/>
        <w:left w:val="single" w:color="auto" w:sz="8" w:space="0"/>
      </w:pBdr>
      <w:spacing w:before="100" w:beforeAutospacing="1" w:after="100" w:afterAutospacing="1"/>
      <w:jc w:val="center"/>
    </w:pPr>
    <w:rPr>
      <w:rFonts w:ascii="宋体" w:hAnsi="宋体" w:cs="宋体"/>
      <w:kern w:val="0"/>
      <w:szCs w:val="21"/>
    </w:rPr>
  </w:style>
  <w:style w:type="paragraph" w:customStyle="1" w:styleId="2324">
    <w:name w:val="Char22"/>
    <w:basedOn w:val="1"/>
    <w:autoRedefine/>
    <w:qFormat/>
    <w:uiPriority w:val="0"/>
    <w:rPr>
      <w:sz w:val="24"/>
    </w:rPr>
  </w:style>
  <w:style w:type="paragraph" w:customStyle="1" w:styleId="2325">
    <w:name w:val="xl75"/>
    <w:basedOn w:val="1"/>
    <w:autoRedefine/>
    <w:qFormat/>
    <w:uiPriority w:val="0"/>
    <w:pPr>
      <w:widowControl/>
      <w:pBdr>
        <w:left w:val="single" w:color="auto" w:sz="8" w:space="0"/>
        <w:bottom w:val="single" w:color="auto" w:sz="8" w:space="0"/>
      </w:pBdr>
      <w:spacing w:before="100" w:beforeAutospacing="1" w:after="100" w:afterAutospacing="1"/>
      <w:jc w:val="center"/>
    </w:pPr>
    <w:rPr>
      <w:rFonts w:ascii="宋体" w:hAnsi="宋体" w:cs="宋体"/>
      <w:kern w:val="0"/>
      <w:szCs w:val="21"/>
    </w:rPr>
  </w:style>
  <w:style w:type="paragraph" w:customStyle="1" w:styleId="2326">
    <w:name w:val="+列表1"/>
    <w:basedOn w:val="1"/>
    <w:autoRedefine/>
    <w:qFormat/>
    <w:uiPriority w:val="0"/>
    <w:pPr>
      <w:jc w:val="center"/>
    </w:pPr>
    <w:rPr>
      <w:sz w:val="24"/>
    </w:rPr>
  </w:style>
  <w:style w:type="paragraph" w:customStyle="1" w:styleId="2327">
    <w:name w:val="xl77"/>
    <w:basedOn w:val="1"/>
    <w:autoRedefine/>
    <w:qFormat/>
    <w:uiPriority w:val="0"/>
    <w:pPr>
      <w:widowControl/>
      <w:pBdr>
        <w:top w:val="single" w:color="auto" w:sz="8" w:space="0"/>
      </w:pBdr>
      <w:spacing w:before="100" w:beforeAutospacing="1" w:after="100" w:afterAutospacing="1"/>
      <w:jc w:val="center"/>
    </w:pPr>
    <w:rPr>
      <w:rFonts w:ascii="宋体" w:hAnsi="宋体" w:cs="宋体"/>
      <w:kern w:val="0"/>
      <w:szCs w:val="21"/>
    </w:rPr>
  </w:style>
  <w:style w:type="paragraph" w:customStyle="1" w:styleId="2328">
    <w:name w:val="样式 标题 2节 + Times New Roman 四号 行距: 1.5 倍行距1"/>
    <w:basedOn w:val="4"/>
    <w:autoRedefine/>
    <w:qFormat/>
    <w:uiPriority w:val="0"/>
    <w:pPr>
      <w:tabs>
        <w:tab w:val="left" w:pos="576"/>
      </w:tabs>
      <w:spacing w:before="0" w:after="0" w:line="360" w:lineRule="auto"/>
      <w:ind w:left="576" w:hanging="576"/>
    </w:pPr>
    <w:rPr>
      <w:rFonts w:ascii="仿宋_GB2312" w:hAnsi="Times New Roman" w:eastAsia="仿宋_GB2312"/>
      <w:sz w:val="36"/>
      <w:szCs w:val="36"/>
    </w:rPr>
  </w:style>
  <w:style w:type="paragraph" w:customStyle="1" w:styleId="2329">
    <w:name w:val="列出段落11"/>
    <w:basedOn w:val="1"/>
    <w:autoRedefine/>
    <w:qFormat/>
    <w:uiPriority w:val="99"/>
    <w:pPr>
      <w:ind w:firstLine="420" w:firstLineChars="200"/>
    </w:pPr>
    <w:rPr>
      <w:szCs w:val="22"/>
    </w:rPr>
  </w:style>
  <w:style w:type="paragraph" w:customStyle="1" w:styleId="2330">
    <w:name w:val="样式 标题 4四 + Times New Roman 段前: 0 磅 段后: 0 磅 行距: 1.5 倍行距2"/>
    <w:basedOn w:val="6"/>
    <w:autoRedefine/>
    <w:qFormat/>
    <w:uiPriority w:val="0"/>
    <w:pPr>
      <w:tabs>
        <w:tab w:val="left" w:pos="360"/>
        <w:tab w:val="left" w:pos="864"/>
      </w:tabs>
      <w:spacing w:before="0" w:after="0" w:line="360" w:lineRule="auto"/>
      <w:ind w:hanging="864"/>
    </w:pPr>
    <w:rPr>
      <w:rFonts w:ascii="仿宋_GB2312" w:hAnsi="Times New Roman" w:eastAsia="仿宋_GB2312"/>
      <w:sz w:val="30"/>
      <w:szCs w:val="36"/>
    </w:rPr>
  </w:style>
  <w:style w:type="paragraph" w:customStyle="1" w:styleId="2331">
    <w:name w:val="标准"/>
    <w:basedOn w:val="1"/>
    <w:autoRedefine/>
    <w:qFormat/>
    <w:uiPriority w:val="0"/>
    <w:pPr>
      <w:adjustRightInd w:val="0"/>
      <w:spacing w:line="312" w:lineRule="atLeast"/>
      <w:jc w:val="center"/>
      <w:textAlignment w:val="baseline"/>
    </w:pPr>
    <w:rPr>
      <w:kern w:val="0"/>
      <w:szCs w:val="21"/>
    </w:rPr>
  </w:style>
  <w:style w:type="paragraph" w:customStyle="1" w:styleId="2332">
    <w:name w:val="Char92"/>
    <w:basedOn w:val="1"/>
    <w:autoRedefine/>
    <w:qFormat/>
    <w:uiPriority w:val="0"/>
    <w:pPr>
      <w:ind w:left="-48"/>
    </w:pPr>
  </w:style>
  <w:style w:type="paragraph" w:customStyle="1" w:styleId="2333">
    <w:name w:val="正文修改111"/>
    <w:basedOn w:val="192"/>
    <w:autoRedefine/>
    <w:qFormat/>
    <w:uiPriority w:val="0"/>
    <w:rPr>
      <w:rFonts w:hAnsi="宋体"/>
      <w:color w:val="000000"/>
    </w:rPr>
  </w:style>
  <w:style w:type="paragraph" w:customStyle="1" w:styleId="2334">
    <w:name w:val="xl80"/>
    <w:basedOn w:val="1"/>
    <w:autoRedefine/>
    <w:qFormat/>
    <w:uiPriority w:val="0"/>
    <w:pPr>
      <w:widowControl/>
      <w:pBdr>
        <w:bottom w:val="single" w:color="auto" w:sz="8" w:space="0"/>
      </w:pBdr>
      <w:spacing w:before="100" w:beforeAutospacing="1" w:after="100" w:afterAutospacing="1"/>
      <w:jc w:val="center"/>
      <w:textAlignment w:val="bottom"/>
    </w:pPr>
    <w:rPr>
      <w:rFonts w:ascii="宋体" w:hAnsi="宋体" w:cs="宋体"/>
      <w:kern w:val="0"/>
      <w:szCs w:val="21"/>
    </w:rPr>
  </w:style>
  <w:style w:type="paragraph" w:customStyle="1" w:styleId="2335">
    <w:name w:val="样式 表格文字 + (西文) 宋体 (中文) 华文仿宋 小四 黑色"/>
    <w:basedOn w:val="148"/>
    <w:autoRedefine/>
    <w:qFormat/>
    <w:uiPriority w:val="0"/>
    <w:pPr>
      <w:widowControl w:val="0"/>
      <w:tabs>
        <w:tab w:val="left" w:pos="560"/>
      </w:tabs>
      <w:overflowPunct w:val="0"/>
      <w:adjustRightInd w:val="0"/>
      <w:snapToGrid w:val="0"/>
      <w:spacing w:line="400" w:lineRule="exact"/>
    </w:pPr>
    <w:rPr>
      <w:rFonts w:ascii="Times New Roman" w:hAnsi="宋体" w:eastAsia="宋体" w:cs="宋体"/>
      <w:snapToGrid w:val="0"/>
      <w:color w:val="000000"/>
      <w:kern w:val="0"/>
      <w:sz w:val="21"/>
      <w:lang w:val="en-US"/>
    </w:rPr>
  </w:style>
  <w:style w:type="paragraph" w:customStyle="1" w:styleId="2336">
    <w:name w:val="样式 表头样式1 + 首行缩进:  2 字符 段前: 0.5 行"/>
    <w:basedOn w:val="2262"/>
    <w:autoRedefine/>
    <w:qFormat/>
    <w:uiPriority w:val="0"/>
    <w:pPr>
      <w:snapToGrid/>
      <w:spacing w:afterLines="0" w:afterAutospacing="1"/>
    </w:pPr>
    <w:rPr>
      <w:rFonts w:ascii="Times New Roman" w:hAnsi="Times New Roman" w:cs="宋体"/>
      <w:bCs/>
      <w:color w:val="000000"/>
      <w:lang w:eastAsia="zh-TW"/>
    </w:rPr>
  </w:style>
  <w:style w:type="paragraph" w:customStyle="1" w:styleId="2337">
    <w:name w:val="正文+首行缩进"/>
    <w:basedOn w:val="1"/>
    <w:autoRedefine/>
    <w:qFormat/>
    <w:uiPriority w:val="0"/>
    <w:pPr>
      <w:overflowPunct w:val="0"/>
      <w:topLinePunct/>
      <w:adjustRightInd w:val="0"/>
      <w:spacing w:line="460" w:lineRule="atLeast"/>
      <w:ind w:firstLine="200" w:firstLineChars="200"/>
      <w:jc w:val="left"/>
      <w:textAlignment w:val="baseline"/>
    </w:pPr>
    <w:rPr>
      <w:kern w:val="0"/>
      <w:sz w:val="28"/>
      <w:szCs w:val="20"/>
    </w:rPr>
  </w:style>
  <w:style w:type="paragraph" w:customStyle="1" w:styleId="2338">
    <w:name w:val="xl82"/>
    <w:basedOn w:val="1"/>
    <w:autoRedefine/>
    <w:qFormat/>
    <w:uiPriority w:val="0"/>
    <w:pPr>
      <w:widowControl/>
      <w:pBdr>
        <w:top w:val="single" w:color="auto" w:sz="8" w:space="0"/>
        <w:bottom w:val="single" w:color="auto" w:sz="8" w:space="0"/>
        <w:right w:val="single" w:color="auto" w:sz="8" w:space="0"/>
      </w:pBdr>
      <w:spacing w:before="100" w:beforeAutospacing="1" w:after="100" w:afterAutospacing="1"/>
      <w:jc w:val="center"/>
      <w:textAlignment w:val="bottom"/>
    </w:pPr>
    <w:rPr>
      <w:rFonts w:ascii="宋体" w:hAnsi="宋体" w:cs="宋体"/>
      <w:kern w:val="0"/>
      <w:szCs w:val="21"/>
    </w:rPr>
  </w:style>
  <w:style w:type="paragraph" w:customStyle="1" w:styleId="2339">
    <w:name w:val="样式11.4"/>
    <w:basedOn w:val="1"/>
    <w:autoRedefine/>
    <w:qFormat/>
    <w:uiPriority w:val="99"/>
    <w:pPr>
      <w:tabs>
        <w:tab w:val="left" w:pos="0"/>
      </w:tabs>
      <w:spacing w:beforeLines="50" w:line="360" w:lineRule="auto"/>
      <w:outlineLvl w:val="2"/>
    </w:pPr>
    <w:rPr>
      <w:b/>
      <w:sz w:val="28"/>
      <w:szCs w:val="28"/>
    </w:rPr>
  </w:style>
  <w:style w:type="paragraph" w:customStyle="1" w:styleId="2340">
    <w:name w:val="样式9"/>
    <w:basedOn w:val="3"/>
    <w:autoRedefine/>
    <w:qFormat/>
    <w:uiPriority w:val="0"/>
    <w:pPr>
      <w:tabs>
        <w:tab w:val="left" w:pos="360"/>
      </w:tabs>
      <w:overflowPunct/>
      <w:snapToGrid/>
      <w:spacing w:before="0" w:after="0" w:line="240" w:lineRule="auto"/>
      <w:ind w:left="0" w:firstLine="0"/>
      <w:jc w:val="center"/>
    </w:pPr>
    <w:rPr>
      <w:rFonts w:ascii="Calibri" w:hAnsi="Calibri" w:eastAsia="楷体_GB2312"/>
      <w:b w:val="0"/>
      <w:bCs w:val="0"/>
      <w:color w:val="auto"/>
      <w:kern w:val="0"/>
      <w:sz w:val="28"/>
      <w:szCs w:val="20"/>
    </w:rPr>
  </w:style>
  <w:style w:type="paragraph" w:customStyle="1" w:styleId="2341">
    <w:name w:val="正文(1)"/>
    <w:basedOn w:val="1"/>
    <w:autoRedefine/>
    <w:qFormat/>
    <w:uiPriority w:val="0"/>
    <w:pPr>
      <w:adjustRightInd w:val="0"/>
      <w:snapToGrid w:val="0"/>
      <w:spacing w:before="120" w:line="300" w:lineRule="auto"/>
      <w:ind w:firstLine="480" w:firstLineChars="200"/>
    </w:pPr>
    <w:rPr>
      <w:rFonts w:ascii="黑体" w:hAnsi="宋体" w:eastAsia="黑体"/>
      <w:b/>
      <w:snapToGrid w:val="0"/>
      <w:color w:val="339966"/>
      <w:kern w:val="0"/>
      <w:sz w:val="24"/>
    </w:rPr>
  </w:style>
  <w:style w:type="paragraph" w:customStyle="1" w:styleId="2342">
    <w:name w:val="表内文字边1"/>
    <w:basedOn w:val="1"/>
    <w:autoRedefine/>
    <w:qFormat/>
    <w:uiPriority w:val="0"/>
    <w:pPr>
      <w:widowControl/>
      <w:adjustRightInd w:val="0"/>
      <w:snapToGrid w:val="0"/>
      <w:spacing w:line="240" w:lineRule="atLeast"/>
      <w:ind w:left="-21" w:leftChars="-10" w:right="-42" w:rightChars="-20"/>
    </w:pPr>
    <w:rPr>
      <w:rFonts w:ascii="宋体"/>
      <w:kern w:val="0"/>
      <w:szCs w:val="21"/>
    </w:rPr>
  </w:style>
  <w:style w:type="paragraph" w:customStyle="1" w:styleId="2343">
    <w:name w:val="样式5"/>
    <w:basedOn w:val="34"/>
    <w:autoRedefine/>
    <w:qFormat/>
    <w:uiPriority w:val="0"/>
    <w:pPr>
      <w:widowControl w:val="0"/>
      <w:snapToGrid/>
      <w:spacing w:before="0" w:after="0" w:line="240" w:lineRule="auto"/>
      <w:ind w:right="-105" w:rightChars="-50"/>
      <w:jc w:val="center"/>
    </w:pPr>
    <w:rPr>
      <w:rFonts w:ascii="宋体" w:cs="宋体"/>
      <w:sz w:val="20"/>
      <w:szCs w:val="21"/>
      <w:lang w:val="en-US"/>
    </w:rPr>
  </w:style>
  <w:style w:type="paragraph" w:customStyle="1" w:styleId="2344">
    <w:name w:val="我的样式5"/>
    <w:basedOn w:val="1"/>
    <w:next w:val="1"/>
    <w:autoRedefine/>
    <w:qFormat/>
    <w:uiPriority w:val="0"/>
    <w:pPr>
      <w:tabs>
        <w:tab w:val="left" w:pos="360"/>
        <w:tab w:val="left" w:pos="900"/>
      </w:tabs>
      <w:spacing w:line="520" w:lineRule="exact"/>
    </w:pPr>
    <w:rPr>
      <w:sz w:val="24"/>
    </w:rPr>
  </w:style>
  <w:style w:type="paragraph" w:customStyle="1" w:styleId="2345">
    <w:name w:val="环评0.01"/>
    <w:basedOn w:val="1"/>
    <w:next w:val="34"/>
    <w:autoRedefine/>
    <w:qFormat/>
    <w:uiPriority w:val="99"/>
    <w:pPr>
      <w:adjustRightInd w:val="0"/>
      <w:snapToGrid w:val="0"/>
      <w:spacing w:line="360" w:lineRule="auto"/>
    </w:pPr>
    <w:rPr>
      <w:rFonts w:eastAsia="华文中宋"/>
      <w:sz w:val="28"/>
      <w:szCs w:val="20"/>
    </w:rPr>
  </w:style>
  <w:style w:type="paragraph" w:customStyle="1" w:styleId="2346">
    <w:name w:val="样式 表格文字 + (中文) 仿宋_GB2312"/>
    <w:basedOn w:val="148"/>
    <w:autoRedefine/>
    <w:qFormat/>
    <w:uiPriority w:val="0"/>
    <w:pPr>
      <w:snapToGrid w:val="0"/>
      <w:jc w:val="left"/>
    </w:pPr>
    <w:rPr>
      <w:rFonts w:hAnsi="仿宋_GB2312"/>
      <w:color w:val="800080"/>
      <w:kern w:val="0"/>
      <w:szCs w:val="24"/>
    </w:rPr>
  </w:style>
  <w:style w:type="paragraph" w:customStyle="1" w:styleId="2347">
    <w:name w:val="样式 标题 4 + 黑体 小四 非加粗"/>
    <w:basedOn w:val="6"/>
    <w:autoRedefine/>
    <w:qFormat/>
    <w:uiPriority w:val="0"/>
  </w:style>
  <w:style w:type="paragraph" w:customStyle="1" w:styleId="2348">
    <w:name w:val="Char Char Char Char Char Char Char2"/>
    <w:basedOn w:val="1"/>
    <w:autoRedefine/>
    <w:qFormat/>
    <w:uiPriority w:val="0"/>
    <w:rPr>
      <w:szCs w:val="20"/>
    </w:rPr>
  </w:style>
  <w:style w:type="paragraph" w:customStyle="1" w:styleId="2349">
    <w:name w:val="样式 标题 2 + 四号"/>
    <w:basedOn w:val="4"/>
    <w:autoRedefine/>
    <w:qFormat/>
    <w:uiPriority w:val="0"/>
    <w:pPr>
      <w:tabs>
        <w:tab w:val="left" w:pos="576"/>
      </w:tabs>
      <w:spacing w:before="0"/>
      <w:ind w:left="576" w:hanging="576"/>
    </w:pPr>
    <w:rPr>
      <w:rFonts w:ascii="Times New Roman" w:hAnsi="宋体"/>
      <w:b w:val="0"/>
      <w:color w:val="000000"/>
      <w:sz w:val="28"/>
      <w:szCs w:val="28"/>
    </w:rPr>
  </w:style>
  <w:style w:type="paragraph" w:customStyle="1" w:styleId="2350">
    <w:name w:val="Char Char Char Char4"/>
    <w:basedOn w:val="1"/>
    <w:autoRedefine/>
    <w:qFormat/>
    <w:uiPriority w:val="99"/>
  </w:style>
  <w:style w:type="paragraph" w:customStyle="1" w:styleId="2351">
    <w:name w:val="批注文字 Char Char"/>
    <w:basedOn w:val="1"/>
    <w:autoRedefine/>
    <w:qFormat/>
    <w:uiPriority w:val="0"/>
    <w:pPr>
      <w:spacing w:line="351" w:lineRule="atLeast"/>
      <w:ind w:firstLine="419"/>
      <w:jc w:val="left"/>
    </w:pPr>
    <w:rPr>
      <w:rFonts w:hint="eastAsia"/>
      <w:szCs w:val="20"/>
    </w:rPr>
  </w:style>
  <w:style w:type="paragraph" w:customStyle="1" w:styleId="2352">
    <w:name w:val="样式 报告表格 + 小四"/>
    <w:basedOn w:val="1"/>
    <w:autoRedefine/>
    <w:qFormat/>
    <w:uiPriority w:val="0"/>
    <w:pPr>
      <w:autoSpaceDE w:val="0"/>
      <w:autoSpaceDN w:val="0"/>
      <w:adjustRightInd w:val="0"/>
      <w:spacing w:line="400" w:lineRule="exact"/>
      <w:jc w:val="center"/>
      <w:textAlignment w:val="bottom"/>
    </w:pPr>
    <w:rPr>
      <w:kern w:val="0"/>
      <w:szCs w:val="21"/>
    </w:rPr>
  </w:style>
  <w:style w:type="paragraph" w:customStyle="1" w:styleId="2353">
    <w:name w:val="Char Char Char5"/>
    <w:basedOn w:val="1"/>
    <w:autoRedefine/>
    <w:qFormat/>
    <w:uiPriority w:val="99"/>
    <w:rPr>
      <w:sz w:val="24"/>
    </w:rPr>
  </w:style>
  <w:style w:type="paragraph" w:customStyle="1" w:styleId="2354">
    <w:name w:val="表内文字小31212"/>
    <w:basedOn w:val="1"/>
    <w:autoRedefine/>
    <w:qFormat/>
    <w:uiPriority w:val="0"/>
    <w:pPr>
      <w:adjustRightInd w:val="0"/>
      <w:snapToGrid w:val="0"/>
      <w:jc w:val="center"/>
    </w:pPr>
    <w:rPr>
      <w:rFonts w:ascii="宋体" w:hAnsi="Times" w:cs="宋体"/>
      <w:bCs/>
      <w:color w:val="003366"/>
      <w:szCs w:val="20"/>
    </w:rPr>
  </w:style>
  <w:style w:type="paragraph" w:customStyle="1" w:styleId="2355">
    <w:name w:val="样式"/>
    <w:basedOn w:val="1"/>
    <w:next w:val="1"/>
    <w:autoRedefine/>
    <w:qFormat/>
    <w:uiPriority w:val="0"/>
    <w:pPr>
      <w:ind w:firstLine="420"/>
    </w:pPr>
    <w:rPr>
      <w:rFonts w:ascii="宋体" w:hAnsi="Arial Black" w:cs="宋体"/>
      <w:sz w:val="24"/>
    </w:rPr>
  </w:style>
  <w:style w:type="paragraph" w:customStyle="1" w:styleId="2356">
    <w:name w:val="样式 样式 报告书表格 + 字距调整二号 +"/>
    <w:basedOn w:val="562"/>
    <w:autoRedefine/>
    <w:qFormat/>
    <w:uiPriority w:val="0"/>
  </w:style>
  <w:style w:type="paragraph" w:customStyle="1" w:styleId="2357">
    <w:name w:val="样式6"/>
    <w:basedOn w:val="1"/>
    <w:next w:val="1"/>
    <w:autoRedefine/>
    <w:qFormat/>
    <w:uiPriority w:val="0"/>
    <w:pPr>
      <w:spacing w:line="360" w:lineRule="auto"/>
      <w:ind w:firstLine="560"/>
    </w:pPr>
    <w:rPr>
      <w:rFonts w:ascii="宋体" w:hAnsi="宋体" w:cs="宋体"/>
      <w:sz w:val="24"/>
    </w:rPr>
  </w:style>
  <w:style w:type="paragraph" w:customStyle="1" w:styleId="2358">
    <w:name w:val="项目编号"/>
    <w:basedOn w:val="1"/>
    <w:next w:val="1"/>
    <w:autoRedefine/>
    <w:qFormat/>
    <w:uiPriority w:val="0"/>
    <w:pPr>
      <w:tabs>
        <w:tab w:val="left" w:pos="360"/>
      </w:tabs>
      <w:spacing w:before="120" w:after="120" w:line="360" w:lineRule="auto"/>
      <w:ind w:hanging="200" w:hangingChars="200"/>
    </w:pPr>
    <w:rPr>
      <w:sz w:val="24"/>
      <w:szCs w:val="20"/>
    </w:rPr>
  </w:style>
  <w:style w:type="paragraph" w:customStyle="1" w:styleId="2359">
    <w:name w:val="图编号"/>
    <w:basedOn w:val="148"/>
    <w:autoRedefine/>
    <w:qFormat/>
    <w:uiPriority w:val="0"/>
    <w:pPr>
      <w:widowControl w:val="0"/>
      <w:tabs>
        <w:tab w:val="left" w:pos="763"/>
        <w:tab w:val="left" w:pos="1440"/>
      </w:tabs>
      <w:spacing w:before="300" w:after="300" w:line="360" w:lineRule="auto"/>
      <w:ind w:left="400" w:leftChars="400" w:hanging="200" w:hangingChars="200"/>
    </w:pPr>
    <w:rPr>
      <w:rFonts w:ascii="Times New Roman" w:hAnsi="Times New Roman" w:eastAsia="宋体"/>
      <w:kern w:val="2"/>
      <w:lang w:val="en-US"/>
    </w:rPr>
  </w:style>
  <w:style w:type="paragraph" w:customStyle="1" w:styleId="2360">
    <w:name w:val="5 Char"/>
    <w:basedOn w:val="1"/>
    <w:autoRedefine/>
    <w:qFormat/>
    <w:uiPriority w:val="99"/>
    <w:rPr>
      <w:sz w:val="24"/>
    </w:rPr>
  </w:style>
  <w:style w:type="paragraph" w:customStyle="1" w:styleId="2361">
    <w:name w:val="font0"/>
    <w:basedOn w:val="1"/>
    <w:autoRedefine/>
    <w:qFormat/>
    <w:uiPriority w:val="0"/>
    <w:pPr>
      <w:widowControl/>
      <w:spacing w:before="100" w:beforeAutospacing="1" w:after="100" w:afterAutospacing="1"/>
      <w:jc w:val="left"/>
    </w:pPr>
    <w:rPr>
      <w:rFonts w:hint="eastAsia" w:ascii="宋体" w:hAnsi="宋体"/>
      <w:kern w:val="0"/>
    </w:rPr>
  </w:style>
  <w:style w:type="paragraph" w:customStyle="1" w:styleId="2362">
    <w:name w:val="目录 8 Char Char"/>
    <w:basedOn w:val="1"/>
    <w:next w:val="1"/>
    <w:autoRedefine/>
    <w:qFormat/>
    <w:uiPriority w:val="0"/>
    <w:pPr>
      <w:spacing w:line="351" w:lineRule="atLeast"/>
      <w:ind w:left="1468" w:firstLine="419"/>
      <w:jc w:val="left"/>
    </w:pPr>
    <w:rPr>
      <w:rFonts w:hint="eastAsia"/>
      <w:szCs w:val="20"/>
    </w:rPr>
  </w:style>
  <w:style w:type="paragraph" w:customStyle="1" w:styleId="2363">
    <w:name w:val="正文图五"/>
    <w:basedOn w:val="1"/>
    <w:autoRedefine/>
    <w:qFormat/>
    <w:uiPriority w:val="0"/>
    <w:pPr>
      <w:adjustRightInd w:val="0"/>
      <w:snapToGrid w:val="0"/>
      <w:spacing w:line="220" w:lineRule="exact"/>
      <w:jc w:val="center"/>
    </w:pPr>
    <w:rPr>
      <w:rFonts w:ascii="Arial" w:hAnsi="Arial" w:eastAsia="仿宋_GB2312"/>
      <w:snapToGrid w:val="0"/>
      <w:spacing w:val="6"/>
      <w:szCs w:val="21"/>
    </w:rPr>
  </w:style>
  <w:style w:type="paragraph" w:customStyle="1" w:styleId="2364">
    <w:name w:val="xl161"/>
    <w:basedOn w:val="1"/>
    <w:autoRedefine/>
    <w:qFormat/>
    <w:uiPriority w:val="99"/>
    <w:pPr>
      <w:widowControl/>
      <w:spacing w:before="100" w:beforeAutospacing="1" w:after="100" w:afterAutospacing="1"/>
      <w:jc w:val="center"/>
      <w:textAlignment w:val="center"/>
    </w:pPr>
    <w:rPr>
      <w:rFonts w:ascii="Arial Unicode MS" w:hAnsi="Arial Unicode MS"/>
      <w:kern w:val="0"/>
    </w:rPr>
  </w:style>
  <w:style w:type="paragraph" w:customStyle="1" w:styleId="2365">
    <w:name w:val="目录 5 Char Char"/>
    <w:basedOn w:val="1"/>
    <w:next w:val="1"/>
    <w:autoRedefine/>
    <w:qFormat/>
    <w:uiPriority w:val="0"/>
    <w:pPr>
      <w:spacing w:line="351" w:lineRule="atLeast"/>
      <w:ind w:left="839" w:firstLine="419"/>
      <w:jc w:val="left"/>
    </w:pPr>
    <w:rPr>
      <w:rFonts w:hint="eastAsia"/>
      <w:szCs w:val="20"/>
    </w:rPr>
  </w:style>
  <w:style w:type="paragraph" w:customStyle="1" w:styleId="2366">
    <w:name w:val="三级目录"/>
    <w:basedOn w:val="5"/>
    <w:autoRedefine/>
    <w:qFormat/>
    <w:uiPriority w:val="0"/>
    <w:pPr>
      <w:spacing w:before="0" w:after="0" w:line="360" w:lineRule="auto"/>
      <w:ind w:firstLine="200" w:firstLineChars="200"/>
    </w:pPr>
    <w:rPr>
      <w:rFonts w:ascii="宋体" w:hAnsi="宋体" w:cs="宋体"/>
      <w:kern w:val="0"/>
      <w:sz w:val="28"/>
      <w:szCs w:val="28"/>
      <w:lang w:val="en-US"/>
    </w:rPr>
  </w:style>
  <w:style w:type="paragraph" w:customStyle="1" w:styleId="2367">
    <w:name w:val="xl162"/>
    <w:basedOn w:val="1"/>
    <w:autoRedefine/>
    <w:qFormat/>
    <w:uiPriority w:val="99"/>
    <w:pPr>
      <w:widowControl/>
      <w:pBdr>
        <w:bottom w:val="single" w:color="auto" w:sz="12" w:space="0"/>
        <w:right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2368">
    <w:name w:val="图题221"/>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2369">
    <w:name w:val="xl164"/>
    <w:basedOn w:val="1"/>
    <w:autoRedefine/>
    <w:qFormat/>
    <w:uiPriority w:val="99"/>
    <w:pPr>
      <w:widowControl/>
      <w:pBdr>
        <w:left w:val="single" w:color="auto" w:sz="12" w:space="0"/>
        <w:bottom w:val="single" w:color="auto" w:sz="12" w:space="0"/>
      </w:pBdr>
      <w:spacing w:before="100" w:beforeAutospacing="1" w:after="100" w:afterAutospacing="1"/>
      <w:jc w:val="center"/>
    </w:pPr>
    <w:rPr>
      <w:rFonts w:ascii="Arial Unicode MS" w:hAnsi="Arial Unicode MS"/>
      <w:kern w:val="0"/>
    </w:rPr>
  </w:style>
  <w:style w:type="paragraph" w:customStyle="1" w:styleId="2370">
    <w:name w:val="表内54151"/>
    <w:basedOn w:val="1"/>
    <w:autoRedefine/>
    <w:qFormat/>
    <w:uiPriority w:val="0"/>
    <w:pPr>
      <w:adjustRightInd w:val="0"/>
      <w:snapToGrid w:val="0"/>
      <w:spacing w:line="300" w:lineRule="auto"/>
      <w:jc w:val="center"/>
    </w:pPr>
    <w:rPr>
      <w:rFonts w:ascii="宋体" w:hAnsi="宋体" w:cs="宋体"/>
      <w:szCs w:val="20"/>
    </w:rPr>
  </w:style>
  <w:style w:type="paragraph" w:customStyle="1" w:styleId="2371">
    <w:name w:val="样式 正文文字 + 楷体_GB2312 四号 首行缩进:  0.93 厘米"/>
    <w:basedOn w:val="34"/>
    <w:autoRedefine/>
    <w:qFormat/>
    <w:uiPriority w:val="39"/>
    <w:pPr>
      <w:tabs>
        <w:tab w:val="left" w:pos="3360"/>
      </w:tabs>
      <w:snapToGrid/>
      <w:spacing w:before="0" w:after="0" w:line="600" w:lineRule="exact"/>
      <w:ind w:right="0" w:firstLine="570"/>
    </w:pPr>
    <w:rPr>
      <w:rFonts w:ascii="宋体" w:hAnsi="宋体"/>
      <w:color w:val="000000"/>
      <w:spacing w:val="-2"/>
      <w:sz w:val="28"/>
      <w:lang w:val="en-US"/>
    </w:rPr>
  </w:style>
  <w:style w:type="paragraph" w:customStyle="1" w:styleId="2372">
    <w:name w:val="xl165"/>
    <w:basedOn w:val="1"/>
    <w:autoRedefine/>
    <w:qFormat/>
    <w:uiPriority w:val="99"/>
    <w:pPr>
      <w:widowControl/>
      <w:pBdr>
        <w:top w:val="single" w:color="auto" w:sz="12" w:space="0"/>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2373">
    <w:name w:val="Char Char1 Char Char Char Char Char Char Char Char Char Char Char Char Char Char Char Char Char Char Char Char1 Char1"/>
    <w:basedOn w:val="1"/>
    <w:autoRedefine/>
    <w:qFormat/>
    <w:uiPriority w:val="99"/>
    <w:pPr>
      <w:spacing w:line="360" w:lineRule="auto"/>
      <w:ind w:firstLine="200" w:firstLineChars="200"/>
    </w:pPr>
    <w:rPr>
      <w:sz w:val="24"/>
    </w:rPr>
  </w:style>
  <w:style w:type="paragraph" w:customStyle="1" w:styleId="2374">
    <w:name w:val="xl168"/>
    <w:basedOn w:val="1"/>
    <w:autoRedefine/>
    <w:qFormat/>
    <w:uiPriority w:val="99"/>
    <w:pPr>
      <w:widowControl/>
      <w:pBdr>
        <w:bottom w:val="single" w:color="auto" w:sz="12" w:space="0"/>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2375">
    <w:name w:val="xl169"/>
    <w:basedOn w:val="1"/>
    <w:autoRedefine/>
    <w:qFormat/>
    <w:uiPriority w:val="99"/>
    <w:pPr>
      <w:widowControl/>
      <w:pBdr>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2376">
    <w:name w:val="Char2111"/>
    <w:basedOn w:val="1"/>
    <w:autoRedefine/>
    <w:qFormat/>
    <w:uiPriority w:val="0"/>
    <w:pPr>
      <w:ind w:left="-48"/>
    </w:pPr>
  </w:style>
  <w:style w:type="paragraph" w:customStyle="1" w:styleId="2377">
    <w:name w:val="样式 标题 2 + 首行缩进:  2 字符"/>
    <w:basedOn w:val="3"/>
    <w:autoRedefine/>
    <w:qFormat/>
    <w:uiPriority w:val="0"/>
    <w:pPr>
      <w:tabs>
        <w:tab w:val="left" w:pos="360"/>
      </w:tabs>
      <w:overflowPunct/>
      <w:snapToGrid/>
      <w:spacing w:before="0" w:after="0" w:line="240" w:lineRule="auto"/>
      <w:ind w:left="0" w:firstLine="0"/>
      <w:jc w:val="center"/>
    </w:pPr>
    <w:rPr>
      <w:rFonts w:ascii="Calibri" w:hAnsi="Calibri" w:eastAsia="楷体_GB2312"/>
      <w:b w:val="0"/>
      <w:bCs w:val="0"/>
      <w:color w:val="auto"/>
      <w:kern w:val="0"/>
      <w:sz w:val="28"/>
      <w:szCs w:val="20"/>
    </w:rPr>
  </w:style>
  <w:style w:type="paragraph" w:customStyle="1" w:styleId="2378">
    <w:name w:val="样式 标题 2 + 首行缩进:  2 字符1"/>
    <w:basedOn w:val="4"/>
    <w:autoRedefine/>
    <w:qFormat/>
    <w:uiPriority w:val="39"/>
  </w:style>
  <w:style w:type="paragraph" w:customStyle="1" w:styleId="2379">
    <w:name w:val="xl173"/>
    <w:basedOn w:val="1"/>
    <w:autoRedefine/>
    <w:qFormat/>
    <w:uiPriority w:val="99"/>
    <w:pPr>
      <w:widowControl/>
      <w:spacing w:before="100" w:beforeAutospacing="1" w:after="100" w:afterAutospacing="1"/>
      <w:jc w:val="center"/>
      <w:textAlignment w:val="center"/>
    </w:pPr>
    <w:rPr>
      <w:rFonts w:ascii="Arial Unicode MS" w:hAnsi="Arial Unicode MS"/>
      <w:kern w:val="0"/>
    </w:rPr>
  </w:style>
  <w:style w:type="paragraph" w:customStyle="1" w:styleId="2380">
    <w:name w:val="layer2"/>
    <w:basedOn w:val="1"/>
    <w:next w:val="9"/>
    <w:autoRedefine/>
    <w:qFormat/>
    <w:uiPriority w:val="99"/>
    <w:pPr>
      <w:tabs>
        <w:tab w:val="left" w:pos="720"/>
      </w:tabs>
      <w:spacing w:before="120" w:after="120" w:line="300" w:lineRule="auto"/>
      <w:ind w:left="567" w:hanging="567"/>
    </w:pPr>
    <w:rPr>
      <w:rFonts w:eastAsia="黑体"/>
      <w:sz w:val="36"/>
      <w:szCs w:val="20"/>
    </w:rPr>
  </w:style>
  <w:style w:type="paragraph" w:customStyle="1" w:styleId="2381">
    <w:name w:val="5"/>
    <w:basedOn w:val="1"/>
    <w:next w:val="51"/>
    <w:autoRedefine/>
    <w:qFormat/>
    <w:uiPriority w:val="0"/>
    <w:pPr>
      <w:widowControl/>
      <w:ind w:left="278" w:firstLine="598"/>
    </w:pPr>
    <w:rPr>
      <w:rFonts w:ascii="宋体"/>
      <w:kern w:val="0"/>
      <w:sz w:val="28"/>
      <w:szCs w:val="20"/>
    </w:rPr>
  </w:style>
  <w:style w:type="paragraph" w:customStyle="1" w:styleId="2382">
    <w:name w:val="正文修改43"/>
    <w:basedOn w:val="192"/>
    <w:autoRedefine/>
    <w:qFormat/>
    <w:uiPriority w:val="0"/>
    <w:rPr>
      <w:rFonts w:hAnsi="宋体"/>
      <w:color w:val="000000"/>
    </w:rPr>
  </w:style>
  <w:style w:type="paragraph" w:customStyle="1" w:styleId="2383">
    <w:name w:val="图文字"/>
    <w:basedOn w:val="1"/>
    <w:autoRedefine/>
    <w:qFormat/>
    <w:uiPriority w:val="0"/>
    <w:pPr>
      <w:spacing w:line="400" w:lineRule="exact"/>
      <w:jc w:val="center"/>
    </w:pPr>
    <w:rPr>
      <w:rFonts w:ascii="宋体" w:hAnsi="宋体"/>
      <w:kern w:val="44"/>
      <w:sz w:val="24"/>
    </w:rPr>
  </w:style>
  <w:style w:type="paragraph" w:customStyle="1" w:styleId="2384">
    <w:name w:val="文本框12"/>
    <w:basedOn w:val="1"/>
    <w:autoRedefine/>
    <w:qFormat/>
    <w:uiPriority w:val="0"/>
    <w:pPr>
      <w:adjustRightInd w:val="0"/>
      <w:snapToGrid w:val="0"/>
      <w:spacing w:after="6"/>
      <w:jc w:val="center"/>
    </w:pPr>
    <w:rPr>
      <w:rFonts w:eastAsia="仿宋_GB2312"/>
    </w:rPr>
  </w:style>
  <w:style w:type="paragraph" w:customStyle="1" w:styleId="2385">
    <w:name w:val="表格03"/>
    <w:basedOn w:val="1"/>
    <w:autoRedefine/>
    <w:qFormat/>
    <w:uiPriority w:val="0"/>
    <w:pPr>
      <w:spacing w:line="400" w:lineRule="exact"/>
      <w:jc w:val="center"/>
    </w:pPr>
    <w:rPr>
      <w:color w:val="000000"/>
      <w:sz w:val="24"/>
      <w:szCs w:val="21"/>
    </w:rPr>
  </w:style>
  <w:style w:type="paragraph" w:customStyle="1" w:styleId="2386">
    <w:name w:val="燕山正文2"/>
    <w:basedOn w:val="1"/>
    <w:autoRedefine/>
    <w:qFormat/>
    <w:uiPriority w:val="0"/>
    <w:pPr>
      <w:tabs>
        <w:tab w:val="left" w:pos="4680"/>
      </w:tabs>
      <w:adjustRightInd w:val="0"/>
      <w:snapToGrid w:val="0"/>
      <w:spacing w:line="480" w:lineRule="exact"/>
    </w:pPr>
    <w:rPr>
      <w:rFonts w:ascii="宋体" w:cs="宋体"/>
      <w:sz w:val="24"/>
    </w:rPr>
  </w:style>
  <w:style w:type="paragraph" w:customStyle="1" w:styleId="2387">
    <w:name w:val="样式 样式 首行缩进:  2 字符 + 首行缩进:  2 字符2"/>
    <w:basedOn w:val="1"/>
    <w:autoRedefine/>
    <w:qFormat/>
    <w:uiPriority w:val="0"/>
    <w:pPr>
      <w:spacing w:line="440" w:lineRule="exact"/>
      <w:ind w:firstLine="584" w:firstLineChars="200"/>
    </w:pPr>
    <w:rPr>
      <w:rFonts w:eastAsia="楷体_GB2312" w:cs="宋体"/>
      <w:spacing w:val="6"/>
      <w:kern w:val="0"/>
      <w:sz w:val="28"/>
      <w:szCs w:val="20"/>
    </w:rPr>
  </w:style>
  <w:style w:type="paragraph" w:customStyle="1" w:styleId="2388">
    <w:name w:val="图题1"/>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2389">
    <w:name w:val="Char Char Char Char Char Char2"/>
    <w:basedOn w:val="1"/>
    <w:autoRedefine/>
    <w:qFormat/>
    <w:uiPriority w:val="39"/>
    <w:rPr>
      <w:rFonts w:ascii="宋体" w:hAnsi="宋体"/>
      <w:sz w:val="24"/>
    </w:rPr>
  </w:style>
  <w:style w:type="paragraph" w:customStyle="1" w:styleId="2390">
    <w:name w:val="Char Char1 Char Char Char Char Char Char Char Char Char Char Char Char Char Char Char Char Char Char Char Char1 Char"/>
    <w:basedOn w:val="1"/>
    <w:autoRedefine/>
    <w:qFormat/>
    <w:uiPriority w:val="0"/>
    <w:pPr>
      <w:spacing w:before="60" w:line="360" w:lineRule="auto"/>
      <w:ind w:firstLine="200" w:firstLineChars="200"/>
    </w:pPr>
    <w:rPr>
      <w:rFonts w:ascii="宋体" w:hAnsi="宋体" w:cs="宋体"/>
      <w:sz w:val="24"/>
    </w:rPr>
  </w:style>
  <w:style w:type="paragraph" w:customStyle="1" w:styleId="2391">
    <w:name w:val="表文字524"/>
    <w:basedOn w:val="1"/>
    <w:autoRedefine/>
    <w:qFormat/>
    <w:uiPriority w:val="0"/>
    <w:pPr>
      <w:adjustRightInd w:val="0"/>
      <w:jc w:val="left"/>
      <w:textAlignment w:val="baseline"/>
    </w:pPr>
    <w:rPr>
      <w:rFonts w:ascii="宋体"/>
      <w:kern w:val="0"/>
      <w:szCs w:val="20"/>
    </w:rPr>
  </w:style>
  <w:style w:type="paragraph" w:customStyle="1" w:styleId="2392">
    <w:name w:val="Chapter"/>
    <w:basedOn w:val="3"/>
    <w:autoRedefine/>
    <w:qFormat/>
    <w:uiPriority w:val="0"/>
    <w:pPr>
      <w:tabs>
        <w:tab w:val="left" w:pos="360"/>
      </w:tabs>
      <w:overflowPunct/>
      <w:snapToGrid/>
      <w:spacing w:before="0" w:after="0" w:line="240" w:lineRule="auto"/>
      <w:ind w:left="0" w:firstLine="0"/>
      <w:jc w:val="center"/>
    </w:pPr>
    <w:rPr>
      <w:rFonts w:ascii="Calibri" w:hAnsi="Calibri" w:eastAsia="楷体_GB2312"/>
      <w:b w:val="0"/>
      <w:bCs w:val="0"/>
      <w:color w:val="auto"/>
      <w:kern w:val="0"/>
      <w:sz w:val="28"/>
      <w:szCs w:val="20"/>
    </w:rPr>
  </w:style>
  <w:style w:type="paragraph" w:customStyle="1" w:styleId="2393">
    <w:name w:val="正文2"/>
    <w:autoRedefine/>
    <w:qFormat/>
    <w:uiPriority w:val="0"/>
    <w:pPr>
      <w:widowControl w:val="0"/>
      <w:tabs>
        <w:tab w:val="left" w:pos="567"/>
      </w:tabs>
      <w:adjustRightInd w:val="0"/>
      <w:spacing w:line="360" w:lineRule="atLeast"/>
      <w:jc w:val="both"/>
      <w:textAlignment w:val="baseline"/>
    </w:pPr>
    <w:rPr>
      <w:rFonts w:ascii="Times New Roman" w:hAnsi="Courier" w:eastAsia="PMingLiU" w:cs="Times New Roman"/>
      <w:sz w:val="24"/>
      <w:lang w:val="en-US" w:eastAsia="zh-TW" w:bidi="ar-SA"/>
    </w:rPr>
  </w:style>
  <w:style w:type="paragraph" w:customStyle="1" w:styleId="2394">
    <w:name w:val="正文格式＝2"/>
    <w:basedOn w:val="416"/>
    <w:next w:val="416"/>
    <w:autoRedefine/>
    <w:qFormat/>
    <w:uiPriority w:val="0"/>
    <w:rPr>
      <w:rFonts w:ascii="宋体" w:hAnsi="宋体"/>
      <w:b w:val="0"/>
      <w:spacing w:val="0"/>
      <w:sz w:val="24"/>
      <w:szCs w:val="24"/>
    </w:rPr>
  </w:style>
  <w:style w:type="paragraph" w:customStyle="1" w:styleId="2395">
    <w:name w:val="项目编号文字"/>
    <w:basedOn w:val="1"/>
    <w:next w:val="9"/>
    <w:autoRedefine/>
    <w:qFormat/>
    <w:uiPriority w:val="0"/>
    <w:pPr>
      <w:spacing w:before="120" w:after="120" w:line="360" w:lineRule="auto"/>
      <w:ind w:left="1077"/>
    </w:pPr>
    <w:rPr>
      <w:sz w:val="24"/>
      <w:szCs w:val="20"/>
    </w:rPr>
  </w:style>
  <w:style w:type="paragraph" w:customStyle="1" w:styleId="2396">
    <w:name w:val="样式 行距: 最小值 25 磅"/>
    <w:basedOn w:val="1"/>
    <w:autoRedefine/>
    <w:qFormat/>
    <w:uiPriority w:val="0"/>
    <w:pPr>
      <w:tabs>
        <w:tab w:val="left" w:pos="425"/>
      </w:tabs>
      <w:spacing w:line="500" w:lineRule="atLeast"/>
      <w:ind w:left="425" w:hanging="425"/>
    </w:pPr>
    <w:rPr>
      <w:rFonts w:cs="宋体"/>
      <w:sz w:val="28"/>
      <w:szCs w:val="20"/>
    </w:rPr>
  </w:style>
  <w:style w:type="paragraph" w:customStyle="1" w:styleId="2397">
    <w:name w:val="表格内字体2"/>
    <w:basedOn w:val="416"/>
    <w:next w:val="416"/>
    <w:autoRedefine/>
    <w:qFormat/>
    <w:uiPriority w:val="0"/>
    <w:pPr>
      <w:spacing w:line="240" w:lineRule="auto"/>
      <w:ind w:firstLine="0"/>
      <w:jc w:val="center"/>
    </w:pPr>
    <w:rPr>
      <w:rFonts w:ascii="宋体" w:hAnsi="宋体"/>
      <w:b w:val="0"/>
      <w:spacing w:val="0"/>
      <w:szCs w:val="24"/>
    </w:rPr>
  </w:style>
  <w:style w:type="paragraph" w:customStyle="1" w:styleId="2398">
    <w:name w:val="正文文本缩进 21"/>
    <w:basedOn w:val="1"/>
    <w:autoRedefine/>
    <w:qFormat/>
    <w:uiPriority w:val="0"/>
    <w:pPr>
      <w:adjustRightInd w:val="0"/>
      <w:spacing w:line="480" w:lineRule="atLeast"/>
      <w:ind w:firstLine="630"/>
      <w:textAlignment w:val="baseline"/>
    </w:pPr>
    <w:rPr>
      <w:rFonts w:ascii="宋体"/>
      <w:sz w:val="28"/>
      <w:szCs w:val="20"/>
    </w:rPr>
  </w:style>
  <w:style w:type="paragraph" w:customStyle="1" w:styleId="2399">
    <w:name w:val="默认段落字体 Para Char Char Char Char2"/>
    <w:basedOn w:val="1"/>
    <w:autoRedefine/>
    <w:qFormat/>
    <w:uiPriority w:val="0"/>
  </w:style>
  <w:style w:type="paragraph" w:customStyle="1" w:styleId="2400">
    <w:name w:val="节标题"/>
    <w:basedOn w:val="1"/>
    <w:next w:val="2401"/>
    <w:autoRedefine/>
    <w:qFormat/>
    <w:uiPriority w:val="0"/>
    <w:pPr>
      <w:widowControl/>
      <w:spacing w:line="289" w:lineRule="atLeast"/>
      <w:jc w:val="center"/>
      <w:textAlignment w:val="baseline"/>
    </w:pPr>
    <w:rPr>
      <w:color w:val="000000"/>
      <w:kern w:val="0"/>
      <w:sz w:val="28"/>
      <w:szCs w:val="20"/>
      <w:u w:color="000000"/>
    </w:rPr>
  </w:style>
  <w:style w:type="paragraph" w:customStyle="1" w:styleId="2401">
    <w:name w:val="小节标题"/>
    <w:basedOn w:val="1"/>
    <w:next w:val="1"/>
    <w:autoRedefine/>
    <w:qFormat/>
    <w:uiPriority w:val="99"/>
    <w:pPr>
      <w:widowControl/>
      <w:spacing w:before="175" w:after="102" w:line="351" w:lineRule="atLeast"/>
      <w:textAlignment w:val="baseline"/>
    </w:pPr>
    <w:rPr>
      <w:rFonts w:eastAsia="黑体"/>
      <w:color w:val="000000"/>
      <w:kern w:val="0"/>
      <w:szCs w:val="20"/>
      <w:u w:color="000000"/>
    </w:rPr>
  </w:style>
  <w:style w:type="paragraph" w:customStyle="1" w:styleId="2402">
    <w:name w:val="福建正文缩进2"/>
    <w:basedOn w:val="9"/>
    <w:autoRedefine/>
    <w:qFormat/>
    <w:uiPriority w:val="0"/>
    <w:pPr>
      <w:widowControl/>
      <w:tabs>
        <w:tab w:val="left" w:pos="5837"/>
      </w:tabs>
      <w:adjustRightInd w:val="0"/>
      <w:snapToGrid w:val="0"/>
      <w:spacing w:line="480" w:lineRule="exact"/>
      <w:ind w:firstLine="0" w:firstLineChars="0"/>
    </w:pPr>
    <w:rPr>
      <w:rFonts w:ascii="宋体" w:hAnsi="宋体" w:cs="宋体"/>
      <w:color w:val="000000"/>
      <w:kern w:val="0"/>
      <w:sz w:val="24"/>
      <w:lang w:val="en-US"/>
    </w:rPr>
  </w:style>
  <w:style w:type="paragraph" w:customStyle="1" w:styleId="2403">
    <w:name w:val="book1_1_1_1"/>
    <w:basedOn w:val="6"/>
    <w:autoRedefine/>
    <w:qFormat/>
    <w:uiPriority w:val="0"/>
  </w:style>
  <w:style w:type="paragraph" w:customStyle="1" w:styleId="2404">
    <w:name w:val="正文表标题"/>
    <w:next w:val="1"/>
    <w:autoRedefine/>
    <w:qFormat/>
    <w:uiPriority w:val="99"/>
    <w:pPr>
      <w:tabs>
        <w:tab w:val="left" w:pos="180"/>
      </w:tabs>
      <w:ind w:left="180" w:hanging="180"/>
      <w:jc w:val="center"/>
    </w:pPr>
    <w:rPr>
      <w:rFonts w:ascii="黑体" w:hAnsi="Times New Roman" w:eastAsia="黑体" w:cs="Times New Roman"/>
      <w:sz w:val="21"/>
      <w:lang w:val="en-US" w:eastAsia="zh-CN" w:bidi="ar-SA"/>
    </w:rPr>
  </w:style>
  <w:style w:type="paragraph" w:customStyle="1" w:styleId="2405">
    <w:name w:val="表内531"/>
    <w:basedOn w:val="1"/>
    <w:autoRedefine/>
    <w:qFormat/>
    <w:uiPriority w:val="0"/>
    <w:pPr>
      <w:adjustRightInd w:val="0"/>
      <w:snapToGrid w:val="0"/>
      <w:spacing w:line="300" w:lineRule="auto"/>
      <w:jc w:val="left"/>
    </w:pPr>
    <w:rPr>
      <w:rFonts w:ascii="宋体"/>
      <w:szCs w:val="20"/>
    </w:rPr>
  </w:style>
  <w:style w:type="paragraph" w:customStyle="1" w:styleId="2406">
    <w:name w:val="表格2"/>
    <w:basedOn w:val="1"/>
    <w:autoRedefine/>
    <w:qFormat/>
    <w:uiPriority w:val="0"/>
    <w:pPr>
      <w:adjustRightInd w:val="0"/>
      <w:snapToGrid w:val="0"/>
      <w:outlineLvl w:val="0"/>
    </w:pPr>
    <w:rPr>
      <w:kern w:val="10"/>
      <w:sz w:val="24"/>
      <w:szCs w:val="20"/>
    </w:rPr>
  </w:style>
  <w:style w:type="paragraph" w:customStyle="1" w:styleId="2407">
    <w:name w:val="正文图标题"/>
    <w:next w:val="1"/>
    <w:autoRedefine/>
    <w:qFormat/>
    <w:uiPriority w:val="39"/>
    <w:pPr>
      <w:tabs>
        <w:tab w:val="left" w:pos="270"/>
      </w:tabs>
      <w:ind w:left="270" w:hanging="270"/>
      <w:jc w:val="center"/>
    </w:pPr>
    <w:rPr>
      <w:rFonts w:ascii="黑体" w:hAnsi="Times New Roman" w:eastAsia="黑体" w:cs="Times New Roman"/>
      <w:sz w:val="21"/>
      <w:lang w:val="en-US" w:eastAsia="zh-CN" w:bidi="ar-SA"/>
    </w:rPr>
  </w:style>
  <w:style w:type="paragraph" w:customStyle="1" w:styleId="2408">
    <w:name w:val="样式 标题 3条标题1.1.1h3H3level_3PIM 3Level 3 HeadHeading 3 - ol..."/>
    <w:basedOn w:val="5"/>
    <w:autoRedefine/>
    <w:qFormat/>
    <w:uiPriority w:val="99"/>
    <w:pPr>
      <w:tabs>
        <w:tab w:val="left" w:pos="720"/>
      </w:tabs>
      <w:spacing w:beforeLines="50" w:after="0" w:line="360" w:lineRule="auto"/>
      <w:ind w:left="720" w:hanging="720"/>
      <w:jc w:val="left"/>
    </w:pPr>
    <w:rPr>
      <w:rFonts w:ascii="宋体"/>
      <w:kern w:val="24"/>
      <w:sz w:val="28"/>
      <w:lang w:val="en-US"/>
    </w:rPr>
  </w:style>
  <w:style w:type="paragraph" w:customStyle="1" w:styleId="2409">
    <w:name w:val="注："/>
    <w:next w:val="1"/>
    <w:autoRedefine/>
    <w:qFormat/>
    <w:uiPriority w:val="39"/>
    <w:pPr>
      <w:widowControl w:val="0"/>
      <w:autoSpaceDE w:val="0"/>
      <w:autoSpaceDN w:val="0"/>
      <w:ind w:left="1134" w:hanging="567"/>
      <w:jc w:val="both"/>
    </w:pPr>
    <w:rPr>
      <w:rFonts w:ascii="宋体" w:hAnsi="Times New Roman" w:eastAsia="宋体" w:cs="Times New Roman"/>
      <w:sz w:val="18"/>
      <w:lang w:val="en-US" w:eastAsia="zh-CN" w:bidi="ar-SA"/>
    </w:rPr>
  </w:style>
  <w:style w:type="paragraph" w:customStyle="1" w:styleId="2410">
    <w:name w:val="默认段落字体 Para Char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411">
    <w:name w:val="样式 标题 2"/>
    <w:basedOn w:val="5"/>
    <w:autoRedefine/>
    <w:qFormat/>
    <w:uiPriority w:val="0"/>
    <w:pPr>
      <w:ind w:left="720" w:hanging="432"/>
    </w:pPr>
    <w:rPr>
      <w:kern w:val="0"/>
      <w:lang w:val="en-US"/>
    </w:rPr>
  </w:style>
  <w:style w:type="paragraph" w:customStyle="1" w:styleId="2412">
    <w:name w:val="燕山正文3"/>
    <w:basedOn w:val="1"/>
    <w:autoRedefine/>
    <w:qFormat/>
    <w:uiPriority w:val="0"/>
    <w:pPr>
      <w:tabs>
        <w:tab w:val="left" w:pos="4680"/>
      </w:tabs>
      <w:adjustRightInd w:val="0"/>
      <w:snapToGrid w:val="0"/>
      <w:spacing w:line="480" w:lineRule="exact"/>
    </w:pPr>
    <w:rPr>
      <w:rFonts w:ascii="宋体" w:cs="宋体"/>
      <w:sz w:val="24"/>
    </w:rPr>
  </w:style>
  <w:style w:type="paragraph" w:customStyle="1" w:styleId="2413">
    <w:name w:val="p2"/>
    <w:basedOn w:val="1"/>
    <w:autoRedefine/>
    <w:qFormat/>
    <w:uiPriority w:val="99"/>
    <w:pPr>
      <w:widowControl/>
      <w:autoSpaceDE w:val="0"/>
      <w:autoSpaceDN w:val="0"/>
      <w:spacing w:line="540" w:lineRule="atLeast"/>
      <w:ind w:firstLine="596"/>
    </w:pPr>
    <w:rPr>
      <w:rFonts w:hint="eastAsia" w:ascii="華康中楷體" w:eastAsia="華康中楷體"/>
      <w:spacing w:val="20"/>
      <w:kern w:val="0"/>
      <w:sz w:val="28"/>
      <w:szCs w:val="28"/>
      <w:lang w:eastAsia="zh-TW"/>
    </w:rPr>
  </w:style>
  <w:style w:type="paragraph" w:customStyle="1" w:styleId="2414">
    <w:name w:val="Char610"/>
    <w:basedOn w:val="1"/>
    <w:autoRedefine/>
    <w:qFormat/>
    <w:uiPriority w:val="0"/>
    <w:pPr>
      <w:adjustRightInd w:val="0"/>
      <w:snapToGrid w:val="0"/>
      <w:spacing w:beforeLines="50" w:line="360" w:lineRule="auto"/>
    </w:pPr>
    <w:rPr>
      <w:rFonts w:ascii="黑体" w:eastAsia="黑体"/>
      <w:sz w:val="32"/>
      <w:szCs w:val="32"/>
    </w:rPr>
  </w:style>
  <w:style w:type="paragraph" w:customStyle="1" w:styleId="2415">
    <w:name w:val="条1"/>
    <w:basedOn w:val="1"/>
    <w:next w:val="947"/>
    <w:autoRedefine/>
    <w:qFormat/>
    <w:uiPriority w:val="99"/>
    <w:pPr>
      <w:outlineLvl w:val="1"/>
    </w:pPr>
    <w:rPr>
      <w:rFonts w:ascii="黑体" w:eastAsia="黑体"/>
      <w:kern w:val="21"/>
      <w:szCs w:val="20"/>
    </w:rPr>
  </w:style>
  <w:style w:type="paragraph" w:customStyle="1" w:styleId="2416">
    <w:name w:val="样式 标题 3 + 左侧:  0 毫米 首行缩进:  0 毫米 行距: 最小值 25 磅2"/>
    <w:basedOn w:val="5"/>
    <w:autoRedefine/>
    <w:qFormat/>
    <w:uiPriority w:val="0"/>
    <w:pPr>
      <w:ind w:left="720" w:hanging="432"/>
    </w:pPr>
    <w:rPr>
      <w:kern w:val="0"/>
      <w:lang w:val="en-US"/>
    </w:rPr>
  </w:style>
  <w:style w:type="paragraph" w:customStyle="1" w:styleId="2417">
    <w:name w:val="正文格式5"/>
    <w:basedOn w:val="1"/>
    <w:autoRedefine/>
    <w:qFormat/>
    <w:uiPriority w:val="0"/>
    <w:pPr>
      <w:spacing w:line="360" w:lineRule="auto"/>
      <w:ind w:firstLine="482"/>
    </w:pPr>
    <w:rPr>
      <w:rFonts w:ascii="宋体" w:hAnsi="宋体"/>
      <w:sz w:val="24"/>
    </w:rPr>
  </w:style>
  <w:style w:type="paragraph" w:customStyle="1" w:styleId="2418">
    <w:name w:val="样式 标题 3 + 字距调整二号 行距: 最小值 25 磅"/>
    <w:basedOn w:val="5"/>
    <w:autoRedefine/>
    <w:qFormat/>
    <w:uiPriority w:val="0"/>
    <w:pPr>
      <w:ind w:left="720" w:hanging="432"/>
    </w:pPr>
    <w:rPr>
      <w:kern w:val="0"/>
      <w:lang w:val="en-US"/>
    </w:rPr>
  </w:style>
  <w:style w:type="paragraph" w:customStyle="1" w:styleId="2419">
    <w:name w:val="小表格"/>
    <w:basedOn w:val="1"/>
    <w:autoRedefine/>
    <w:qFormat/>
    <w:uiPriority w:val="39"/>
    <w:pPr>
      <w:autoSpaceDE w:val="0"/>
      <w:autoSpaceDN w:val="0"/>
      <w:adjustRightInd w:val="0"/>
      <w:snapToGrid w:val="0"/>
      <w:jc w:val="center"/>
    </w:pPr>
    <w:rPr>
      <w:rFonts w:ascii="仿宋_GB2312"/>
      <w:kern w:val="0"/>
      <w:szCs w:val="20"/>
    </w:rPr>
  </w:style>
  <w:style w:type="paragraph" w:customStyle="1" w:styleId="2420">
    <w:name w:val="样式 样式 宋体 + 首行缩进:  2 字符1"/>
    <w:basedOn w:val="1"/>
    <w:autoRedefine/>
    <w:qFormat/>
    <w:uiPriority w:val="0"/>
    <w:pPr>
      <w:spacing w:line="360" w:lineRule="auto"/>
      <w:ind w:firstLine="480" w:firstLineChars="200"/>
      <w:jc w:val="left"/>
    </w:pPr>
    <w:rPr>
      <w:rFonts w:ascii="宋体" w:cs="宋体"/>
      <w:sz w:val="24"/>
    </w:rPr>
  </w:style>
  <w:style w:type="paragraph" w:customStyle="1" w:styleId="2421">
    <w:name w:val="正文小四 标准"/>
    <w:basedOn w:val="1"/>
    <w:autoRedefine/>
    <w:qFormat/>
    <w:uiPriority w:val="99"/>
    <w:pPr>
      <w:spacing w:beforeLines="50" w:afterLines="50" w:line="360" w:lineRule="auto"/>
      <w:ind w:firstLine="480" w:firstLineChars="200"/>
    </w:pPr>
    <w:rPr>
      <w:sz w:val="24"/>
      <w:szCs w:val="20"/>
    </w:rPr>
  </w:style>
  <w:style w:type="paragraph" w:customStyle="1" w:styleId="2422">
    <w:name w:val="表格下方正文"/>
    <w:basedOn w:val="1"/>
    <w:autoRedefine/>
    <w:qFormat/>
    <w:uiPriority w:val="0"/>
    <w:pPr>
      <w:spacing w:before="260" w:line="440" w:lineRule="exact"/>
      <w:ind w:firstLine="200" w:firstLineChars="200"/>
    </w:pPr>
    <w:rPr>
      <w:kern w:val="0"/>
      <w:sz w:val="24"/>
      <w:szCs w:val="20"/>
    </w:rPr>
  </w:style>
  <w:style w:type="paragraph" w:customStyle="1" w:styleId="2423">
    <w:name w:val="word"/>
    <w:basedOn w:val="1"/>
    <w:autoRedefine/>
    <w:qFormat/>
    <w:uiPriority w:val="99"/>
    <w:pPr>
      <w:spacing w:line="360" w:lineRule="auto"/>
      <w:ind w:firstLine="480" w:firstLineChars="200"/>
    </w:pPr>
    <w:rPr>
      <w:rFonts w:ascii="宋体" w:hAnsi="宋体"/>
      <w:color w:val="000000"/>
      <w:sz w:val="24"/>
    </w:rPr>
  </w:style>
  <w:style w:type="paragraph" w:customStyle="1" w:styleId="2424">
    <w:name w:val="Char Char Char Char Char Char Char Char Char Char2"/>
    <w:basedOn w:val="1"/>
    <w:autoRedefine/>
    <w:qFormat/>
    <w:uiPriority w:val="99"/>
    <w:rPr>
      <w:sz w:val="24"/>
    </w:rPr>
  </w:style>
  <w:style w:type="paragraph" w:customStyle="1" w:styleId="2425">
    <w:name w:val="Char Char Char Char Char Char Char Char Char Char Char1 Char Char Char Char Char Char Char Char Char Char Char Char Char Char Char Char2"/>
    <w:basedOn w:val="1"/>
    <w:autoRedefine/>
    <w:qFormat/>
    <w:uiPriority w:val="99"/>
    <w:rPr>
      <w:sz w:val="24"/>
    </w:rPr>
  </w:style>
  <w:style w:type="paragraph" w:customStyle="1" w:styleId="2426">
    <w:name w:val="燕山正文33"/>
    <w:basedOn w:val="1"/>
    <w:autoRedefine/>
    <w:qFormat/>
    <w:uiPriority w:val="0"/>
    <w:pPr>
      <w:tabs>
        <w:tab w:val="left" w:pos="4680"/>
      </w:tabs>
      <w:adjustRightInd w:val="0"/>
      <w:snapToGrid w:val="0"/>
      <w:spacing w:line="480" w:lineRule="exact"/>
    </w:pPr>
    <w:rPr>
      <w:rFonts w:ascii="宋体" w:cs="宋体"/>
      <w:sz w:val="24"/>
    </w:rPr>
  </w:style>
  <w:style w:type="paragraph" w:customStyle="1" w:styleId="2427">
    <w:name w:val="Char Char Char Char Char Char Char Char Char Char Char1 Char Char Char Char Char Char1 Char Char Char Char Char Char Char Char Char Char Char Char"/>
    <w:basedOn w:val="1"/>
    <w:autoRedefine/>
    <w:qFormat/>
    <w:uiPriority w:val="39"/>
    <w:rPr>
      <w:sz w:val="24"/>
    </w:rPr>
  </w:style>
  <w:style w:type="paragraph" w:customStyle="1" w:styleId="2428">
    <w:name w:val="样式 标题 2节 + 段前: 1 行 段后: 0.5 行1"/>
    <w:basedOn w:val="1"/>
    <w:autoRedefine/>
    <w:qFormat/>
    <w:uiPriority w:val="39"/>
    <w:pPr>
      <w:tabs>
        <w:tab w:val="left" w:pos="720"/>
      </w:tabs>
    </w:pPr>
  </w:style>
  <w:style w:type="paragraph" w:customStyle="1" w:styleId="2429">
    <w:name w:val="3xi1"/>
    <w:basedOn w:val="1"/>
    <w:autoRedefine/>
    <w:qFormat/>
    <w:uiPriority w:val="39"/>
    <w:pPr>
      <w:widowControl/>
      <w:spacing w:before="100" w:beforeAutospacing="1" w:after="100" w:afterAutospacing="1"/>
      <w:jc w:val="left"/>
    </w:pPr>
    <w:rPr>
      <w:rFonts w:ascii="宋体" w:hAnsi="宋体" w:cs="宋体"/>
      <w:kern w:val="0"/>
      <w:sz w:val="24"/>
    </w:rPr>
  </w:style>
  <w:style w:type="paragraph" w:customStyle="1" w:styleId="2430">
    <w:name w:val="默认段落字体 Para Char Char Char Char Char Char Char Char Char Char Char Char"/>
    <w:basedOn w:val="1"/>
    <w:autoRedefine/>
    <w:qFormat/>
    <w:uiPriority w:val="39"/>
    <w:rPr>
      <w:sz w:val="24"/>
    </w:rPr>
  </w:style>
  <w:style w:type="paragraph" w:customStyle="1" w:styleId="2431">
    <w:name w:val="Body Text 22"/>
    <w:basedOn w:val="1"/>
    <w:autoRedefine/>
    <w:qFormat/>
    <w:uiPriority w:val="39"/>
    <w:pPr>
      <w:adjustRightInd w:val="0"/>
      <w:spacing w:after="120"/>
      <w:ind w:left="420"/>
      <w:textAlignment w:val="baseline"/>
    </w:pPr>
    <w:rPr>
      <w:rFonts w:hint="eastAsia" w:ascii="宋体" w:hAnsi="宋体"/>
      <w:sz w:val="24"/>
      <w:szCs w:val="20"/>
    </w:rPr>
  </w:style>
  <w:style w:type="paragraph" w:customStyle="1" w:styleId="2432">
    <w:name w:val="样式 标题 1 + 段前: 1 行 段后: 1.5 行"/>
    <w:basedOn w:val="3"/>
    <w:autoRedefine/>
    <w:qFormat/>
    <w:uiPriority w:val="39"/>
    <w:pPr>
      <w:tabs>
        <w:tab w:val="left" w:pos="360"/>
      </w:tabs>
      <w:overflowPunct/>
      <w:snapToGrid/>
      <w:spacing w:before="0" w:after="0" w:line="240" w:lineRule="auto"/>
      <w:ind w:left="0" w:firstLine="0"/>
      <w:jc w:val="center"/>
    </w:pPr>
    <w:rPr>
      <w:rFonts w:ascii="Calibri" w:hAnsi="Calibri" w:eastAsia="楷体_GB2312"/>
      <w:b w:val="0"/>
      <w:bCs w:val="0"/>
      <w:color w:val="auto"/>
      <w:kern w:val="0"/>
      <w:sz w:val="28"/>
      <w:szCs w:val="20"/>
    </w:rPr>
  </w:style>
  <w:style w:type="paragraph" w:customStyle="1" w:styleId="2433">
    <w:name w:val="6表(图)头(治)"/>
    <w:next w:val="1"/>
    <w:autoRedefine/>
    <w:qFormat/>
    <w:uiPriority w:val="99"/>
    <w:pPr>
      <w:widowControl w:val="0"/>
      <w:spacing w:line="500" w:lineRule="atLeast"/>
      <w:ind w:firstLine="560" w:firstLineChars="200"/>
      <w:jc w:val="center"/>
    </w:pPr>
    <w:rPr>
      <w:rFonts w:hint="eastAsia" w:ascii="宋体" w:hAnsi="宋体" w:eastAsia="宋体" w:cs="Times New Roman"/>
      <w:sz w:val="28"/>
      <w:lang w:val="en-US" w:eastAsia="zh-CN" w:bidi="ar-SA"/>
    </w:rPr>
  </w:style>
  <w:style w:type="paragraph" w:customStyle="1" w:styleId="2434">
    <w:name w:val="Char Char Char Char Char Char Char Char Char Char Char Char Char"/>
    <w:basedOn w:val="1"/>
    <w:autoRedefine/>
    <w:qFormat/>
    <w:uiPriority w:val="0"/>
    <w:rPr>
      <w:sz w:val="24"/>
    </w:rPr>
  </w:style>
  <w:style w:type="paragraph" w:customStyle="1" w:styleId="2435">
    <w:name w:val="Char Char Char Char Char Char Char Char Char Char Char Char Char Char Char Char Char Char Char Char Char Char Char Char Char Char Char Char Char Char"/>
    <w:basedOn w:val="1"/>
    <w:autoRedefine/>
    <w:qFormat/>
    <w:uiPriority w:val="99"/>
    <w:rPr>
      <w:sz w:val="24"/>
    </w:rPr>
  </w:style>
  <w:style w:type="paragraph" w:customStyle="1" w:styleId="2436">
    <w:name w:val="Char Char Char Char Char Char Char Char Char Char Char1 Char Char Char Char"/>
    <w:basedOn w:val="1"/>
    <w:autoRedefine/>
    <w:qFormat/>
    <w:uiPriority w:val="39"/>
    <w:rPr>
      <w:sz w:val="24"/>
    </w:rPr>
  </w:style>
  <w:style w:type="paragraph" w:customStyle="1" w:styleId="2437">
    <w:name w:val="Char Char Char Char Char Char Char Char Char Char Char Char Char Char Char Char Char"/>
    <w:basedOn w:val="1"/>
    <w:autoRedefine/>
    <w:qFormat/>
    <w:uiPriority w:val="39"/>
    <w:rPr>
      <w:sz w:val="24"/>
    </w:rPr>
  </w:style>
  <w:style w:type="paragraph" w:customStyle="1" w:styleId="2438">
    <w:name w:val="Char Char Char Char Char Char Char Char Char Char Char1 Char Char Char Char Char Char1 Char"/>
    <w:basedOn w:val="1"/>
    <w:autoRedefine/>
    <w:qFormat/>
    <w:uiPriority w:val="39"/>
    <w:rPr>
      <w:sz w:val="24"/>
    </w:rPr>
  </w:style>
  <w:style w:type="paragraph" w:customStyle="1" w:styleId="2439">
    <w:name w:val="Char Char Char Char Char Char Char Char Char Char Char Char Char Char Char Char Char Char Char Char Char Char Char Char Char Char Char Char Char Char Char Char Char1 Char Char Char Char Char Char"/>
    <w:basedOn w:val="1"/>
    <w:autoRedefine/>
    <w:qFormat/>
    <w:uiPriority w:val="39"/>
    <w:rPr>
      <w:sz w:val="24"/>
    </w:rPr>
  </w:style>
  <w:style w:type="paragraph" w:customStyle="1" w:styleId="2440">
    <w:name w:val="TY"/>
    <w:basedOn w:val="1"/>
    <w:autoRedefine/>
    <w:qFormat/>
    <w:uiPriority w:val="99"/>
    <w:pPr>
      <w:adjustRightInd w:val="0"/>
      <w:snapToGrid w:val="0"/>
      <w:spacing w:before="40" w:after="40"/>
    </w:pPr>
    <w:rPr>
      <w:szCs w:val="20"/>
    </w:rPr>
  </w:style>
  <w:style w:type="paragraph" w:customStyle="1" w:styleId="2441">
    <w:name w:val="Char Char Char Char Char Char Char Char1 Char Char Char Char Char Char Char Char Char Char Char Char1 Char2"/>
    <w:basedOn w:val="1"/>
    <w:autoRedefine/>
    <w:qFormat/>
    <w:uiPriority w:val="99"/>
    <w:rPr>
      <w:sz w:val="24"/>
    </w:rPr>
  </w:style>
  <w:style w:type="paragraph" w:customStyle="1" w:styleId="2442">
    <w:name w:val="默认段落字体 Para Char Char Char"/>
    <w:basedOn w:val="1"/>
    <w:autoRedefine/>
    <w:qFormat/>
    <w:uiPriority w:val="99"/>
    <w:rPr>
      <w:sz w:val="24"/>
    </w:rPr>
  </w:style>
  <w:style w:type="paragraph" w:customStyle="1" w:styleId="2443">
    <w:name w:val="默认段落字体 Para Char Char Char1 Char1"/>
    <w:basedOn w:val="1"/>
    <w:autoRedefine/>
    <w:qFormat/>
    <w:uiPriority w:val="99"/>
    <w:rPr>
      <w:sz w:val="24"/>
    </w:rPr>
  </w:style>
  <w:style w:type="paragraph" w:customStyle="1" w:styleId="2444">
    <w:name w:val="默认段落字体 Para Char Char Char1 Char Char"/>
    <w:basedOn w:val="1"/>
    <w:autoRedefine/>
    <w:qFormat/>
    <w:uiPriority w:val="39"/>
    <w:rPr>
      <w:sz w:val="24"/>
    </w:rPr>
  </w:style>
  <w:style w:type="paragraph" w:customStyle="1" w:styleId="2445">
    <w:name w:val="Char Char Char Char Char Char Char Char Char Char Char Char Char Char Char Char Char Char Char Char Char Char Char Char Char"/>
    <w:basedOn w:val="1"/>
    <w:autoRedefine/>
    <w:qFormat/>
    <w:uiPriority w:val="0"/>
    <w:rPr>
      <w:sz w:val="24"/>
    </w:rPr>
  </w:style>
  <w:style w:type="paragraph" w:customStyle="1" w:styleId="2446">
    <w:name w:val="Body Text 23"/>
    <w:basedOn w:val="1"/>
    <w:autoRedefine/>
    <w:qFormat/>
    <w:uiPriority w:val="99"/>
    <w:pPr>
      <w:adjustRightInd w:val="0"/>
      <w:spacing w:after="120"/>
      <w:ind w:left="420"/>
      <w:textAlignment w:val="baseline"/>
    </w:pPr>
    <w:rPr>
      <w:rFonts w:hint="eastAsia" w:ascii="宋体" w:hAnsi="宋体"/>
      <w:sz w:val="24"/>
      <w:szCs w:val="20"/>
    </w:rPr>
  </w:style>
  <w:style w:type="paragraph" w:customStyle="1" w:styleId="2447">
    <w:name w:val="Char Char Char Char Char Char Char Char Char Char Char Char Char Char Char Char Char1 Char"/>
    <w:basedOn w:val="1"/>
    <w:autoRedefine/>
    <w:qFormat/>
    <w:uiPriority w:val="99"/>
    <w:rPr>
      <w:sz w:val="24"/>
    </w:rPr>
  </w:style>
  <w:style w:type="paragraph" w:customStyle="1" w:styleId="2448">
    <w:name w:val="样式 标题 1 + (中文) 宋体 小三 行距: 多倍行距 1.35 字行"/>
    <w:basedOn w:val="3"/>
    <w:autoRedefine/>
    <w:qFormat/>
    <w:uiPriority w:val="0"/>
    <w:pPr>
      <w:tabs>
        <w:tab w:val="left" w:pos="360"/>
      </w:tabs>
      <w:overflowPunct/>
      <w:snapToGrid/>
      <w:spacing w:before="0" w:after="0" w:line="240" w:lineRule="auto"/>
      <w:ind w:left="0" w:firstLine="0"/>
      <w:jc w:val="center"/>
    </w:pPr>
    <w:rPr>
      <w:rFonts w:ascii="Calibri" w:hAnsi="Calibri" w:eastAsia="楷体_GB2312"/>
      <w:b w:val="0"/>
      <w:bCs w:val="0"/>
      <w:color w:val="auto"/>
      <w:kern w:val="0"/>
      <w:sz w:val="28"/>
      <w:szCs w:val="20"/>
    </w:rPr>
  </w:style>
  <w:style w:type="paragraph" w:customStyle="1" w:styleId="2449">
    <w:name w:val="页脚 Char Char"/>
    <w:basedOn w:val="1"/>
    <w:autoRedefine/>
    <w:qFormat/>
    <w:uiPriority w:val="0"/>
    <w:pPr>
      <w:tabs>
        <w:tab w:val="left" w:pos="4149"/>
        <w:tab w:val="left" w:pos="8016"/>
      </w:tabs>
      <w:spacing w:line="351" w:lineRule="atLeast"/>
      <w:ind w:firstLine="419"/>
      <w:jc w:val="left"/>
    </w:pPr>
    <w:rPr>
      <w:rFonts w:hint="eastAsia"/>
      <w:sz w:val="18"/>
      <w:szCs w:val="20"/>
    </w:rPr>
  </w:style>
  <w:style w:type="paragraph" w:customStyle="1" w:styleId="2450">
    <w:name w:val="样式 列表"/>
    <w:basedOn w:val="66"/>
    <w:autoRedefine/>
    <w:qFormat/>
    <w:uiPriority w:val="39"/>
    <w:pPr>
      <w:spacing w:line="280" w:lineRule="exact"/>
      <w:ind w:left="0" w:right="0" w:rightChars="0"/>
    </w:pPr>
    <w:rPr>
      <w:rFonts w:ascii="Times New Roman" w:eastAsia="方正仿宋_GBK" w:cs="宋体"/>
      <w:szCs w:val="20"/>
    </w:rPr>
  </w:style>
  <w:style w:type="paragraph" w:customStyle="1" w:styleId="2451">
    <w:name w:val="小四左齐"/>
    <w:basedOn w:val="1"/>
    <w:autoRedefine/>
    <w:qFormat/>
    <w:uiPriority w:val="39"/>
    <w:pPr>
      <w:overflowPunct w:val="0"/>
      <w:adjustRightInd w:val="0"/>
      <w:snapToGrid w:val="0"/>
      <w:jc w:val="left"/>
      <w:textAlignment w:val="top"/>
    </w:pPr>
    <w:rPr>
      <w:rFonts w:eastAsia="仿宋_GB2312"/>
      <w:snapToGrid w:val="0"/>
      <w:kern w:val="0"/>
      <w:sz w:val="24"/>
    </w:rPr>
  </w:style>
  <w:style w:type="paragraph" w:customStyle="1" w:styleId="2452">
    <w:name w:val="目录 7 Char Char"/>
    <w:basedOn w:val="1"/>
    <w:next w:val="1"/>
    <w:autoRedefine/>
    <w:qFormat/>
    <w:uiPriority w:val="0"/>
    <w:pPr>
      <w:spacing w:line="351" w:lineRule="atLeast"/>
      <w:ind w:left="1258" w:firstLine="419"/>
      <w:jc w:val="left"/>
    </w:pPr>
    <w:rPr>
      <w:rFonts w:hint="eastAsia"/>
      <w:szCs w:val="20"/>
    </w:rPr>
  </w:style>
  <w:style w:type="paragraph" w:customStyle="1" w:styleId="2453">
    <w:name w:val="Char40"/>
    <w:basedOn w:val="1"/>
    <w:autoRedefine/>
    <w:qFormat/>
    <w:uiPriority w:val="0"/>
    <w:pPr>
      <w:ind w:left="-48"/>
    </w:pPr>
  </w:style>
  <w:style w:type="paragraph" w:customStyle="1" w:styleId="2454">
    <w:name w:val="环标3"/>
    <w:basedOn w:val="5"/>
    <w:autoRedefine/>
    <w:qFormat/>
    <w:uiPriority w:val="0"/>
    <w:pPr>
      <w:ind w:left="720" w:hanging="432"/>
    </w:pPr>
    <w:rPr>
      <w:kern w:val="0"/>
      <w:lang w:val="en-US"/>
    </w:rPr>
  </w:style>
  <w:style w:type="paragraph" w:customStyle="1" w:styleId="2455">
    <w:name w:val="TabHead"/>
    <w:basedOn w:val="1"/>
    <w:autoRedefine/>
    <w:qFormat/>
    <w:uiPriority w:val="99"/>
    <w:pPr>
      <w:spacing w:line="360" w:lineRule="auto"/>
      <w:ind w:firstLine="480" w:firstLineChars="200"/>
      <w:jc w:val="center"/>
    </w:pPr>
    <w:rPr>
      <w:sz w:val="24"/>
      <w:szCs w:val="20"/>
    </w:rPr>
  </w:style>
  <w:style w:type="paragraph" w:customStyle="1" w:styleId="2456">
    <w:name w:val="环评表样式1"/>
    <w:basedOn w:val="84"/>
    <w:autoRedefine/>
    <w:qFormat/>
    <w:uiPriority w:val="99"/>
    <w:pPr>
      <w:widowControl w:val="0"/>
      <w:adjustRightInd w:val="0"/>
      <w:spacing w:before="360" w:after="360" w:line="160" w:lineRule="atLeast"/>
      <w:ind w:left="0" w:right="0" w:firstLine="0"/>
      <w:textAlignment w:val="baseline"/>
    </w:pPr>
    <w:rPr>
      <w:rFonts w:ascii="黑体" w:hAnsi="Arial" w:eastAsia="黑体"/>
      <w:bCs w:val="0"/>
      <w:color w:val="auto"/>
      <w:sz w:val="48"/>
      <w:szCs w:val="20"/>
    </w:rPr>
  </w:style>
  <w:style w:type="paragraph" w:customStyle="1" w:styleId="2457">
    <w:name w:val="宏福正文"/>
    <w:basedOn w:val="34"/>
    <w:autoRedefine/>
    <w:qFormat/>
    <w:uiPriority w:val="99"/>
    <w:pPr>
      <w:widowControl w:val="0"/>
      <w:adjustRightInd w:val="0"/>
      <w:spacing w:before="240" w:after="0" w:line="400" w:lineRule="atLeast"/>
      <w:ind w:right="0" w:firstLine="624"/>
      <w:jc w:val="center"/>
    </w:pPr>
    <w:rPr>
      <w:snapToGrid w:val="0"/>
      <w:color w:val="000000"/>
      <w:spacing w:val="12"/>
      <w:kern w:val="28"/>
      <w:sz w:val="28"/>
      <w:lang w:val="en-US"/>
    </w:rPr>
  </w:style>
  <w:style w:type="paragraph" w:customStyle="1" w:styleId="2458">
    <w:name w:val="药标2"/>
    <w:basedOn w:val="4"/>
    <w:autoRedefine/>
    <w:qFormat/>
    <w:uiPriority w:val="39"/>
  </w:style>
  <w:style w:type="paragraph" w:customStyle="1" w:styleId="2459">
    <w:name w:val="普通 (Web)17"/>
    <w:basedOn w:val="1"/>
    <w:autoRedefine/>
    <w:qFormat/>
    <w:uiPriority w:val="39"/>
    <w:pPr>
      <w:widowControl/>
      <w:spacing w:before="100" w:beforeAutospacing="1" w:after="100" w:afterAutospacing="1"/>
      <w:jc w:val="left"/>
    </w:pPr>
    <w:rPr>
      <w:rFonts w:ascii="Arial Unicode MS" w:hAnsi="Arial Unicode MS" w:eastAsia="Times New Roman"/>
      <w:kern w:val="0"/>
      <w:sz w:val="18"/>
      <w:szCs w:val="18"/>
    </w:rPr>
  </w:style>
  <w:style w:type="paragraph" w:customStyle="1" w:styleId="2460">
    <w:name w:val="宋体"/>
    <w:basedOn w:val="1"/>
    <w:autoRedefine/>
    <w:qFormat/>
    <w:uiPriority w:val="39"/>
    <w:rPr>
      <w:rFonts w:ascii="宋体" w:hAnsi="宋体"/>
      <w:szCs w:val="21"/>
    </w:rPr>
  </w:style>
  <w:style w:type="paragraph" w:customStyle="1" w:styleId="2461">
    <w:name w:val="b"/>
    <w:basedOn w:val="1"/>
    <w:autoRedefine/>
    <w:qFormat/>
    <w:uiPriority w:val="39"/>
    <w:pPr>
      <w:widowControl/>
      <w:spacing w:before="100" w:beforeAutospacing="1" w:after="100" w:afterAutospacing="1"/>
      <w:jc w:val="left"/>
    </w:pPr>
    <w:rPr>
      <w:rFonts w:ascii="宋体" w:hAnsi="宋体"/>
      <w:b/>
      <w:bCs/>
      <w:kern w:val="0"/>
      <w:sz w:val="27"/>
      <w:szCs w:val="27"/>
    </w:rPr>
  </w:style>
  <w:style w:type="paragraph" w:customStyle="1" w:styleId="2462">
    <w:name w:val="Body Text Indent1"/>
    <w:basedOn w:val="1"/>
    <w:autoRedefine/>
    <w:qFormat/>
    <w:uiPriority w:val="39"/>
    <w:pPr>
      <w:spacing w:after="120" w:line="360" w:lineRule="auto"/>
      <w:ind w:left="420" w:leftChars="200" w:firstLine="200" w:firstLineChars="200"/>
    </w:pPr>
    <w:rPr>
      <w:sz w:val="24"/>
    </w:rPr>
  </w:style>
  <w:style w:type="paragraph" w:customStyle="1" w:styleId="2463">
    <w:name w:val="InstÀÀll5"/>
    <w:autoRedefine/>
    <w:qFormat/>
    <w:uiPriority w:val="39"/>
    <w:pPr>
      <w:tabs>
        <w:tab w:val="left" w:pos="-720"/>
      </w:tabs>
      <w:suppressAutoHyphens/>
      <w:jc w:val="both"/>
    </w:pPr>
    <w:rPr>
      <w:rFonts w:ascii="Courier" w:hAnsi="Courier" w:eastAsia="宋体" w:cs="Times New Roman"/>
      <w:spacing w:val="-3"/>
      <w:sz w:val="24"/>
      <w:lang w:val="en-US" w:eastAsia="sv-SE" w:bidi="ar-SA"/>
    </w:rPr>
  </w:style>
  <w:style w:type="paragraph" w:customStyle="1" w:styleId="2464">
    <w:name w:val="表后文"/>
    <w:basedOn w:val="1"/>
    <w:autoRedefine/>
    <w:qFormat/>
    <w:uiPriority w:val="0"/>
    <w:pPr>
      <w:adjustRightInd w:val="0"/>
      <w:spacing w:before="120" w:line="360" w:lineRule="auto"/>
      <w:ind w:firstLine="493"/>
      <w:textAlignment w:val="baseline"/>
    </w:pPr>
    <w:rPr>
      <w:rFonts w:ascii="宋体" w:hAnsi="宋体"/>
      <w:spacing w:val="-2"/>
      <w:kern w:val="0"/>
      <w:sz w:val="24"/>
      <w:szCs w:val="20"/>
    </w:rPr>
  </w:style>
  <w:style w:type="paragraph" w:customStyle="1" w:styleId="2465">
    <w:name w:val="原料"/>
    <w:basedOn w:val="1"/>
    <w:autoRedefine/>
    <w:qFormat/>
    <w:uiPriority w:val="39"/>
    <w:pPr>
      <w:adjustRightInd w:val="0"/>
      <w:spacing w:line="315" w:lineRule="atLeast"/>
      <w:jc w:val="left"/>
      <w:textAlignment w:val="baseline"/>
    </w:pPr>
    <w:rPr>
      <w:rFonts w:ascii="宋体" w:hAnsi="宋体"/>
      <w:spacing w:val="-2"/>
      <w:kern w:val="0"/>
      <w:sz w:val="28"/>
      <w:szCs w:val="20"/>
    </w:rPr>
  </w:style>
  <w:style w:type="paragraph" w:customStyle="1" w:styleId="2466">
    <w:name w:val="文章总标题"/>
    <w:basedOn w:val="1"/>
    <w:next w:val="2204"/>
    <w:autoRedefine/>
    <w:qFormat/>
    <w:uiPriority w:val="99"/>
    <w:pPr>
      <w:widowControl/>
      <w:spacing w:before="566" w:after="544" w:line="566" w:lineRule="atLeast"/>
      <w:jc w:val="center"/>
      <w:textAlignment w:val="baseline"/>
    </w:pPr>
    <w:rPr>
      <w:rFonts w:ascii="Arial" w:eastAsia="黑体"/>
      <w:color w:val="000000"/>
      <w:kern w:val="0"/>
      <w:sz w:val="54"/>
      <w:szCs w:val="20"/>
      <w:u w:color="000000"/>
    </w:rPr>
  </w:style>
  <w:style w:type="paragraph" w:customStyle="1" w:styleId="2467">
    <w:name w:val="样式1）"/>
    <w:basedOn w:val="7"/>
    <w:autoRedefine/>
    <w:qFormat/>
    <w:uiPriority w:val="0"/>
  </w:style>
  <w:style w:type="paragraph" w:customStyle="1" w:styleId="2468">
    <w:name w:val="Char Char1 Char Char Char Char Char Char"/>
    <w:basedOn w:val="1"/>
    <w:autoRedefine/>
    <w:qFormat/>
    <w:uiPriority w:val="0"/>
  </w:style>
  <w:style w:type="paragraph" w:customStyle="1" w:styleId="2469">
    <w:name w:val="样式 标题 3 + 左侧:  0 毫米 首行缩进:  0 毫米 行距: 最小值 25 磅1"/>
    <w:basedOn w:val="5"/>
    <w:autoRedefine/>
    <w:qFormat/>
    <w:uiPriority w:val="0"/>
    <w:pPr>
      <w:ind w:left="720" w:hanging="432"/>
    </w:pPr>
    <w:rPr>
      <w:kern w:val="0"/>
      <w:lang w:val="en-US"/>
    </w:rPr>
  </w:style>
  <w:style w:type="paragraph" w:customStyle="1" w:styleId="2470">
    <w:name w:val="样式 标题 4 + 行距: 最小值 25 磅"/>
    <w:basedOn w:val="6"/>
    <w:autoRedefine/>
    <w:qFormat/>
    <w:uiPriority w:val="0"/>
  </w:style>
  <w:style w:type="paragraph" w:customStyle="1" w:styleId="2471">
    <w:name w:val="Char4"/>
    <w:basedOn w:val="1"/>
    <w:autoRedefine/>
    <w:qFormat/>
    <w:uiPriority w:val="0"/>
    <w:rPr>
      <w:sz w:val="24"/>
    </w:rPr>
  </w:style>
  <w:style w:type="paragraph" w:customStyle="1" w:styleId="2472">
    <w:name w:val="Char Char Char Char Char Char Char Char Char1 Char Char Char Char Char Char1 Char"/>
    <w:basedOn w:val="1"/>
    <w:autoRedefine/>
    <w:qFormat/>
    <w:uiPriority w:val="0"/>
    <w:rPr>
      <w:szCs w:val="21"/>
    </w:rPr>
  </w:style>
  <w:style w:type="paragraph" w:customStyle="1" w:styleId="2473">
    <w:name w:val="样式 (西文) 仿宋_GB2312 (中文) 仿宋_GB2312 四号 首行缩进:  0.98 厘米 行距: 固定值 2..."/>
    <w:basedOn w:val="26"/>
    <w:next w:val="26"/>
    <w:autoRedefine/>
    <w:qFormat/>
    <w:uiPriority w:val="0"/>
    <w:pPr>
      <w:shd w:val="clear" w:color="auto" w:fill="auto"/>
      <w:spacing w:line="480" w:lineRule="exact"/>
      <w:ind w:firstLine="555"/>
    </w:pPr>
    <w:rPr>
      <w:rFonts w:ascii="仿宋_GB2312" w:eastAsia="仿宋_GB2312" w:cs="宋体"/>
      <w:sz w:val="44"/>
      <w:szCs w:val="20"/>
    </w:rPr>
  </w:style>
  <w:style w:type="paragraph" w:customStyle="1" w:styleId="2474">
    <w:name w:val="条题"/>
    <w:basedOn w:val="9"/>
    <w:next w:val="9"/>
    <w:autoRedefine/>
    <w:qFormat/>
    <w:uiPriority w:val="0"/>
    <w:pPr>
      <w:tabs>
        <w:tab w:val="left" w:pos="0"/>
        <w:tab w:val="left" w:pos="425"/>
      </w:tabs>
      <w:spacing w:line="360" w:lineRule="auto"/>
      <w:ind w:left="425" w:firstLine="0" w:firstLineChars="0"/>
    </w:pPr>
    <w:rPr>
      <w:bCs/>
      <w:kern w:val="0"/>
      <w:sz w:val="24"/>
      <w:szCs w:val="20"/>
      <w:lang w:val="en-US"/>
    </w:rPr>
  </w:style>
  <w:style w:type="paragraph" w:customStyle="1" w:styleId="2475">
    <w:name w:val="正文.112"/>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476">
    <w:name w:val="Char Char Char1 Char Char Char1 Char Char Char1 Char"/>
    <w:basedOn w:val="1"/>
    <w:autoRedefine/>
    <w:qFormat/>
    <w:uiPriority w:val="0"/>
    <w:pPr>
      <w:spacing w:line="400" w:lineRule="exact"/>
      <w:ind w:firstLine="200" w:firstLineChars="200"/>
    </w:pPr>
    <w:rPr>
      <w:sz w:val="28"/>
      <w:szCs w:val="28"/>
    </w:rPr>
  </w:style>
  <w:style w:type="paragraph" w:customStyle="1" w:styleId="2477">
    <w:name w:val="广西炼油"/>
    <w:basedOn w:val="1"/>
    <w:autoRedefine/>
    <w:qFormat/>
    <w:uiPriority w:val="0"/>
    <w:pPr>
      <w:spacing w:beforeLines="5" w:line="360" w:lineRule="auto"/>
      <w:ind w:firstLine="480"/>
    </w:pPr>
    <w:rPr>
      <w:rFonts w:ascii="宋体" w:hAnsi="宋体"/>
      <w:sz w:val="24"/>
      <w:szCs w:val="20"/>
    </w:rPr>
  </w:style>
  <w:style w:type="paragraph" w:customStyle="1" w:styleId="2478">
    <w:name w:val="三标题"/>
    <w:basedOn w:val="5"/>
    <w:autoRedefine/>
    <w:qFormat/>
    <w:uiPriority w:val="99"/>
    <w:pPr>
      <w:spacing w:before="0" w:after="0" w:line="360" w:lineRule="auto"/>
    </w:pPr>
    <w:rPr>
      <w:rFonts w:ascii="宋体" w:hAnsi="宋体"/>
      <w:kern w:val="0"/>
      <w:sz w:val="28"/>
      <w:lang w:val="en-US"/>
    </w:rPr>
  </w:style>
  <w:style w:type="paragraph" w:customStyle="1" w:styleId="2479">
    <w:name w:val="样式 标题 31.1.1标题 3 + Times New Roman 自动设置 段前: 0.2 行 段后: 0.2 行"/>
    <w:basedOn w:val="5"/>
    <w:autoRedefine/>
    <w:qFormat/>
    <w:uiPriority w:val="0"/>
    <w:pPr>
      <w:ind w:left="720" w:hanging="432"/>
    </w:pPr>
    <w:rPr>
      <w:kern w:val="0"/>
      <w:lang w:val="en-US"/>
    </w:rPr>
  </w:style>
  <w:style w:type="paragraph" w:customStyle="1" w:styleId="2480">
    <w:name w:val="表样式1.1"/>
    <w:basedOn w:val="1"/>
    <w:autoRedefine/>
    <w:qFormat/>
    <w:uiPriority w:val="0"/>
    <w:pPr>
      <w:autoSpaceDE w:val="0"/>
      <w:autoSpaceDN w:val="0"/>
      <w:adjustRightInd w:val="0"/>
      <w:snapToGrid w:val="0"/>
      <w:spacing w:line="374" w:lineRule="exact"/>
      <w:jc w:val="center"/>
    </w:pPr>
    <w:rPr>
      <w:rFonts w:ascii="宋体" w:hAnsi="宋体"/>
      <w:color w:val="000000"/>
      <w:kern w:val="0"/>
      <w:szCs w:val="20"/>
    </w:rPr>
  </w:style>
  <w:style w:type="paragraph" w:customStyle="1" w:styleId="2481">
    <w:name w:val="中表格"/>
    <w:basedOn w:val="1"/>
    <w:autoRedefine/>
    <w:qFormat/>
    <w:uiPriority w:val="0"/>
    <w:pPr>
      <w:spacing w:line="420" w:lineRule="exact"/>
      <w:jc w:val="center"/>
    </w:pPr>
    <w:rPr>
      <w:rFonts w:ascii="宋体" w:hAnsi="Arial"/>
      <w:sz w:val="24"/>
      <w:szCs w:val="20"/>
    </w:rPr>
  </w:style>
  <w:style w:type="paragraph" w:customStyle="1" w:styleId="2482">
    <w:name w:val="正文（行首缩进2字）"/>
    <w:basedOn w:val="1"/>
    <w:autoRedefine/>
    <w:qFormat/>
    <w:uiPriority w:val="0"/>
    <w:pPr>
      <w:spacing w:line="360" w:lineRule="auto"/>
      <w:ind w:firstLine="200" w:firstLineChars="200"/>
    </w:pPr>
    <w:rPr>
      <w:sz w:val="28"/>
      <w:szCs w:val="20"/>
    </w:rPr>
  </w:style>
  <w:style w:type="paragraph" w:customStyle="1" w:styleId="2483">
    <w:name w:val="样式 标题 2节第一章 标题 2Heading 2 HiddenHeading 2 CCBSheading 2H2...1"/>
    <w:basedOn w:val="4"/>
    <w:autoRedefine/>
    <w:qFormat/>
    <w:uiPriority w:val="0"/>
  </w:style>
  <w:style w:type="paragraph" w:customStyle="1" w:styleId="2484">
    <w:name w:val="样式16"/>
    <w:basedOn w:val="1"/>
    <w:autoRedefine/>
    <w:qFormat/>
    <w:uiPriority w:val="0"/>
    <w:pPr>
      <w:tabs>
        <w:tab w:val="left" w:pos="0"/>
        <w:tab w:val="left" w:pos="432"/>
      </w:tabs>
      <w:spacing w:line="360" w:lineRule="auto"/>
      <w:ind w:left="825" w:firstLine="200" w:firstLineChars="200"/>
    </w:pPr>
    <w:rPr>
      <w:rFonts w:ascii="宋体" w:hAnsi="宋体"/>
      <w:color w:val="000000"/>
      <w:sz w:val="24"/>
      <w:szCs w:val="21"/>
    </w:rPr>
  </w:style>
  <w:style w:type="paragraph" w:customStyle="1" w:styleId="2485">
    <w:name w:val="标题004"/>
    <w:basedOn w:val="2290"/>
    <w:autoRedefine/>
    <w:qFormat/>
    <w:uiPriority w:val="0"/>
    <w:pPr>
      <w:ind w:firstLine="0"/>
      <w:outlineLvl w:val="3"/>
    </w:pPr>
    <w:rPr>
      <w:b/>
    </w:rPr>
  </w:style>
  <w:style w:type="paragraph" w:customStyle="1" w:styleId="2486">
    <w:name w:val="样式 图表"/>
    <w:basedOn w:val="1"/>
    <w:autoRedefine/>
    <w:qFormat/>
    <w:uiPriority w:val="0"/>
    <w:pPr>
      <w:adjustRightInd w:val="0"/>
      <w:spacing w:line="360" w:lineRule="auto"/>
      <w:jc w:val="center"/>
      <w:textAlignment w:val="baseline"/>
    </w:pPr>
    <w:rPr>
      <w:b/>
      <w:kern w:val="0"/>
      <w:sz w:val="24"/>
      <w:szCs w:val="20"/>
    </w:rPr>
  </w:style>
  <w:style w:type="paragraph" w:customStyle="1" w:styleId="2487">
    <w:name w:val="我的正文 Char Char"/>
    <w:basedOn w:val="1"/>
    <w:autoRedefine/>
    <w:qFormat/>
    <w:uiPriority w:val="0"/>
    <w:pPr>
      <w:spacing w:line="480" w:lineRule="exact"/>
      <w:ind w:firstLine="200" w:firstLineChars="200"/>
    </w:pPr>
    <w:rPr>
      <w:sz w:val="24"/>
    </w:rPr>
  </w:style>
  <w:style w:type="paragraph" w:customStyle="1" w:styleId="2488">
    <w:name w:val="xl241"/>
    <w:basedOn w:val="1"/>
    <w:autoRedefine/>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2489">
    <w:name w:val="表样式1"/>
    <w:basedOn w:val="1"/>
    <w:autoRedefine/>
    <w:qFormat/>
    <w:uiPriority w:val="0"/>
    <w:pPr>
      <w:spacing w:line="360" w:lineRule="auto"/>
      <w:jc w:val="center"/>
    </w:pPr>
    <w:rPr>
      <w:rFonts w:ascii="宋体" w:hAnsi="宋体"/>
      <w:color w:val="000000"/>
      <w:szCs w:val="20"/>
    </w:rPr>
  </w:style>
  <w:style w:type="paragraph" w:customStyle="1" w:styleId="2490">
    <w:name w:val="自正文1"/>
    <w:basedOn w:val="1"/>
    <w:autoRedefine/>
    <w:qFormat/>
    <w:uiPriority w:val="0"/>
    <w:pPr>
      <w:tabs>
        <w:tab w:val="left" w:pos="5670"/>
      </w:tabs>
      <w:textAlignment w:val="baseline"/>
    </w:pPr>
    <w:rPr>
      <w:rFonts w:ascii="宋体" w:hAnsi="宋体"/>
      <w:kern w:val="24"/>
      <w:sz w:val="30"/>
      <w:szCs w:val="20"/>
    </w:rPr>
  </w:style>
  <w:style w:type="paragraph" w:customStyle="1" w:styleId="2491">
    <w:name w:val="样式 标题 3条标题1.1.1条标题1.1.11条标题1.1.12条标题1.1.13条标题1.1.111条标题1.1..."/>
    <w:basedOn w:val="5"/>
    <w:autoRedefine/>
    <w:qFormat/>
    <w:uiPriority w:val="0"/>
    <w:pPr>
      <w:ind w:left="720" w:hanging="432"/>
    </w:pPr>
    <w:rPr>
      <w:kern w:val="0"/>
      <w:lang w:val="en-US"/>
    </w:rPr>
  </w:style>
  <w:style w:type="paragraph" w:customStyle="1" w:styleId="2492">
    <w:name w:val="正文文本缩进 311"/>
    <w:basedOn w:val="1"/>
    <w:autoRedefine/>
    <w:qFormat/>
    <w:uiPriority w:val="99"/>
    <w:pPr>
      <w:spacing w:after="120"/>
      <w:ind w:left="420" w:leftChars="200"/>
    </w:pPr>
    <w:rPr>
      <w:rFonts w:eastAsia="仿宋_GB2312"/>
      <w:sz w:val="16"/>
      <w:szCs w:val="16"/>
    </w:rPr>
  </w:style>
  <w:style w:type="paragraph" w:customStyle="1" w:styleId="2493">
    <w:name w:val="Char Char Char Char Char Char Char Char Char Char1 Char Char"/>
    <w:basedOn w:val="1"/>
    <w:autoRedefine/>
    <w:qFormat/>
    <w:uiPriority w:val="0"/>
    <w:pPr>
      <w:spacing w:line="240" w:lineRule="exact"/>
      <w:ind w:firstLine="200" w:firstLineChars="200"/>
    </w:pPr>
    <w:rPr>
      <w:sz w:val="28"/>
      <w:szCs w:val="28"/>
    </w:rPr>
  </w:style>
  <w:style w:type="paragraph" w:customStyle="1" w:styleId="2494">
    <w:name w:val="样式 报告书表格 + 小五 底端: (单实线 自动设置  0.75 磅 行宽)"/>
    <w:basedOn w:val="1"/>
    <w:autoRedefine/>
    <w:qFormat/>
    <w:uiPriority w:val="0"/>
    <w:pPr>
      <w:adjustRightInd w:val="0"/>
      <w:spacing w:line="400" w:lineRule="exact"/>
      <w:jc w:val="center"/>
      <w:textAlignment w:val="baseline"/>
    </w:pPr>
    <w:rPr>
      <w:rFonts w:eastAsia="仿宋_GB2312" w:cs="宋体"/>
      <w:kern w:val="0"/>
      <w:sz w:val="18"/>
      <w:szCs w:val="18"/>
    </w:rPr>
  </w:style>
  <w:style w:type="paragraph" w:customStyle="1" w:styleId="2495">
    <w:name w:val="表格文字五"/>
    <w:basedOn w:val="1"/>
    <w:autoRedefine/>
    <w:qFormat/>
    <w:uiPriority w:val="0"/>
    <w:pPr>
      <w:adjustRightInd w:val="0"/>
      <w:snapToGrid w:val="0"/>
      <w:spacing w:beforeLines="20" w:afterLines="20"/>
      <w:jc w:val="center"/>
    </w:pPr>
    <w:rPr>
      <w:rFonts w:eastAsia="仿宋_GB2312"/>
      <w:snapToGrid w:val="0"/>
      <w:szCs w:val="21"/>
    </w:rPr>
  </w:style>
  <w:style w:type="paragraph" w:customStyle="1" w:styleId="2496">
    <w:name w:val="正文-标准"/>
    <w:basedOn w:val="1"/>
    <w:autoRedefine/>
    <w:qFormat/>
    <w:uiPriority w:val="0"/>
    <w:pPr>
      <w:spacing w:line="500" w:lineRule="exact"/>
      <w:ind w:firstLine="200" w:firstLineChars="200"/>
    </w:pPr>
    <w:rPr>
      <w:sz w:val="24"/>
    </w:rPr>
  </w:style>
  <w:style w:type="paragraph" w:customStyle="1" w:styleId="2497">
    <w:name w:val="表格结尾"/>
    <w:basedOn w:val="1"/>
    <w:autoRedefine/>
    <w:qFormat/>
    <w:uiPriority w:val="0"/>
    <w:pPr>
      <w:snapToGrid w:val="0"/>
      <w:spacing w:line="0" w:lineRule="atLeast"/>
    </w:pPr>
    <w:rPr>
      <w:kern w:val="0"/>
      <w:sz w:val="10"/>
    </w:rPr>
  </w:style>
  <w:style w:type="paragraph" w:customStyle="1" w:styleId="2498">
    <w:name w:val="样式 标题 4 + 段前: 7.8 磅"/>
    <w:basedOn w:val="6"/>
    <w:autoRedefine/>
    <w:qFormat/>
    <w:uiPriority w:val="0"/>
  </w:style>
  <w:style w:type="paragraph" w:customStyle="1" w:styleId="2499">
    <w:name w:val="日期11"/>
    <w:basedOn w:val="1"/>
    <w:next w:val="1"/>
    <w:autoRedefine/>
    <w:qFormat/>
    <w:uiPriority w:val="99"/>
    <w:rPr>
      <w:rFonts w:eastAsia="仿宋_GB2312"/>
      <w:sz w:val="30"/>
      <w:szCs w:val="20"/>
    </w:rPr>
  </w:style>
  <w:style w:type="paragraph" w:customStyle="1" w:styleId="2500">
    <w:name w:val="样式 标题 3 + (西文)粗体"/>
    <w:basedOn w:val="5"/>
    <w:autoRedefine/>
    <w:qFormat/>
    <w:uiPriority w:val="0"/>
    <w:pPr>
      <w:ind w:left="720" w:hanging="432"/>
    </w:pPr>
    <w:rPr>
      <w:kern w:val="0"/>
      <w:lang w:val="en-US"/>
    </w:rPr>
  </w:style>
  <w:style w:type="paragraph" w:customStyle="1" w:styleId="2501">
    <w:name w:val="页眉 Char Char"/>
    <w:basedOn w:val="1"/>
    <w:autoRedefine/>
    <w:qFormat/>
    <w:uiPriority w:val="0"/>
    <w:pPr>
      <w:tabs>
        <w:tab w:val="left" w:pos="4149"/>
        <w:tab w:val="left" w:pos="8016"/>
      </w:tabs>
      <w:spacing w:line="351" w:lineRule="atLeast"/>
      <w:ind w:firstLine="419"/>
      <w:jc w:val="center"/>
    </w:pPr>
    <w:rPr>
      <w:rFonts w:hint="eastAsia"/>
      <w:sz w:val="18"/>
      <w:szCs w:val="20"/>
    </w:rPr>
  </w:style>
  <w:style w:type="paragraph" w:customStyle="1" w:styleId="2502">
    <w:name w:val="tian"/>
    <w:basedOn w:val="1"/>
    <w:autoRedefine/>
    <w:qFormat/>
    <w:uiPriority w:val="0"/>
    <w:rPr>
      <w:sz w:val="24"/>
      <w:szCs w:val="20"/>
    </w:rPr>
  </w:style>
  <w:style w:type="paragraph" w:customStyle="1" w:styleId="2503">
    <w:name w:val="日期 Char Char"/>
    <w:basedOn w:val="1"/>
    <w:next w:val="1"/>
    <w:autoRedefine/>
    <w:qFormat/>
    <w:uiPriority w:val="0"/>
    <w:pPr>
      <w:spacing w:line="351" w:lineRule="atLeast"/>
      <w:ind w:firstLine="419"/>
    </w:pPr>
    <w:rPr>
      <w:rFonts w:hint="eastAsia" w:eastAsia="仿宋_GB2312"/>
      <w:sz w:val="31"/>
      <w:szCs w:val="20"/>
    </w:rPr>
  </w:style>
  <w:style w:type="paragraph" w:customStyle="1" w:styleId="2504">
    <w:name w:val="正文表头"/>
    <w:basedOn w:val="1"/>
    <w:next w:val="1724"/>
    <w:autoRedefine/>
    <w:qFormat/>
    <w:uiPriority w:val="0"/>
    <w:pPr>
      <w:keepNext/>
      <w:tabs>
        <w:tab w:val="center" w:pos="4253"/>
        <w:tab w:val="right" w:pos="8505"/>
      </w:tabs>
      <w:overflowPunct w:val="0"/>
      <w:adjustRightInd w:val="0"/>
      <w:spacing w:before="120" w:line="360" w:lineRule="auto"/>
      <w:jc w:val="center"/>
      <w:textAlignment w:val="baseline"/>
    </w:pPr>
    <w:rPr>
      <w:rFonts w:eastAsia="黑体"/>
      <w:kern w:val="0"/>
      <w:sz w:val="28"/>
      <w:szCs w:val="20"/>
    </w:rPr>
  </w:style>
  <w:style w:type="paragraph" w:customStyle="1" w:styleId="2505">
    <w:name w:val="正文首行缩进 Char Char"/>
    <w:basedOn w:val="1"/>
    <w:autoRedefine/>
    <w:qFormat/>
    <w:uiPriority w:val="0"/>
    <w:pPr>
      <w:spacing w:line="606" w:lineRule="atLeast"/>
      <w:ind w:firstLine="538"/>
    </w:pPr>
    <w:rPr>
      <w:rFonts w:hint="eastAsia"/>
      <w:sz w:val="24"/>
      <w:szCs w:val="20"/>
    </w:rPr>
  </w:style>
  <w:style w:type="paragraph" w:customStyle="1" w:styleId="2506">
    <w:name w:val="目录 6 Char Char"/>
    <w:basedOn w:val="1"/>
    <w:next w:val="1"/>
    <w:autoRedefine/>
    <w:qFormat/>
    <w:uiPriority w:val="0"/>
    <w:pPr>
      <w:spacing w:line="351" w:lineRule="atLeast"/>
      <w:ind w:left="1048" w:firstLine="419"/>
      <w:jc w:val="left"/>
    </w:pPr>
    <w:rPr>
      <w:rFonts w:hint="eastAsia"/>
      <w:szCs w:val="20"/>
    </w:rPr>
  </w:style>
  <w:style w:type="paragraph" w:customStyle="1" w:styleId="2507">
    <w:name w:val="目录fuxi"/>
    <w:basedOn w:val="1"/>
    <w:autoRedefine/>
    <w:qFormat/>
    <w:uiPriority w:val="0"/>
    <w:pPr>
      <w:snapToGrid w:val="0"/>
      <w:spacing w:before="60" w:after="60"/>
      <w:jc w:val="center"/>
    </w:pPr>
    <w:rPr>
      <w:rFonts w:hint="eastAsia" w:ascii="宋体"/>
      <w:outline/>
      <w:color w:val="000000"/>
      <w:szCs w:val="20"/>
      <w14:textOutline w14:w="9525" w14:cap="flat" w14:cmpd="sng" w14:algn="ctr">
        <w14:solidFill>
          <w14:srgbClr w14:val="000000"/>
        </w14:solidFill>
        <w14:prstDash w14:val="solid"/>
        <w14:round/>
      </w14:textOutline>
      <w14:textFill>
        <w14:noFill/>
      </w14:textFill>
    </w:rPr>
  </w:style>
  <w:style w:type="paragraph" w:customStyle="1" w:styleId="2508">
    <w:name w:val="标准12"/>
    <w:basedOn w:val="1"/>
    <w:autoRedefine/>
    <w:qFormat/>
    <w:uiPriority w:val="0"/>
    <w:pPr>
      <w:adjustRightInd w:val="0"/>
      <w:spacing w:before="120" w:line="336" w:lineRule="auto"/>
      <w:jc w:val="center"/>
      <w:textAlignment w:val="baseline"/>
    </w:pPr>
    <w:rPr>
      <w:rFonts w:ascii="黑体" w:eastAsia="黑体"/>
      <w:szCs w:val="20"/>
    </w:rPr>
  </w:style>
  <w:style w:type="paragraph" w:customStyle="1" w:styleId="2509">
    <w:name w:val="gy"/>
    <w:basedOn w:val="1"/>
    <w:autoRedefine/>
    <w:qFormat/>
    <w:uiPriority w:val="0"/>
    <w:pPr>
      <w:widowControl/>
      <w:spacing w:before="100" w:beforeAutospacing="1" w:after="100" w:afterAutospacing="1" w:line="360" w:lineRule="auto"/>
      <w:ind w:left="150" w:right="150" w:firstLine="520"/>
      <w:jc w:val="left"/>
    </w:pPr>
    <w:rPr>
      <w:rFonts w:ascii="Arial Unicode MS" w:hAnsi="Arial Unicode MS" w:eastAsia="Arial Unicode MS"/>
      <w:kern w:val="0"/>
      <w:sz w:val="18"/>
      <w:szCs w:val="20"/>
    </w:rPr>
  </w:style>
  <w:style w:type="paragraph" w:customStyle="1" w:styleId="2510">
    <w:name w:val="居中"/>
    <w:basedOn w:val="1"/>
    <w:autoRedefine/>
    <w:qFormat/>
    <w:uiPriority w:val="0"/>
    <w:pPr>
      <w:spacing w:line="440" w:lineRule="exact"/>
      <w:jc w:val="center"/>
    </w:pPr>
    <w:rPr>
      <w:sz w:val="24"/>
      <w:szCs w:val="20"/>
    </w:rPr>
  </w:style>
  <w:style w:type="paragraph" w:customStyle="1" w:styleId="2511">
    <w:name w:val="Char4 Char Char Char Char Char Char Char Char Char Char Char Char Char Char Char Char Char1 Char Char Char Char Char Char1 Char Char Char Char Char Char Char Char Char Char Char Char Char Char Char Char"/>
    <w:basedOn w:val="1"/>
    <w:autoRedefine/>
    <w:qFormat/>
    <w:uiPriority w:val="0"/>
    <w:pPr>
      <w:spacing w:line="240" w:lineRule="exact"/>
      <w:ind w:firstLine="200" w:firstLineChars="200"/>
    </w:pPr>
    <w:rPr>
      <w:sz w:val="28"/>
      <w:szCs w:val="28"/>
    </w:rPr>
  </w:style>
  <w:style w:type="paragraph" w:customStyle="1" w:styleId="2512">
    <w:name w:val="样式 正文缩进 + 宋体 黑色12"/>
    <w:basedOn w:val="9"/>
    <w:autoRedefine/>
    <w:qFormat/>
    <w:uiPriority w:val="0"/>
    <w:pPr>
      <w:spacing w:line="360" w:lineRule="auto"/>
      <w:ind w:firstLine="200"/>
      <w:jc w:val="left"/>
    </w:pPr>
    <w:rPr>
      <w:rFonts w:ascii="宋体" w:hAnsi="宋体"/>
      <w:color w:val="000000"/>
      <w:kern w:val="0"/>
      <w:sz w:val="24"/>
      <w:lang w:val="en-US"/>
    </w:rPr>
  </w:style>
  <w:style w:type="paragraph" w:customStyle="1" w:styleId="2513">
    <w:name w:val="字元2"/>
    <w:basedOn w:val="1"/>
    <w:autoRedefine/>
    <w:qFormat/>
    <w:uiPriority w:val="0"/>
    <w:rPr>
      <w:sz w:val="24"/>
    </w:rPr>
  </w:style>
  <w:style w:type="paragraph" w:customStyle="1" w:styleId="2514">
    <w:name w:val="9 Char Char Char6 Char"/>
    <w:basedOn w:val="1"/>
    <w:autoRedefine/>
    <w:qFormat/>
    <w:uiPriority w:val="0"/>
    <w:pPr>
      <w:spacing w:line="240" w:lineRule="exact"/>
      <w:ind w:firstLine="200" w:firstLineChars="200"/>
    </w:pPr>
    <w:rPr>
      <w:sz w:val="28"/>
      <w:szCs w:val="28"/>
    </w:rPr>
  </w:style>
  <w:style w:type="paragraph" w:customStyle="1" w:styleId="2515">
    <w:name w:val="表格文本"/>
    <w:basedOn w:val="1"/>
    <w:next w:val="1"/>
    <w:autoRedefine/>
    <w:qFormat/>
    <w:uiPriority w:val="0"/>
    <w:pPr>
      <w:spacing w:before="60" w:after="60" w:line="312" w:lineRule="auto"/>
      <w:jc w:val="center"/>
    </w:pPr>
    <w:rPr>
      <w:rFonts w:ascii="Arial" w:hAnsi="Arial"/>
      <w:kern w:val="0"/>
    </w:rPr>
  </w:style>
  <w:style w:type="paragraph" w:customStyle="1" w:styleId="2516">
    <w:name w:val="Char102"/>
    <w:basedOn w:val="1"/>
    <w:autoRedefine/>
    <w:qFormat/>
    <w:uiPriority w:val="0"/>
    <w:pPr>
      <w:adjustRightInd w:val="0"/>
      <w:snapToGrid w:val="0"/>
      <w:spacing w:line="360" w:lineRule="auto"/>
    </w:pPr>
  </w:style>
  <w:style w:type="paragraph" w:customStyle="1" w:styleId="2517">
    <w:name w:val="表内文字小1"/>
    <w:basedOn w:val="1"/>
    <w:autoRedefine/>
    <w:qFormat/>
    <w:uiPriority w:val="0"/>
    <w:pPr>
      <w:adjustRightInd w:val="0"/>
      <w:snapToGrid w:val="0"/>
      <w:jc w:val="center"/>
    </w:pPr>
    <w:rPr>
      <w:rFonts w:ascii="宋体" w:hAnsi="Times"/>
      <w:szCs w:val="20"/>
    </w:rPr>
  </w:style>
  <w:style w:type="paragraph" w:customStyle="1" w:styleId="2518">
    <w:name w:val="黑体三号41"/>
    <w:basedOn w:val="416"/>
    <w:autoRedefine/>
    <w:qFormat/>
    <w:uiPriority w:val="0"/>
    <w:pPr>
      <w:jc w:val="center"/>
    </w:pPr>
    <w:rPr>
      <w:rFonts w:ascii="黑体" w:hAnsi="宋体" w:eastAsia="黑体" w:cs="宋体"/>
      <w:bCs/>
      <w:spacing w:val="0"/>
      <w:sz w:val="32"/>
    </w:rPr>
  </w:style>
  <w:style w:type="paragraph" w:customStyle="1" w:styleId="2519">
    <w:name w:val="表文字512"/>
    <w:basedOn w:val="1"/>
    <w:autoRedefine/>
    <w:qFormat/>
    <w:uiPriority w:val="0"/>
    <w:pPr>
      <w:adjustRightInd w:val="0"/>
      <w:jc w:val="left"/>
      <w:textAlignment w:val="baseline"/>
    </w:pPr>
    <w:rPr>
      <w:rFonts w:ascii="宋体"/>
      <w:kern w:val="0"/>
      <w:szCs w:val="20"/>
    </w:rPr>
  </w:style>
  <w:style w:type="paragraph" w:customStyle="1" w:styleId="2520">
    <w:name w:val="小五"/>
    <w:autoRedefine/>
    <w:qFormat/>
    <w:uiPriority w:val="0"/>
    <w:pPr>
      <w:autoSpaceDE w:val="0"/>
      <w:autoSpaceDN w:val="0"/>
      <w:adjustRightInd w:val="0"/>
      <w:snapToGrid w:val="0"/>
      <w:spacing w:line="360" w:lineRule="auto"/>
      <w:jc w:val="both"/>
    </w:pPr>
    <w:rPr>
      <w:rFonts w:ascii="Times New Roman" w:hAnsi="Times New Roman" w:eastAsia="仿宋_GB2312" w:cs="Times New Roman"/>
      <w:sz w:val="21"/>
      <w:szCs w:val="21"/>
      <w:lang w:val="en-US" w:eastAsia="zh-CN" w:bidi="ar-SA"/>
    </w:rPr>
  </w:style>
  <w:style w:type="paragraph" w:customStyle="1" w:styleId="2521">
    <w:name w:val="正文格式＝4"/>
    <w:basedOn w:val="416"/>
    <w:next w:val="416"/>
    <w:autoRedefine/>
    <w:qFormat/>
    <w:uiPriority w:val="0"/>
    <w:rPr>
      <w:rFonts w:ascii="宋体" w:hAnsi="宋体"/>
      <w:b w:val="0"/>
      <w:spacing w:val="0"/>
      <w:sz w:val="24"/>
      <w:szCs w:val="24"/>
    </w:rPr>
  </w:style>
  <w:style w:type="paragraph" w:customStyle="1" w:styleId="2522">
    <w:name w:val="xl6312"/>
    <w:basedOn w:val="1"/>
    <w:autoRedefine/>
    <w:qFormat/>
    <w:uiPriority w:val="0"/>
    <w:pPr>
      <w:widowControl/>
      <w:spacing w:before="100" w:beforeAutospacing="1" w:after="100" w:afterAutospacing="1"/>
      <w:jc w:val="center"/>
      <w:textAlignment w:val="center"/>
    </w:pPr>
    <w:rPr>
      <w:rFonts w:hint="eastAsia" w:ascii="黑体" w:hAnsi="宋体" w:eastAsia="黑体"/>
      <w:kern w:val="0"/>
      <w:sz w:val="24"/>
    </w:rPr>
  </w:style>
  <w:style w:type="paragraph" w:customStyle="1" w:styleId="2523">
    <w:name w:val="表内文字小213"/>
    <w:basedOn w:val="1"/>
    <w:autoRedefine/>
    <w:qFormat/>
    <w:uiPriority w:val="0"/>
    <w:pPr>
      <w:adjustRightInd w:val="0"/>
      <w:snapToGrid w:val="0"/>
      <w:jc w:val="center"/>
      <w:textAlignment w:val="baseline"/>
    </w:pPr>
    <w:rPr>
      <w:rFonts w:ascii="宋体" w:hAnsi="Times"/>
      <w:bCs/>
      <w:color w:val="000000"/>
      <w:szCs w:val="20"/>
    </w:rPr>
  </w:style>
  <w:style w:type="paragraph" w:customStyle="1" w:styleId="2524">
    <w:name w:val="Char Char Char1 Char Char Char Char Char Char Char Char Char Char Char Char Char Char Char1 Char Char Char Char Char Char Char Char Char Char Char Char"/>
    <w:basedOn w:val="1"/>
    <w:autoRedefine/>
    <w:qFormat/>
    <w:uiPriority w:val="0"/>
    <w:rPr>
      <w:szCs w:val="21"/>
    </w:rPr>
  </w:style>
  <w:style w:type="paragraph" w:customStyle="1" w:styleId="2525">
    <w:name w:val="日期41"/>
    <w:basedOn w:val="1"/>
    <w:next w:val="1"/>
    <w:autoRedefine/>
    <w:qFormat/>
    <w:uiPriority w:val="39"/>
    <w:rPr>
      <w:rFonts w:eastAsia="仿宋_GB2312"/>
      <w:sz w:val="30"/>
      <w:szCs w:val="20"/>
    </w:rPr>
  </w:style>
  <w:style w:type="paragraph" w:customStyle="1" w:styleId="2526">
    <w:name w:val="9 Char Char Char1"/>
    <w:basedOn w:val="1"/>
    <w:autoRedefine/>
    <w:qFormat/>
    <w:uiPriority w:val="0"/>
    <w:pPr>
      <w:spacing w:line="240" w:lineRule="exact"/>
      <w:ind w:firstLine="200" w:firstLineChars="200"/>
    </w:pPr>
    <w:rPr>
      <w:sz w:val="28"/>
      <w:szCs w:val="28"/>
    </w:rPr>
  </w:style>
  <w:style w:type="paragraph" w:customStyle="1" w:styleId="2527">
    <w:name w:val="燕山正文12"/>
    <w:basedOn w:val="1"/>
    <w:autoRedefine/>
    <w:qFormat/>
    <w:uiPriority w:val="0"/>
    <w:pPr>
      <w:tabs>
        <w:tab w:val="left" w:pos="4680"/>
      </w:tabs>
      <w:adjustRightInd w:val="0"/>
      <w:snapToGrid w:val="0"/>
      <w:spacing w:line="480" w:lineRule="exact"/>
    </w:pPr>
    <w:rPr>
      <w:rFonts w:ascii="宋体" w:cs="宋体"/>
      <w:sz w:val="24"/>
    </w:rPr>
  </w:style>
  <w:style w:type="paragraph" w:customStyle="1" w:styleId="2528">
    <w:name w:val="图题注12"/>
    <w:basedOn w:val="22"/>
    <w:autoRedefine/>
    <w:qFormat/>
    <w:uiPriority w:val="0"/>
    <w:pPr>
      <w:widowControl w:val="0"/>
      <w:spacing w:after="0" w:line="240" w:lineRule="auto"/>
      <w:ind w:left="0" w:right="0" w:firstLine="0"/>
      <w:jc w:val="center"/>
    </w:pPr>
    <w:rPr>
      <w:rFonts w:ascii="黑体" w:hAnsi="Arial" w:cs="宋体"/>
      <w:b/>
      <w:bCs/>
      <w:color w:val="auto"/>
      <w:sz w:val="24"/>
      <w:szCs w:val="24"/>
    </w:rPr>
  </w:style>
  <w:style w:type="paragraph" w:customStyle="1" w:styleId="2529">
    <w:name w:val="zheng"/>
    <w:basedOn w:val="1"/>
    <w:autoRedefine/>
    <w:qFormat/>
    <w:uiPriority w:val="0"/>
    <w:pPr>
      <w:spacing w:line="440" w:lineRule="exact"/>
      <w:ind w:firstLine="480" w:firstLineChars="200"/>
    </w:pPr>
    <w:rPr>
      <w:sz w:val="24"/>
    </w:rPr>
  </w:style>
  <w:style w:type="paragraph" w:customStyle="1" w:styleId="2530">
    <w:name w:val="表格内字体23"/>
    <w:basedOn w:val="416"/>
    <w:next w:val="416"/>
    <w:autoRedefine/>
    <w:qFormat/>
    <w:uiPriority w:val="0"/>
    <w:pPr>
      <w:spacing w:line="240" w:lineRule="auto"/>
      <w:ind w:firstLine="0"/>
      <w:jc w:val="center"/>
    </w:pPr>
    <w:rPr>
      <w:rFonts w:ascii="宋体" w:hAnsi="宋体"/>
      <w:b w:val="0"/>
      <w:spacing w:val="0"/>
      <w:szCs w:val="24"/>
    </w:rPr>
  </w:style>
  <w:style w:type="paragraph" w:customStyle="1" w:styleId="2531">
    <w:name w:val="a3"/>
    <w:basedOn w:val="1"/>
    <w:autoRedefine/>
    <w:qFormat/>
    <w:uiPriority w:val="0"/>
    <w:pPr>
      <w:widowControl/>
      <w:spacing w:before="100" w:beforeAutospacing="1" w:after="100" w:afterAutospacing="1"/>
      <w:jc w:val="left"/>
    </w:pPr>
    <w:rPr>
      <w:rFonts w:ascii="宋体" w:hAnsi="宋体"/>
      <w:color w:val="000000"/>
      <w:kern w:val="0"/>
      <w:sz w:val="24"/>
    </w:rPr>
  </w:style>
  <w:style w:type="paragraph" w:customStyle="1" w:styleId="2532">
    <w:name w:val="正文图"/>
    <w:basedOn w:val="1"/>
    <w:autoRedefine/>
    <w:qFormat/>
    <w:uiPriority w:val="0"/>
    <w:pPr>
      <w:adjustRightInd w:val="0"/>
      <w:snapToGrid w:val="0"/>
      <w:jc w:val="center"/>
      <w:textAlignment w:val="baseline"/>
    </w:pPr>
    <w:rPr>
      <w:rFonts w:ascii="宋体"/>
      <w:kern w:val="0"/>
      <w:sz w:val="24"/>
      <w:szCs w:val="20"/>
    </w:rPr>
  </w:style>
  <w:style w:type="paragraph" w:customStyle="1" w:styleId="2533">
    <w:name w:val="默认段落字体 Para Char Char Char Char21"/>
    <w:basedOn w:val="1"/>
    <w:autoRedefine/>
    <w:qFormat/>
    <w:uiPriority w:val="0"/>
  </w:style>
  <w:style w:type="paragraph" w:customStyle="1" w:styleId="2534">
    <w:name w:val="样式 表格内字体1 +"/>
    <w:basedOn w:val="2535"/>
    <w:next w:val="415"/>
    <w:autoRedefine/>
    <w:qFormat/>
    <w:uiPriority w:val="0"/>
    <w:rPr>
      <w:rFonts w:hAnsi="Times New Roman" w:cs="宋体"/>
      <w:szCs w:val="20"/>
    </w:rPr>
  </w:style>
  <w:style w:type="paragraph" w:customStyle="1" w:styleId="2535">
    <w:name w:val="表格内字体1"/>
    <w:basedOn w:val="416"/>
    <w:next w:val="416"/>
    <w:autoRedefine/>
    <w:qFormat/>
    <w:uiPriority w:val="0"/>
    <w:pPr>
      <w:spacing w:line="240" w:lineRule="auto"/>
      <w:ind w:firstLine="0"/>
      <w:jc w:val="center"/>
    </w:pPr>
    <w:rPr>
      <w:rFonts w:ascii="宋体" w:hAnsi="宋体"/>
      <w:b w:val="0"/>
      <w:spacing w:val="0"/>
      <w:szCs w:val="24"/>
    </w:rPr>
  </w:style>
  <w:style w:type="paragraph" w:customStyle="1" w:styleId="2536">
    <w:name w:val="Char1 Char Char Char Char Char Char Char Char"/>
    <w:basedOn w:val="1"/>
    <w:autoRedefine/>
    <w:qFormat/>
    <w:uiPriority w:val="0"/>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paragraph" w:customStyle="1" w:styleId="2537">
    <w:name w:val="大纲封面"/>
    <w:basedOn w:val="1"/>
    <w:autoRedefine/>
    <w:qFormat/>
    <w:uiPriority w:val="0"/>
    <w:pPr>
      <w:spacing w:line="360" w:lineRule="auto"/>
      <w:jc w:val="center"/>
    </w:pPr>
    <w:rPr>
      <w:rFonts w:ascii="宋体" w:eastAsia="楷体_GB2312"/>
      <w:b/>
      <w:spacing w:val="100"/>
      <w:sz w:val="72"/>
    </w:rPr>
  </w:style>
  <w:style w:type="paragraph" w:customStyle="1" w:styleId="2538">
    <w:name w:val="Char Char6 Char Char Char Char Char Char Char Char Char Char Char Char Char Char Char Char Char Char Char Char"/>
    <w:basedOn w:val="1"/>
    <w:autoRedefine/>
    <w:qFormat/>
    <w:uiPriority w:val="0"/>
    <w:rPr>
      <w:szCs w:val="21"/>
    </w:rPr>
  </w:style>
  <w:style w:type="paragraph" w:customStyle="1" w:styleId="2539">
    <w:name w:val="黑体三号21"/>
    <w:basedOn w:val="416"/>
    <w:autoRedefine/>
    <w:qFormat/>
    <w:uiPriority w:val="0"/>
    <w:pPr>
      <w:jc w:val="center"/>
    </w:pPr>
    <w:rPr>
      <w:rFonts w:ascii="黑体" w:hAnsi="宋体" w:eastAsia="黑体" w:cs="宋体"/>
      <w:bCs/>
      <w:spacing w:val="0"/>
      <w:sz w:val="32"/>
    </w:rPr>
  </w:style>
  <w:style w:type="paragraph" w:customStyle="1" w:styleId="2540">
    <w:name w:val="正文格式912"/>
    <w:basedOn w:val="1"/>
    <w:autoRedefine/>
    <w:qFormat/>
    <w:uiPriority w:val="0"/>
    <w:pPr>
      <w:spacing w:line="360" w:lineRule="auto"/>
      <w:ind w:firstLine="482"/>
    </w:pPr>
    <w:rPr>
      <w:rFonts w:ascii="宋体" w:hAnsi="宋体"/>
      <w:sz w:val="24"/>
    </w:rPr>
  </w:style>
  <w:style w:type="paragraph" w:customStyle="1" w:styleId="2541">
    <w:name w:val="正文格式＝612"/>
    <w:basedOn w:val="416"/>
    <w:next w:val="416"/>
    <w:autoRedefine/>
    <w:qFormat/>
    <w:uiPriority w:val="0"/>
    <w:rPr>
      <w:rFonts w:ascii="宋体" w:hAnsi="宋体"/>
      <w:b w:val="0"/>
      <w:spacing w:val="0"/>
      <w:sz w:val="24"/>
      <w:szCs w:val="24"/>
    </w:rPr>
  </w:style>
  <w:style w:type="paragraph" w:customStyle="1" w:styleId="2542">
    <w:name w:val="封面单位"/>
    <w:basedOn w:val="1"/>
    <w:autoRedefine/>
    <w:qFormat/>
    <w:uiPriority w:val="0"/>
    <w:pPr>
      <w:tabs>
        <w:tab w:val="right" w:leader="middleDot" w:pos="8222"/>
      </w:tabs>
      <w:spacing w:line="360" w:lineRule="auto"/>
      <w:jc w:val="center"/>
    </w:pPr>
    <w:rPr>
      <w:rFonts w:ascii="楷体_GB2312" w:eastAsia="楷体_GB2312"/>
      <w:b/>
      <w:sz w:val="36"/>
    </w:rPr>
  </w:style>
  <w:style w:type="paragraph" w:customStyle="1" w:styleId="2543">
    <w:name w:val="谏壁标题4(chen)"/>
    <w:basedOn w:val="1"/>
    <w:autoRedefine/>
    <w:qFormat/>
    <w:uiPriority w:val="0"/>
    <w:pPr>
      <w:snapToGrid w:val="0"/>
      <w:spacing w:beforeLines="50" w:line="360" w:lineRule="auto"/>
      <w:outlineLvl w:val="3"/>
    </w:pPr>
    <w:rPr>
      <w:rFonts w:eastAsia="楷体_GB2312"/>
      <w:sz w:val="28"/>
    </w:rPr>
  </w:style>
  <w:style w:type="paragraph" w:customStyle="1" w:styleId="2544">
    <w:name w:val="Char221"/>
    <w:basedOn w:val="1"/>
    <w:autoRedefine/>
    <w:qFormat/>
    <w:uiPriority w:val="0"/>
    <w:pPr>
      <w:adjustRightInd w:val="0"/>
      <w:snapToGrid w:val="0"/>
      <w:spacing w:beforeLines="50" w:line="360" w:lineRule="auto"/>
    </w:pPr>
    <w:rPr>
      <w:rFonts w:ascii="黑体" w:eastAsia="黑体"/>
      <w:sz w:val="32"/>
      <w:szCs w:val="32"/>
    </w:rPr>
  </w:style>
  <w:style w:type="paragraph" w:customStyle="1" w:styleId="2545">
    <w:name w:val="9 Char"/>
    <w:basedOn w:val="1"/>
    <w:autoRedefine/>
    <w:qFormat/>
    <w:uiPriority w:val="0"/>
    <w:pPr>
      <w:spacing w:line="240" w:lineRule="exact"/>
      <w:ind w:firstLine="200" w:firstLineChars="200"/>
    </w:pPr>
    <w:rPr>
      <w:sz w:val="28"/>
      <w:szCs w:val="28"/>
    </w:rPr>
  </w:style>
  <w:style w:type="paragraph" w:customStyle="1" w:styleId="2546">
    <w:name w:val="黑体三号11"/>
    <w:basedOn w:val="416"/>
    <w:autoRedefine/>
    <w:qFormat/>
    <w:uiPriority w:val="0"/>
    <w:pPr>
      <w:jc w:val="center"/>
    </w:pPr>
    <w:rPr>
      <w:rFonts w:ascii="黑体" w:hAnsi="宋体" w:eastAsia="黑体" w:cs="宋体"/>
      <w:bCs/>
      <w:spacing w:val="0"/>
      <w:sz w:val="32"/>
    </w:rPr>
  </w:style>
  <w:style w:type="paragraph" w:customStyle="1" w:styleId="2547">
    <w:name w:val="表3"/>
    <w:basedOn w:val="1"/>
    <w:autoRedefine/>
    <w:qFormat/>
    <w:uiPriority w:val="0"/>
    <w:pPr>
      <w:adjustRightInd w:val="0"/>
      <w:snapToGrid w:val="0"/>
      <w:jc w:val="center"/>
    </w:pPr>
    <w:rPr>
      <w:rFonts w:eastAsia="仿宋_GB2312"/>
      <w:sz w:val="24"/>
    </w:rPr>
  </w:style>
  <w:style w:type="paragraph" w:customStyle="1" w:styleId="2548">
    <w:name w:val="Char3 Char Char"/>
    <w:basedOn w:val="1"/>
    <w:autoRedefine/>
    <w:qFormat/>
    <w:uiPriority w:val="0"/>
    <w:pPr>
      <w:spacing w:line="360" w:lineRule="auto"/>
      <w:ind w:firstLine="200" w:firstLineChars="200"/>
    </w:pPr>
    <w:rPr>
      <w:rFonts w:ascii="宋体" w:hAnsi="宋体" w:cs="宋体"/>
      <w:sz w:val="24"/>
    </w:rPr>
  </w:style>
  <w:style w:type="paragraph" w:customStyle="1" w:styleId="2549">
    <w:name w:val="我的样式（正文） Char"/>
    <w:basedOn w:val="1"/>
    <w:autoRedefine/>
    <w:qFormat/>
    <w:uiPriority w:val="0"/>
    <w:pPr>
      <w:spacing w:line="440" w:lineRule="exact"/>
    </w:pPr>
    <w:rPr>
      <w:rFonts w:ascii="宋体" w:hAnsi="华文楷体"/>
      <w:sz w:val="28"/>
    </w:rPr>
  </w:style>
  <w:style w:type="paragraph" w:customStyle="1" w:styleId="2550">
    <w:name w:val="表格内字体31"/>
    <w:basedOn w:val="416"/>
    <w:next w:val="416"/>
    <w:autoRedefine/>
    <w:qFormat/>
    <w:uiPriority w:val="0"/>
    <w:pPr>
      <w:spacing w:line="240" w:lineRule="auto"/>
      <w:ind w:firstLine="0"/>
      <w:jc w:val="center"/>
    </w:pPr>
    <w:rPr>
      <w:rFonts w:ascii="宋体" w:hAnsi="宋体"/>
      <w:b w:val="0"/>
      <w:spacing w:val="0"/>
      <w:szCs w:val="24"/>
    </w:rPr>
  </w:style>
  <w:style w:type="paragraph" w:customStyle="1" w:styleId="2551">
    <w:name w:val="文档正文"/>
    <w:basedOn w:val="1"/>
    <w:autoRedefine/>
    <w:qFormat/>
    <w:uiPriority w:val="0"/>
    <w:pPr>
      <w:adjustRightInd w:val="0"/>
      <w:spacing w:line="480" w:lineRule="atLeast"/>
      <w:ind w:firstLine="567"/>
      <w:textAlignment w:val="baseline"/>
    </w:pPr>
    <w:rPr>
      <w:rFonts w:ascii="宋体"/>
      <w:kern w:val="0"/>
      <w:sz w:val="24"/>
      <w:szCs w:val="20"/>
    </w:rPr>
  </w:style>
  <w:style w:type="paragraph" w:customStyle="1" w:styleId="2552">
    <w:name w:val="正文缩1"/>
    <w:basedOn w:val="1"/>
    <w:autoRedefine/>
    <w:qFormat/>
    <w:uiPriority w:val="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2553">
    <w:name w:val="样式 文本123 + 段前: 0.2 行"/>
    <w:basedOn w:val="2554"/>
    <w:autoRedefine/>
    <w:qFormat/>
    <w:uiPriority w:val="0"/>
    <w:pPr>
      <w:tabs>
        <w:tab w:val="left" w:pos="958"/>
      </w:tabs>
      <w:adjustRightInd w:val="0"/>
      <w:snapToGrid w:val="0"/>
      <w:spacing w:beforeLines="20" w:line="480" w:lineRule="exact"/>
      <w:ind w:left="2009"/>
    </w:pPr>
    <w:rPr>
      <w:szCs w:val="24"/>
    </w:rPr>
  </w:style>
  <w:style w:type="paragraph" w:customStyle="1" w:styleId="2554">
    <w:name w:val="文本123"/>
    <w:basedOn w:val="9"/>
    <w:autoRedefine/>
    <w:qFormat/>
    <w:uiPriority w:val="0"/>
    <w:pPr>
      <w:tabs>
        <w:tab w:val="left" w:pos="958"/>
      </w:tabs>
      <w:spacing w:line="460" w:lineRule="exact"/>
      <w:ind w:left="958" w:hanging="420" w:firstLineChars="0"/>
      <w:outlineLvl w:val="7"/>
    </w:pPr>
    <w:rPr>
      <w:kern w:val="0"/>
      <w:sz w:val="24"/>
      <w:szCs w:val="20"/>
      <w:lang w:val="en-US"/>
    </w:rPr>
  </w:style>
  <w:style w:type="paragraph" w:customStyle="1" w:styleId="2555">
    <w:name w:val="9 Char Char Char7"/>
    <w:basedOn w:val="1"/>
    <w:autoRedefine/>
    <w:qFormat/>
    <w:uiPriority w:val="0"/>
    <w:pPr>
      <w:spacing w:line="240" w:lineRule="exact"/>
      <w:ind w:firstLine="200" w:firstLineChars="200"/>
    </w:pPr>
    <w:rPr>
      <w:sz w:val="28"/>
      <w:szCs w:val="28"/>
    </w:rPr>
  </w:style>
  <w:style w:type="paragraph" w:customStyle="1" w:styleId="2556">
    <w:name w:val="框图-1"/>
    <w:basedOn w:val="1"/>
    <w:autoRedefine/>
    <w:qFormat/>
    <w:uiPriority w:val="0"/>
    <w:pPr>
      <w:jc w:val="center"/>
    </w:pPr>
    <w:rPr>
      <w:rFonts w:eastAsia="仿宋_GB2312" w:cs="宋体"/>
      <w:snapToGrid w:val="0"/>
      <w:kern w:val="0"/>
      <w:szCs w:val="20"/>
    </w:rPr>
  </w:style>
  <w:style w:type="paragraph" w:customStyle="1" w:styleId="2557">
    <w:name w:val="Char Char Char Char Char Char Char211"/>
    <w:basedOn w:val="1"/>
    <w:autoRedefine/>
    <w:qFormat/>
    <w:uiPriority w:val="0"/>
  </w:style>
  <w:style w:type="paragraph" w:customStyle="1" w:styleId="2558">
    <w:name w:val="Char812"/>
    <w:basedOn w:val="1"/>
    <w:autoRedefine/>
    <w:qFormat/>
    <w:uiPriority w:val="0"/>
    <w:pPr>
      <w:ind w:left="-48"/>
    </w:pPr>
  </w:style>
  <w:style w:type="paragraph" w:customStyle="1" w:styleId="2559">
    <w:name w:val="黑体三号4"/>
    <w:basedOn w:val="416"/>
    <w:autoRedefine/>
    <w:qFormat/>
    <w:uiPriority w:val="0"/>
    <w:pPr>
      <w:jc w:val="center"/>
    </w:pPr>
    <w:rPr>
      <w:rFonts w:ascii="黑体" w:hAnsi="宋体" w:eastAsia="黑体" w:cs="宋体"/>
      <w:bCs/>
      <w:spacing w:val="0"/>
      <w:sz w:val="32"/>
    </w:rPr>
  </w:style>
  <w:style w:type="paragraph" w:customStyle="1" w:styleId="2560">
    <w:name w:val="b4"/>
    <w:basedOn w:val="1"/>
    <w:next w:val="1"/>
    <w:autoRedefine/>
    <w:qFormat/>
    <w:uiPriority w:val="0"/>
    <w:pPr>
      <w:spacing w:line="440" w:lineRule="exact"/>
      <w:outlineLvl w:val="3"/>
    </w:pPr>
    <w:rPr>
      <w:b/>
      <w:sz w:val="24"/>
    </w:rPr>
  </w:style>
  <w:style w:type="paragraph" w:customStyle="1" w:styleId="2561">
    <w:name w:val="Char Char Char Char Char Char Char Char Char Char Char Char Char Char Char Char Char1 Char Char Char Char Char Char Char Char"/>
    <w:basedOn w:val="1"/>
    <w:autoRedefine/>
    <w:qFormat/>
    <w:uiPriority w:val="0"/>
    <w:rPr>
      <w:szCs w:val="21"/>
    </w:rPr>
  </w:style>
  <w:style w:type="paragraph" w:customStyle="1" w:styleId="2562">
    <w:name w:val="表 头"/>
    <w:basedOn w:val="1"/>
    <w:autoRedefine/>
    <w:qFormat/>
    <w:uiPriority w:val="0"/>
    <w:pPr>
      <w:adjustRightInd w:val="0"/>
      <w:spacing w:before="120" w:after="120" w:line="360" w:lineRule="atLeast"/>
      <w:jc w:val="center"/>
    </w:pPr>
    <w:rPr>
      <w:rFonts w:eastAsia="黑体"/>
      <w:spacing w:val="10"/>
      <w:kern w:val="0"/>
      <w:sz w:val="24"/>
      <w:szCs w:val="20"/>
    </w:rPr>
  </w:style>
  <w:style w:type="paragraph" w:customStyle="1" w:styleId="2563">
    <w:name w:val="Char Char7 Char Char1 Char Char Char1 Char Char Char Char Char Char Char Char"/>
    <w:basedOn w:val="1"/>
    <w:autoRedefine/>
    <w:qFormat/>
    <w:uiPriority w:val="0"/>
    <w:pPr>
      <w:spacing w:line="240" w:lineRule="exact"/>
      <w:ind w:firstLine="200" w:firstLineChars="200"/>
    </w:pPr>
    <w:rPr>
      <w:sz w:val="28"/>
      <w:szCs w:val="28"/>
    </w:rPr>
  </w:style>
  <w:style w:type="paragraph" w:customStyle="1" w:styleId="2564">
    <w:name w:val="Char211"/>
    <w:basedOn w:val="1"/>
    <w:autoRedefine/>
    <w:qFormat/>
    <w:uiPriority w:val="0"/>
    <w:pPr>
      <w:ind w:left="-48"/>
    </w:pPr>
  </w:style>
  <w:style w:type="paragraph" w:customStyle="1" w:styleId="2565">
    <w:name w:val="默认段落字体 Para Char Char Char Char Char1"/>
    <w:basedOn w:val="1"/>
    <w:autoRedefine/>
    <w:qFormat/>
    <w:uiPriority w:val="0"/>
  </w:style>
  <w:style w:type="paragraph" w:customStyle="1" w:styleId="2566">
    <w:name w:val="Char510"/>
    <w:basedOn w:val="1"/>
    <w:autoRedefine/>
    <w:qFormat/>
    <w:uiPriority w:val="0"/>
    <w:pPr>
      <w:adjustRightInd w:val="0"/>
      <w:snapToGrid w:val="0"/>
      <w:ind w:left="-45"/>
    </w:pPr>
  </w:style>
  <w:style w:type="paragraph" w:customStyle="1" w:styleId="2567">
    <w:name w:val="正文首行缩进 2 + Times New Roman"/>
    <w:basedOn w:val="1"/>
    <w:autoRedefine/>
    <w:qFormat/>
    <w:uiPriority w:val="0"/>
    <w:pPr>
      <w:tabs>
        <w:tab w:val="left" w:pos="0"/>
        <w:tab w:val="left" w:pos="870"/>
        <w:tab w:val="left" w:pos="3150"/>
      </w:tabs>
      <w:autoSpaceDE w:val="0"/>
      <w:autoSpaceDN w:val="0"/>
      <w:spacing w:line="360" w:lineRule="auto"/>
      <w:ind w:firstLine="480" w:firstLineChars="200"/>
    </w:pPr>
    <w:rPr>
      <w:rFonts w:hAnsi="宋体"/>
      <w:kern w:val="0"/>
      <w:sz w:val="24"/>
    </w:rPr>
  </w:style>
  <w:style w:type="paragraph" w:customStyle="1" w:styleId="2568">
    <w:name w:val="默认段落字体 Para Char Char Char Char512"/>
    <w:basedOn w:val="1"/>
    <w:autoRedefine/>
    <w:qFormat/>
    <w:uiPriority w:val="0"/>
  </w:style>
  <w:style w:type="paragraph" w:customStyle="1" w:styleId="2569">
    <w:name w:val="表内文字小11"/>
    <w:basedOn w:val="1"/>
    <w:autoRedefine/>
    <w:qFormat/>
    <w:uiPriority w:val="0"/>
    <w:pPr>
      <w:adjustRightInd w:val="0"/>
      <w:snapToGrid w:val="0"/>
    </w:pPr>
    <w:rPr>
      <w:rFonts w:ascii="宋体" w:hAnsi="Times" w:cs="宋体"/>
      <w:szCs w:val="20"/>
    </w:rPr>
  </w:style>
  <w:style w:type="paragraph" w:customStyle="1" w:styleId="2570">
    <w:name w:val="Char4 Char Char Char Char Char Char Char Char Char Char Char Char Char Char Char Char Char1 Char Char Char Char Char Char"/>
    <w:basedOn w:val="1"/>
    <w:autoRedefine/>
    <w:qFormat/>
    <w:uiPriority w:val="0"/>
    <w:pPr>
      <w:spacing w:line="240" w:lineRule="exact"/>
      <w:ind w:firstLine="200" w:firstLineChars="200"/>
    </w:pPr>
    <w:rPr>
      <w:sz w:val="28"/>
      <w:szCs w:val="28"/>
    </w:rPr>
  </w:style>
  <w:style w:type="paragraph" w:customStyle="1" w:styleId="2571">
    <w:name w:val="条目"/>
    <w:basedOn w:val="45"/>
    <w:next w:val="34"/>
    <w:autoRedefine/>
    <w:qFormat/>
    <w:uiPriority w:val="0"/>
    <w:pPr>
      <w:ind w:firstLine="567"/>
      <w:outlineLvl w:val="4"/>
    </w:pPr>
    <w:rPr>
      <w:sz w:val="24"/>
      <w:szCs w:val="20"/>
    </w:rPr>
  </w:style>
  <w:style w:type="paragraph" w:customStyle="1" w:styleId="2572">
    <w:name w:val="样式 表格内字体1 +12"/>
    <w:basedOn w:val="2535"/>
    <w:next w:val="415"/>
    <w:autoRedefine/>
    <w:qFormat/>
    <w:uiPriority w:val="0"/>
    <w:rPr>
      <w:rFonts w:hAnsi="Times New Roman" w:cs="宋体"/>
      <w:szCs w:val="20"/>
    </w:rPr>
  </w:style>
  <w:style w:type="paragraph" w:customStyle="1" w:styleId="2573">
    <w:name w:val="标题43121"/>
    <w:basedOn w:val="1"/>
    <w:autoRedefine/>
    <w:qFormat/>
    <w:uiPriority w:val="0"/>
    <w:pPr>
      <w:adjustRightInd w:val="0"/>
      <w:snapToGrid w:val="0"/>
      <w:spacing w:line="480" w:lineRule="exact"/>
      <w:jc w:val="center"/>
    </w:pPr>
    <w:rPr>
      <w:rFonts w:ascii="宋体" w:hAnsi="宋体" w:cs="宋体"/>
      <w:sz w:val="24"/>
    </w:rPr>
  </w:style>
  <w:style w:type="paragraph" w:customStyle="1" w:styleId="2574">
    <w:name w:val="Char7"/>
    <w:basedOn w:val="1"/>
    <w:autoRedefine/>
    <w:qFormat/>
    <w:uiPriority w:val="0"/>
    <w:pPr>
      <w:ind w:left="-48"/>
    </w:pPr>
  </w:style>
  <w:style w:type="paragraph" w:customStyle="1" w:styleId="2575">
    <w:name w:val="Char Char7 Char Char1"/>
    <w:basedOn w:val="1"/>
    <w:autoRedefine/>
    <w:qFormat/>
    <w:uiPriority w:val="0"/>
    <w:pPr>
      <w:spacing w:line="240" w:lineRule="exact"/>
      <w:ind w:firstLine="200" w:firstLineChars="200"/>
    </w:pPr>
    <w:rPr>
      <w:sz w:val="28"/>
      <w:szCs w:val="28"/>
    </w:rPr>
  </w:style>
  <w:style w:type="paragraph" w:customStyle="1" w:styleId="2576">
    <w:name w:val="Char Char Char Char Char Char Char19"/>
    <w:basedOn w:val="1"/>
    <w:autoRedefine/>
    <w:qFormat/>
    <w:uiPriority w:val="0"/>
  </w:style>
  <w:style w:type="paragraph" w:customStyle="1" w:styleId="2577">
    <w:name w:val="样式 标题 4 + 四号 段前: 1 行"/>
    <w:basedOn w:val="6"/>
    <w:autoRedefine/>
    <w:qFormat/>
    <w:uiPriority w:val="0"/>
  </w:style>
  <w:style w:type="paragraph" w:customStyle="1" w:styleId="2578">
    <w:name w:val="Char422"/>
    <w:basedOn w:val="1"/>
    <w:autoRedefine/>
    <w:qFormat/>
    <w:uiPriority w:val="0"/>
    <w:pPr>
      <w:ind w:left="-48"/>
    </w:pPr>
  </w:style>
  <w:style w:type="paragraph" w:customStyle="1" w:styleId="2579">
    <w:name w:val="表内532"/>
    <w:basedOn w:val="1"/>
    <w:autoRedefine/>
    <w:qFormat/>
    <w:uiPriority w:val="0"/>
    <w:pPr>
      <w:adjustRightInd w:val="0"/>
      <w:snapToGrid w:val="0"/>
      <w:spacing w:line="300" w:lineRule="auto"/>
      <w:jc w:val="left"/>
    </w:pPr>
    <w:rPr>
      <w:rFonts w:ascii="宋体"/>
      <w:szCs w:val="20"/>
    </w:rPr>
  </w:style>
  <w:style w:type="paragraph" w:customStyle="1" w:styleId="2580">
    <w:name w:val="图题5"/>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2581">
    <w:name w:val="正文文本缩进 341"/>
    <w:basedOn w:val="1"/>
    <w:autoRedefine/>
    <w:qFormat/>
    <w:uiPriority w:val="39"/>
    <w:pPr>
      <w:spacing w:after="120"/>
      <w:ind w:left="420" w:leftChars="200"/>
    </w:pPr>
    <w:rPr>
      <w:rFonts w:eastAsia="仿宋_GB2312"/>
      <w:sz w:val="16"/>
      <w:szCs w:val="16"/>
    </w:rPr>
  </w:style>
  <w:style w:type="paragraph" w:customStyle="1" w:styleId="2582">
    <w:name w:val="Char Char Char Char Char Char Char Char Char1 Char Char Char Char Char Char Char"/>
    <w:basedOn w:val="1"/>
    <w:autoRedefine/>
    <w:qFormat/>
    <w:uiPriority w:val="0"/>
    <w:rPr>
      <w:szCs w:val="21"/>
    </w:rPr>
  </w:style>
  <w:style w:type="paragraph" w:customStyle="1" w:styleId="2583">
    <w:name w:val="燕山正文112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584">
    <w:name w:val="样式 样式 首行缩进:  2 字符1 + 首行缩进:  2 字符 段前: 0.2 行"/>
    <w:basedOn w:val="1"/>
    <w:autoRedefine/>
    <w:qFormat/>
    <w:uiPriority w:val="0"/>
    <w:pPr>
      <w:spacing w:line="440" w:lineRule="exact"/>
      <w:ind w:firstLine="200" w:firstLineChars="200"/>
    </w:pPr>
    <w:rPr>
      <w:sz w:val="24"/>
      <w:szCs w:val="20"/>
    </w:rPr>
  </w:style>
  <w:style w:type="paragraph" w:customStyle="1" w:styleId="2585">
    <w:name w:val="Char Char Char Char1 Char Char Char22"/>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586">
    <w:name w:val="表X"/>
    <w:basedOn w:val="45"/>
    <w:autoRedefine/>
    <w:qFormat/>
    <w:uiPriority w:val="0"/>
    <w:pPr>
      <w:keepNext/>
      <w:tabs>
        <w:tab w:val="left" w:pos="920"/>
      </w:tabs>
      <w:adjustRightInd w:val="0"/>
      <w:spacing w:before="240"/>
      <w:ind w:left="920" w:hanging="360"/>
      <w:jc w:val="left"/>
      <w:outlineLvl w:val="8"/>
    </w:pPr>
    <w:rPr>
      <w:rFonts w:ascii="Courier New"/>
      <w:sz w:val="28"/>
      <w:szCs w:val="20"/>
    </w:rPr>
  </w:style>
  <w:style w:type="paragraph" w:customStyle="1" w:styleId="2587">
    <w:name w:val="小四表格"/>
    <w:basedOn w:val="1"/>
    <w:autoRedefine/>
    <w:qFormat/>
    <w:uiPriority w:val="0"/>
    <w:pPr>
      <w:keepNext/>
      <w:autoSpaceDE w:val="0"/>
      <w:autoSpaceDN w:val="0"/>
      <w:adjustRightInd w:val="0"/>
      <w:spacing w:line="480" w:lineRule="atLeast"/>
      <w:jc w:val="center"/>
    </w:pPr>
    <w:rPr>
      <w:color w:val="000000"/>
      <w:sz w:val="24"/>
      <w:szCs w:val="20"/>
    </w:rPr>
  </w:style>
  <w:style w:type="paragraph" w:customStyle="1" w:styleId="2588">
    <w:name w:val="图题14"/>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2589">
    <w:name w:val="样式 表标题 + 段前: 0.5 行1"/>
    <w:basedOn w:val="4"/>
    <w:autoRedefine/>
    <w:qFormat/>
    <w:uiPriority w:val="0"/>
    <w:pPr>
      <w:keepNext w:val="0"/>
      <w:keepLines w:val="0"/>
      <w:adjustRightInd w:val="0"/>
      <w:snapToGrid w:val="0"/>
      <w:spacing w:beforeLines="50" w:after="0" w:line="480" w:lineRule="exact"/>
      <w:jc w:val="center"/>
      <w:outlineLvl w:val="9"/>
    </w:pPr>
    <w:rPr>
      <w:rFonts w:ascii="Times New Roman" w:hAnsi="Times New Roman" w:eastAsia="黑体"/>
      <w:b w:val="0"/>
      <w:bCs w:val="0"/>
      <w:sz w:val="28"/>
      <w:szCs w:val="20"/>
    </w:rPr>
  </w:style>
  <w:style w:type="paragraph" w:customStyle="1" w:styleId="2590">
    <w:name w:val="样式 标题 2 + 段前: 0.5 行 段后: 0.5 行"/>
    <w:basedOn w:val="4"/>
    <w:autoRedefine/>
    <w:qFormat/>
    <w:uiPriority w:val="0"/>
  </w:style>
  <w:style w:type="paragraph" w:customStyle="1" w:styleId="2591">
    <w:name w:val="正文格式51"/>
    <w:basedOn w:val="1"/>
    <w:autoRedefine/>
    <w:qFormat/>
    <w:uiPriority w:val="0"/>
    <w:pPr>
      <w:spacing w:line="360" w:lineRule="auto"/>
      <w:ind w:firstLine="482"/>
    </w:pPr>
    <w:rPr>
      <w:rFonts w:ascii="宋体" w:hAnsi="宋体"/>
      <w:sz w:val="24"/>
    </w:rPr>
  </w:style>
  <w:style w:type="paragraph" w:customStyle="1" w:styleId="2592">
    <w:name w:val="表题211"/>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2593">
    <w:name w:val="正文格式812"/>
    <w:basedOn w:val="1"/>
    <w:autoRedefine/>
    <w:qFormat/>
    <w:uiPriority w:val="0"/>
    <w:pPr>
      <w:spacing w:line="360" w:lineRule="auto"/>
      <w:ind w:firstLine="482"/>
    </w:pPr>
    <w:rPr>
      <w:rFonts w:ascii="宋体" w:hAnsi="宋体"/>
      <w:sz w:val="24"/>
    </w:rPr>
  </w:style>
  <w:style w:type="paragraph" w:customStyle="1" w:styleId="2594">
    <w:name w:val="10"/>
    <w:basedOn w:val="1"/>
    <w:next w:val="9"/>
    <w:autoRedefine/>
    <w:qFormat/>
    <w:uiPriority w:val="0"/>
    <w:pPr>
      <w:spacing w:line="500" w:lineRule="exact"/>
      <w:ind w:firstLine="420"/>
    </w:pPr>
    <w:rPr>
      <w:rFonts w:ascii="仿宋_GB2312" w:eastAsia="仿宋_GB2312"/>
      <w:sz w:val="28"/>
      <w:szCs w:val="20"/>
    </w:rPr>
  </w:style>
  <w:style w:type="paragraph" w:customStyle="1" w:styleId="2595">
    <w:name w:val="正文211"/>
    <w:autoRedefine/>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2596">
    <w:name w:val="Char Char1 Char Char Char2 Char"/>
    <w:basedOn w:val="1"/>
    <w:autoRedefine/>
    <w:qFormat/>
    <w:uiPriority w:val="0"/>
    <w:rPr>
      <w:sz w:val="24"/>
    </w:rPr>
  </w:style>
  <w:style w:type="paragraph" w:customStyle="1" w:styleId="2597">
    <w:name w:val="表内宋5中2"/>
    <w:basedOn w:val="1"/>
    <w:autoRedefine/>
    <w:qFormat/>
    <w:uiPriority w:val="0"/>
    <w:pPr>
      <w:adjustRightInd w:val="0"/>
      <w:snapToGrid w:val="0"/>
      <w:jc w:val="center"/>
      <w:textAlignment w:val="baseline"/>
    </w:pPr>
    <w:rPr>
      <w:rFonts w:ascii="宋体" w:hAnsi="宋体"/>
      <w:kern w:val="0"/>
      <w:szCs w:val="20"/>
    </w:rPr>
  </w:style>
  <w:style w:type="paragraph" w:customStyle="1" w:styleId="2598">
    <w:name w:val="Char4 Char Char Char Char Char Char Char Char Char Char Char Char Char Char Char Char Char1 Char Char Char Char"/>
    <w:basedOn w:val="1"/>
    <w:autoRedefine/>
    <w:qFormat/>
    <w:uiPriority w:val="0"/>
    <w:pPr>
      <w:spacing w:line="240" w:lineRule="exact"/>
      <w:ind w:firstLine="200" w:firstLineChars="200"/>
    </w:pPr>
    <w:rPr>
      <w:sz w:val="28"/>
      <w:szCs w:val="28"/>
    </w:rPr>
  </w:style>
  <w:style w:type="paragraph" w:customStyle="1" w:styleId="2599">
    <w:name w:val="标题411"/>
    <w:basedOn w:val="1"/>
    <w:autoRedefine/>
    <w:qFormat/>
    <w:uiPriority w:val="0"/>
    <w:pPr>
      <w:adjustRightInd w:val="0"/>
      <w:snapToGrid w:val="0"/>
      <w:spacing w:line="300" w:lineRule="auto"/>
      <w:jc w:val="left"/>
    </w:pPr>
    <w:rPr>
      <w:rFonts w:ascii="黑体" w:hAnsi="宋体" w:eastAsia="黑体" w:cs="宋体"/>
      <w:bCs/>
      <w:sz w:val="24"/>
      <w:szCs w:val="20"/>
    </w:rPr>
  </w:style>
  <w:style w:type="paragraph" w:customStyle="1" w:styleId="2600">
    <w:name w:val="样式 样式 正文缩进正文（首行缩进两字）文本条款 + 段前: 0.4 行 + 非加粗"/>
    <w:basedOn w:val="1"/>
    <w:autoRedefine/>
    <w:qFormat/>
    <w:uiPriority w:val="0"/>
    <w:pPr>
      <w:tabs>
        <w:tab w:val="left" w:pos="3150"/>
      </w:tabs>
      <w:spacing w:beforeLines="30" w:line="288" w:lineRule="auto"/>
      <w:ind w:left="3150" w:hanging="420"/>
      <w:outlineLvl w:val="6"/>
    </w:pPr>
    <w:rPr>
      <w:sz w:val="24"/>
    </w:rPr>
  </w:style>
  <w:style w:type="paragraph" w:customStyle="1" w:styleId="2601">
    <w:name w:val="表内文字小3111"/>
    <w:basedOn w:val="1"/>
    <w:autoRedefine/>
    <w:qFormat/>
    <w:uiPriority w:val="0"/>
    <w:pPr>
      <w:adjustRightInd w:val="0"/>
      <w:snapToGrid w:val="0"/>
      <w:jc w:val="center"/>
    </w:pPr>
    <w:rPr>
      <w:rFonts w:ascii="宋体" w:hAnsi="Times" w:cs="宋体"/>
      <w:bCs/>
      <w:color w:val="003366"/>
      <w:szCs w:val="20"/>
    </w:rPr>
  </w:style>
  <w:style w:type="paragraph" w:customStyle="1" w:styleId="2602">
    <w:name w:val="样式 文本123 + 段前: 0.2 行1"/>
    <w:basedOn w:val="2554"/>
    <w:autoRedefine/>
    <w:qFormat/>
    <w:uiPriority w:val="0"/>
    <w:pPr>
      <w:tabs>
        <w:tab w:val="left" w:pos="3570"/>
        <w:tab w:val="clear" w:pos="958"/>
      </w:tabs>
      <w:snapToGrid w:val="0"/>
      <w:spacing w:beforeLines="20" w:line="480" w:lineRule="exact"/>
      <w:ind w:left="0" w:firstLine="510"/>
    </w:pPr>
  </w:style>
  <w:style w:type="paragraph" w:customStyle="1" w:styleId="2603">
    <w:name w:val="表21"/>
    <w:basedOn w:val="1"/>
    <w:autoRedefine/>
    <w:qFormat/>
    <w:uiPriority w:val="0"/>
    <w:pPr>
      <w:adjustRightInd w:val="0"/>
      <w:snapToGrid w:val="0"/>
      <w:jc w:val="center"/>
    </w:pPr>
    <w:rPr>
      <w:rFonts w:eastAsia="仿宋_GB2312"/>
      <w:sz w:val="24"/>
    </w:rPr>
  </w:style>
  <w:style w:type="paragraph" w:customStyle="1" w:styleId="2604">
    <w:name w:val="样式 正文缩进正文（首行缩进两字）文本条款 + 段前: 0.4 行"/>
    <w:basedOn w:val="9"/>
    <w:autoRedefine/>
    <w:qFormat/>
    <w:uiPriority w:val="0"/>
    <w:pPr>
      <w:spacing w:beforeLines="30" w:line="288" w:lineRule="auto"/>
      <w:ind w:firstLine="0" w:firstLineChars="0"/>
      <w:outlineLvl w:val="6"/>
    </w:pPr>
    <w:rPr>
      <w:rFonts w:eastAsia="黑体"/>
      <w:b/>
      <w:kern w:val="0"/>
      <w:sz w:val="28"/>
      <w:szCs w:val="20"/>
      <w:lang w:val="en-US"/>
    </w:rPr>
  </w:style>
  <w:style w:type="paragraph" w:customStyle="1" w:styleId="2605">
    <w:name w:val="－列表"/>
    <w:basedOn w:val="66"/>
    <w:autoRedefine/>
    <w:qFormat/>
    <w:uiPriority w:val="0"/>
    <w:pPr>
      <w:adjustRightInd w:val="0"/>
      <w:snapToGrid w:val="0"/>
      <w:spacing w:line="360" w:lineRule="atLeast"/>
      <w:ind w:left="0" w:right="0" w:rightChars="0"/>
      <w:jc w:val="both"/>
      <w:textAlignment w:val="baseline"/>
    </w:pPr>
    <w:rPr>
      <w:rFonts w:ascii="宋体" w:hAnsi="宋体" w:eastAsia="宋体"/>
      <w:snapToGrid w:val="0"/>
      <w:kern w:val="0"/>
      <w:sz w:val="22"/>
      <w:szCs w:val="22"/>
    </w:rPr>
  </w:style>
  <w:style w:type="paragraph" w:customStyle="1" w:styleId="2606">
    <w:name w:val="表内文字小122"/>
    <w:basedOn w:val="1"/>
    <w:autoRedefine/>
    <w:qFormat/>
    <w:uiPriority w:val="0"/>
    <w:pPr>
      <w:adjustRightInd w:val="0"/>
      <w:snapToGrid w:val="0"/>
      <w:jc w:val="center"/>
    </w:pPr>
    <w:rPr>
      <w:rFonts w:ascii="宋体" w:hAnsi="Times"/>
      <w:szCs w:val="20"/>
    </w:rPr>
  </w:style>
  <w:style w:type="paragraph" w:customStyle="1" w:styleId="2607">
    <w:name w:val="Char Char Char1 Char Char Char Char Char Char Char Char Char Char Char Char Char Char Char1 Char Char Char Char Char Char Char Char Char Char Char Char Char Char Char Char Char Char Char Char Char Char Char Char Char Char Char"/>
    <w:basedOn w:val="1"/>
    <w:autoRedefine/>
    <w:qFormat/>
    <w:uiPriority w:val="0"/>
    <w:pPr>
      <w:spacing w:line="240" w:lineRule="exact"/>
      <w:ind w:firstLine="200" w:firstLineChars="200"/>
    </w:pPr>
    <w:rPr>
      <w:sz w:val="28"/>
      <w:szCs w:val="28"/>
    </w:rPr>
  </w:style>
  <w:style w:type="paragraph" w:customStyle="1" w:styleId="2608">
    <w:name w:val="11 Char Char Char Char Char Char Char Char Char Char Char Char Char"/>
    <w:basedOn w:val="1"/>
    <w:autoRedefine/>
    <w:qFormat/>
    <w:uiPriority w:val="0"/>
    <w:pPr>
      <w:snapToGrid w:val="0"/>
      <w:spacing w:line="360" w:lineRule="auto"/>
      <w:ind w:firstLine="200" w:firstLineChars="200"/>
    </w:pPr>
    <w:rPr>
      <w:rFonts w:eastAsia="仿宋_GB2312"/>
      <w:sz w:val="24"/>
    </w:rPr>
  </w:style>
  <w:style w:type="paragraph" w:customStyle="1" w:styleId="2609">
    <w:name w:val="Char Char Char Char Char Char Char Char Char1 Char Char Char Char Char Char"/>
    <w:basedOn w:val="1"/>
    <w:autoRedefine/>
    <w:qFormat/>
    <w:uiPriority w:val="0"/>
    <w:rPr>
      <w:szCs w:val="21"/>
    </w:rPr>
  </w:style>
  <w:style w:type="paragraph" w:customStyle="1" w:styleId="2610">
    <w:name w:val="Char Char Char1 Char Char Char Char Char Char"/>
    <w:basedOn w:val="1"/>
    <w:autoRedefine/>
    <w:qFormat/>
    <w:uiPriority w:val="0"/>
    <w:rPr>
      <w:szCs w:val="21"/>
    </w:rPr>
  </w:style>
  <w:style w:type="paragraph" w:customStyle="1" w:styleId="2611">
    <w:name w:val="表题131"/>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2612">
    <w:name w:val="表内宋5中11"/>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2613">
    <w:name w:val="Char Char Char Char Char Char Char Char Char1 Char Char Char Char Char Char1"/>
    <w:basedOn w:val="1"/>
    <w:autoRedefine/>
    <w:qFormat/>
    <w:uiPriority w:val="0"/>
    <w:rPr>
      <w:szCs w:val="21"/>
    </w:rPr>
  </w:style>
  <w:style w:type="paragraph" w:customStyle="1" w:styleId="2614">
    <w:name w:val="首行缩进:  0.99 厘米 + 首行缩进:  2 字符4"/>
    <w:basedOn w:val="1"/>
    <w:autoRedefine/>
    <w:qFormat/>
    <w:uiPriority w:val="0"/>
    <w:pPr>
      <w:widowControl/>
      <w:topLinePunct/>
      <w:spacing w:line="480" w:lineRule="exact"/>
      <w:ind w:firstLine="420" w:firstLineChars="200"/>
      <w:jc w:val="center"/>
    </w:pPr>
    <w:rPr>
      <w:rFonts w:ascii="宋体" w:cs="宋体"/>
      <w:snapToGrid w:val="0"/>
      <w:color w:val="FF0000"/>
      <w:kern w:val="0"/>
      <w:szCs w:val="21"/>
    </w:rPr>
  </w:style>
  <w:style w:type="paragraph" w:customStyle="1" w:styleId="2615">
    <w:name w:val="表内文字小23"/>
    <w:basedOn w:val="1"/>
    <w:autoRedefine/>
    <w:qFormat/>
    <w:uiPriority w:val="0"/>
    <w:pPr>
      <w:adjustRightInd w:val="0"/>
      <w:snapToGrid w:val="0"/>
      <w:jc w:val="center"/>
    </w:pPr>
    <w:rPr>
      <w:rFonts w:ascii="宋体" w:hAnsi="Times"/>
      <w:bCs/>
      <w:color w:val="000000"/>
      <w:szCs w:val="20"/>
    </w:rPr>
  </w:style>
  <w:style w:type="paragraph" w:customStyle="1" w:styleId="2616">
    <w:name w:val="表题1411"/>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2617">
    <w:name w:val="表内小5中"/>
    <w:basedOn w:val="1"/>
    <w:autoRedefine/>
    <w:qFormat/>
    <w:uiPriority w:val="0"/>
    <w:pPr>
      <w:adjustRightInd w:val="0"/>
      <w:snapToGrid w:val="0"/>
      <w:jc w:val="center"/>
    </w:pPr>
    <w:rPr>
      <w:rFonts w:ascii="宋体" w:hAnsi="宋体"/>
      <w:sz w:val="18"/>
      <w:szCs w:val="20"/>
    </w:rPr>
  </w:style>
  <w:style w:type="paragraph" w:customStyle="1" w:styleId="2618">
    <w:name w:val="表题123"/>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2619">
    <w:name w:val="Char Char Char1 Char Char Char Char Char Char Char Char Char Char Char Char Char Char Char1 Char Char Char Char Char Char Char Char Char Char Char Char Char Char Char Char Char Char Char Char Char Char Char Char Char Char Char Char Char Char"/>
    <w:basedOn w:val="1"/>
    <w:autoRedefine/>
    <w:qFormat/>
    <w:uiPriority w:val="0"/>
    <w:pPr>
      <w:spacing w:line="240" w:lineRule="exact"/>
      <w:ind w:firstLine="200" w:firstLineChars="200"/>
    </w:pPr>
    <w:rPr>
      <w:sz w:val="28"/>
      <w:szCs w:val="28"/>
    </w:rPr>
  </w:style>
  <w:style w:type="paragraph" w:customStyle="1" w:styleId="2620">
    <w:name w:val="默认段落字体 Para Char2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621">
    <w:name w:val="默认段落字体 Para Char4"/>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622">
    <w:name w:val="正文格式53"/>
    <w:basedOn w:val="1"/>
    <w:autoRedefine/>
    <w:qFormat/>
    <w:uiPriority w:val="0"/>
    <w:pPr>
      <w:spacing w:line="360" w:lineRule="auto"/>
      <w:ind w:firstLine="482"/>
    </w:pPr>
    <w:rPr>
      <w:rFonts w:ascii="宋体" w:hAnsi="宋体"/>
      <w:sz w:val="24"/>
    </w:rPr>
  </w:style>
  <w:style w:type="paragraph" w:customStyle="1" w:styleId="2623">
    <w:name w:val="正文条目a"/>
    <w:basedOn w:val="1"/>
    <w:autoRedefine/>
    <w:qFormat/>
    <w:uiPriority w:val="0"/>
    <w:pPr>
      <w:ind w:left="400" w:leftChars="300" w:hanging="100" w:hangingChars="100"/>
    </w:pPr>
    <w:rPr>
      <w:rFonts w:ascii="宋体"/>
      <w:sz w:val="24"/>
    </w:rPr>
  </w:style>
  <w:style w:type="paragraph" w:customStyle="1" w:styleId="2624">
    <w:name w:val="表内宋5中14"/>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2625">
    <w:name w:val="Char Char Char1 Char Char Char Char Char Char Char Char Char"/>
    <w:basedOn w:val="1"/>
    <w:autoRedefine/>
    <w:qFormat/>
    <w:uiPriority w:val="0"/>
    <w:rPr>
      <w:szCs w:val="21"/>
    </w:rPr>
  </w:style>
  <w:style w:type="paragraph" w:customStyle="1" w:styleId="2626">
    <w:name w:val="Bullet"/>
    <w:basedOn w:val="1"/>
    <w:autoRedefine/>
    <w:qFormat/>
    <w:uiPriority w:val="0"/>
    <w:pPr>
      <w:widowControl/>
      <w:tabs>
        <w:tab w:val="left" w:pos="0"/>
        <w:tab w:val="left" w:pos="2040"/>
      </w:tabs>
      <w:spacing w:after="60" w:line="300" w:lineRule="atLeast"/>
    </w:pPr>
    <w:rPr>
      <w:kern w:val="0"/>
      <w:sz w:val="22"/>
    </w:rPr>
  </w:style>
  <w:style w:type="paragraph" w:customStyle="1" w:styleId="2627">
    <w:name w:val="Char61"/>
    <w:basedOn w:val="1"/>
    <w:autoRedefine/>
    <w:qFormat/>
    <w:uiPriority w:val="0"/>
    <w:pPr>
      <w:adjustRightInd w:val="0"/>
      <w:snapToGrid w:val="0"/>
      <w:spacing w:beforeLines="50" w:line="360" w:lineRule="auto"/>
    </w:pPr>
    <w:rPr>
      <w:rFonts w:ascii="黑体" w:eastAsia="黑体"/>
      <w:sz w:val="32"/>
      <w:szCs w:val="32"/>
    </w:rPr>
  </w:style>
  <w:style w:type="paragraph" w:customStyle="1" w:styleId="2628">
    <w:name w:val="表内54111"/>
    <w:basedOn w:val="1"/>
    <w:autoRedefine/>
    <w:qFormat/>
    <w:uiPriority w:val="0"/>
    <w:pPr>
      <w:adjustRightInd w:val="0"/>
      <w:snapToGrid w:val="0"/>
      <w:spacing w:line="300" w:lineRule="auto"/>
      <w:jc w:val="center"/>
    </w:pPr>
    <w:rPr>
      <w:rFonts w:ascii="宋体" w:hAnsi="宋体" w:cs="宋体"/>
      <w:szCs w:val="20"/>
    </w:rPr>
  </w:style>
  <w:style w:type="paragraph" w:customStyle="1" w:styleId="2629">
    <w:name w:val="正文修改4"/>
    <w:basedOn w:val="192"/>
    <w:autoRedefine/>
    <w:qFormat/>
    <w:uiPriority w:val="0"/>
    <w:rPr>
      <w:rFonts w:hAnsi="宋体"/>
      <w:color w:val="000000"/>
    </w:rPr>
  </w:style>
  <w:style w:type="paragraph" w:customStyle="1" w:styleId="2630">
    <w:name w:val="正文格式25"/>
    <w:basedOn w:val="1"/>
    <w:autoRedefine/>
    <w:qFormat/>
    <w:uiPriority w:val="0"/>
    <w:pPr>
      <w:spacing w:line="360" w:lineRule="auto"/>
      <w:ind w:firstLine="482"/>
    </w:pPr>
    <w:rPr>
      <w:rFonts w:ascii="宋体" w:hAnsi="宋体"/>
      <w:sz w:val="24"/>
    </w:rPr>
  </w:style>
  <w:style w:type="paragraph" w:customStyle="1" w:styleId="2631">
    <w:name w:val="Char Char Char Char Char Char Char Char Char Char Char Char Char Char Char Char Char Char Char Char Char Char Char Char Char Char Char Char Char Char Char Char Char Char Char Char Char Char Char Char Char Char Char"/>
    <w:basedOn w:val="1"/>
    <w:autoRedefine/>
    <w:qFormat/>
    <w:uiPriority w:val="0"/>
    <w:rPr>
      <w:sz w:val="24"/>
    </w:rPr>
  </w:style>
  <w:style w:type="paragraph" w:customStyle="1" w:styleId="2632">
    <w:name w:val="表内文字小2121"/>
    <w:basedOn w:val="1"/>
    <w:autoRedefine/>
    <w:qFormat/>
    <w:uiPriority w:val="0"/>
    <w:pPr>
      <w:adjustRightInd w:val="0"/>
      <w:snapToGrid w:val="0"/>
      <w:jc w:val="center"/>
    </w:pPr>
    <w:rPr>
      <w:rFonts w:ascii="宋体" w:hAnsi="Times"/>
      <w:bCs/>
      <w:color w:val="000000"/>
      <w:szCs w:val="20"/>
    </w:rPr>
  </w:style>
  <w:style w:type="paragraph" w:customStyle="1" w:styleId="2633">
    <w:name w:val="表题3131"/>
    <w:basedOn w:val="35"/>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2634">
    <w:name w:val="表内56"/>
    <w:basedOn w:val="1"/>
    <w:autoRedefine/>
    <w:qFormat/>
    <w:uiPriority w:val="0"/>
    <w:pPr>
      <w:adjustRightInd w:val="0"/>
      <w:snapToGrid w:val="0"/>
      <w:spacing w:line="300" w:lineRule="auto"/>
      <w:jc w:val="left"/>
    </w:pPr>
    <w:rPr>
      <w:rFonts w:ascii="宋体"/>
      <w:sz w:val="18"/>
      <w:szCs w:val="20"/>
    </w:rPr>
  </w:style>
  <w:style w:type="paragraph" w:customStyle="1" w:styleId="2635">
    <w:name w:val="表内5中4"/>
    <w:basedOn w:val="1"/>
    <w:autoRedefine/>
    <w:qFormat/>
    <w:uiPriority w:val="0"/>
    <w:pPr>
      <w:adjustRightInd w:val="0"/>
      <w:snapToGrid w:val="0"/>
      <w:jc w:val="center"/>
    </w:pPr>
    <w:rPr>
      <w:rFonts w:ascii="宋体"/>
      <w:bCs/>
      <w:szCs w:val="20"/>
    </w:rPr>
  </w:style>
  <w:style w:type="paragraph" w:customStyle="1" w:styleId="2636">
    <w:name w:val="Char Char Char Char Char Char Char Char Char Char Char Char Char Char Char Char Char Char Char Char Char Char Char Char Char Char Char Char Char Char Char Char Char1 Char Char Char Char Char Char1"/>
    <w:basedOn w:val="1"/>
    <w:autoRedefine/>
    <w:qFormat/>
    <w:uiPriority w:val="39"/>
    <w:rPr>
      <w:sz w:val="24"/>
    </w:rPr>
  </w:style>
  <w:style w:type="paragraph" w:customStyle="1" w:styleId="2637">
    <w:name w:val="正文格式＝"/>
    <w:basedOn w:val="416"/>
    <w:next w:val="416"/>
    <w:autoRedefine/>
    <w:qFormat/>
    <w:uiPriority w:val="0"/>
    <w:rPr>
      <w:rFonts w:ascii="宋体" w:hAnsi="宋体"/>
      <w:b w:val="0"/>
      <w:spacing w:val="0"/>
      <w:sz w:val="24"/>
      <w:szCs w:val="24"/>
    </w:rPr>
  </w:style>
  <w:style w:type="paragraph" w:customStyle="1" w:styleId="2638">
    <w:name w:val="Default1"/>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2639">
    <w:name w:val="燕山正文1142"/>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640">
    <w:name w:val="表中文字24"/>
    <w:basedOn w:val="1"/>
    <w:autoRedefine/>
    <w:qFormat/>
    <w:uiPriority w:val="0"/>
    <w:pPr>
      <w:widowControl/>
      <w:adjustRightInd w:val="0"/>
      <w:spacing w:line="240" w:lineRule="atLeast"/>
      <w:ind w:right="-42" w:rightChars="-20"/>
      <w:jc w:val="center"/>
      <w:textAlignment w:val="baseline"/>
    </w:pPr>
    <w:rPr>
      <w:rFonts w:ascii="宋体"/>
      <w:kern w:val="0"/>
      <w:szCs w:val="21"/>
    </w:rPr>
  </w:style>
  <w:style w:type="paragraph" w:customStyle="1" w:styleId="2641">
    <w:name w:val="燕山正文117"/>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642">
    <w:name w:val="正文.13"/>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643">
    <w:name w:val="三级标题"/>
    <w:basedOn w:val="84"/>
    <w:autoRedefine/>
    <w:qFormat/>
    <w:uiPriority w:val="0"/>
    <w:pPr>
      <w:widowControl w:val="0"/>
      <w:spacing w:before="260" w:after="0" w:line="460" w:lineRule="exact"/>
      <w:ind w:left="0" w:right="0" w:firstLine="0"/>
      <w:jc w:val="both"/>
      <w:outlineLvl w:val="2"/>
    </w:pPr>
    <w:rPr>
      <w:rFonts w:ascii="Times New Roman" w:hAnsi="Times New Roman" w:cs="Arial"/>
      <w:color w:val="auto"/>
      <w:sz w:val="24"/>
      <w:szCs w:val="24"/>
    </w:rPr>
  </w:style>
  <w:style w:type="paragraph" w:customStyle="1" w:styleId="2644">
    <w:name w:val="Char Char2 Char Char Char Char10"/>
    <w:basedOn w:val="1"/>
    <w:autoRedefine/>
    <w:qFormat/>
    <w:uiPriority w:val="0"/>
  </w:style>
  <w:style w:type="paragraph" w:customStyle="1" w:styleId="2645">
    <w:name w:val="表题3121"/>
    <w:basedOn w:val="35"/>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2646">
    <w:name w:val="默认段落字体 Para Char8"/>
    <w:basedOn w:val="1"/>
    <w:autoRedefine/>
    <w:qFormat/>
    <w:uiPriority w:val="0"/>
    <w:pPr>
      <w:spacing w:line="360" w:lineRule="auto"/>
      <w:ind w:firstLine="200" w:firstLineChars="200"/>
    </w:pPr>
    <w:rPr>
      <w:rFonts w:ascii="宋体" w:hAnsi="宋体" w:cs="宋体"/>
      <w:sz w:val="24"/>
    </w:rPr>
  </w:style>
  <w:style w:type="paragraph" w:customStyle="1" w:styleId="2647">
    <w:name w:val="黑体三号31"/>
    <w:basedOn w:val="416"/>
    <w:autoRedefine/>
    <w:qFormat/>
    <w:uiPriority w:val="0"/>
    <w:pPr>
      <w:jc w:val="center"/>
    </w:pPr>
    <w:rPr>
      <w:rFonts w:ascii="黑体" w:hAnsi="宋体" w:eastAsia="黑体" w:cs="宋体"/>
      <w:bCs/>
      <w:spacing w:val="0"/>
      <w:sz w:val="32"/>
    </w:rPr>
  </w:style>
  <w:style w:type="paragraph" w:customStyle="1" w:styleId="2648">
    <w:name w:val="默认段落字体 Para Char Char Char Char Char4"/>
    <w:basedOn w:val="1"/>
    <w:autoRedefine/>
    <w:qFormat/>
    <w:uiPriority w:val="0"/>
  </w:style>
  <w:style w:type="paragraph" w:customStyle="1" w:styleId="2649">
    <w:name w:val="样式 标题 2mystyle2style2 + 四号 非加粗 居中 行距: 多倍行距 1.73 字行"/>
    <w:basedOn w:val="4"/>
    <w:autoRedefine/>
    <w:qFormat/>
    <w:uiPriority w:val="0"/>
    <w:pPr>
      <w:spacing w:line="415" w:lineRule="auto"/>
      <w:jc w:val="center"/>
    </w:pPr>
    <w:rPr>
      <w:rFonts w:ascii="Arial" w:hAnsi="Arial" w:eastAsia="黑体" w:cs="Century"/>
      <w:b w:val="0"/>
      <w:bCs w:val="0"/>
      <w:sz w:val="28"/>
      <w:szCs w:val="20"/>
    </w:rPr>
  </w:style>
  <w:style w:type="paragraph" w:customStyle="1" w:styleId="2650">
    <w:name w:val="注释"/>
    <w:basedOn w:val="1"/>
    <w:autoRedefine/>
    <w:qFormat/>
    <w:uiPriority w:val="0"/>
    <w:pPr>
      <w:spacing w:before="60" w:line="360" w:lineRule="exact"/>
      <w:ind w:firstLine="200" w:firstLineChars="200"/>
    </w:pPr>
    <w:rPr>
      <w:kern w:val="0"/>
      <w:szCs w:val="21"/>
    </w:rPr>
  </w:style>
  <w:style w:type="paragraph" w:customStyle="1" w:styleId="2651">
    <w:name w:val="图题71"/>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2652">
    <w:name w:val="Char Char Char Char Char Char1 Char Char Char Char1"/>
    <w:basedOn w:val="1"/>
    <w:autoRedefine/>
    <w:qFormat/>
    <w:uiPriority w:val="39"/>
    <w:rPr>
      <w:sz w:val="24"/>
    </w:rPr>
  </w:style>
  <w:style w:type="paragraph" w:customStyle="1" w:styleId="2653">
    <w:name w:val="表中文字12"/>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2654">
    <w:name w:val="表题15"/>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2655">
    <w:name w:val="表内511"/>
    <w:basedOn w:val="1"/>
    <w:autoRedefine/>
    <w:qFormat/>
    <w:uiPriority w:val="0"/>
    <w:pPr>
      <w:adjustRightInd w:val="0"/>
      <w:snapToGrid w:val="0"/>
      <w:jc w:val="center"/>
    </w:pPr>
    <w:rPr>
      <w:rFonts w:ascii="宋体" w:hAnsi="宋体"/>
      <w:kern w:val="0"/>
      <w:sz w:val="20"/>
      <w:szCs w:val="20"/>
    </w:rPr>
  </w:style>
  <w:style w:type="paragraph" w:customStyle="1" w:styleId="2656">
    <w:name w:val="表题124"/>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2657">
    <w:name w:val="表内文字边"/>
    <w:basedOn w:val="1"/>
    <w:autoRedefine/>
    <w:qFormat/>
    <w:uiPriority w:val="0"/>
    <w:pPr>
      <w:widowControl/>
      <w:adjustRightInd w:val="0"/>
      <w:snapToGrid w:val="0"/>
      <w:spacing w:line="240" w:lineRule="atLeast"/>
      <w:ind w:left="-21" w:leftChars="-10" w:right="-42" w:rightChars="-20"/>
    </w:pPr>
    <w:rPr>
      <w:rFonts w:ascii="宋体"/>
      <w:kern w:val="0"/>
      <w:szCs w:val="21"/>
    </w:rPr>
  </w:style>
  <w:style w:type="paragraph" w:customStyle="1" w:styleId="2658">
    <w:name w:val="Char Char Char Char Char Char Char1"/>
    <w:basedOn w:val="1"/>
    <w:autoRedefine/>
    <w:qFormat/>
    <w:uiPriority w:val="0"/>
    <w:rPr>
      <w:szCs w:val="20"/>
    </w:rPr>
  </w:style>
  <w:style w:type="paragraph" w:customStyle="1" w:styleId="2659">
    <w:name w:val="xl"/>
    <w:basedOn w:val="1"/>
    <w:autoRedefine/>
    <w:qFormat/>
    <w:uiPriority w:val="0"/>
    <w:pPr>
      <w:widowControl/>
      <w:spacing w:before="100" w:beforeAutospacing="1" w:after="100" w:afterAutospacing="1"/>
      <w:jc w:val="left"/>
    </w:pPr>
    <w:rPr>
      <w:rFonts w:hint="eastAsia" w:ascii="隶书" w:hAnsi="Arial Unicode MS" w:eastAsia="隶书"/>
      <w:color w:val="008000"/>
      <w:kern w:val="0"/>
      <w:sz w:val="36"/>
      <w:szCs w:val="36"/>
    </w:rPr>
  </w:style>
  <w:style w:type="paragraph" w:customStyle="1" w:styleId="2660">
    <w:name w:val="表内宋511"/>
    <w:basedOn w:val="81"/>
    <w:autoRedefine/>
    <w:qFormat/>
    <w:uiPriority w:val="0"/>
    <w:pPr>
      <w:adjustRightInd w:val="0"/>
      <w:snapToGrid w:val="0"/>
      <w:spacing w:before="0" w:beforeAutospacing="0" w:after="0" w:afterAutospacing="0"/>
      <w:jc w:val="both"/>
    </w:pPr>
    <w:rPr>
      <w:rFonts w:cs="宋体"/>
      <w:color w:val="000000"/>
      <w:sz w:val="21"/>
      <w:szCs w:val="24"/>
      <w:lang w:val="en-US"/>
    </w:rPr>
  </w:style>
  <w:style w:type="paragraph" w:customStyle="1" w:styleId="2661">
    <w:name w:val="Char Char Char Char Char Char Char Char Char Char Char Char Char Char Char Char Char Char Char Char Char Char Char Char Char Char11"/>
    <w:basedOn w:val="1"/>
    <w:autoRedefine/>
    <w:qFormat/>
    <w:uiPriority w:val="39"/>
    <w:rPr>
      <w:sz w:val="24"/>
    </w:rPr>
  </w:style>
  <w:style w:type="paragraph" w:customStyle="1" w:styleId="2662">
    <w:name w:val="Char38"/>
    <w:basedOn w:val="1"/>
    <w:autoRedefine/>
    <w:qFormat/>
    <w:uiPriority w:val="0"/>
    <w:pPr>
      <w:ind w:left="-48"/>
    </w:pPr>
  </w:style>
  <w:style w:type="paragraph" w:customStyle="1" w:styleId="2663">
    <w:name w:val="标题412"/>
    <w:basedOn w:val="6"/>
    <w:next w:val="1"/>
    <w:autoRedefine/>
    <w:qFormat/>
    <w:uiPriority w:val="0"/>
    <w:pPr>
      <w:spacing w:before="160" w:after="170" w:line="360" w:lineRule="auto"/>
      <w:ind w:left="0" w:firstLine="0"/>
    </w:pPr>
    <w:rPr>
      <w:rFonts w:ascii="黑体"/>
      <w:sz w:val="24"/>
    </w:rPr>
  </w:style>
  <w:style w:type="paragraph" w:customStyle="1" w:styleId="2664">
    <w:name w:val="黑体三号"/>
    <w:basedOn w:val="416"/>
    <w:autoRedefine/>
    <w:qFormat/>
    <w:uiPriority w:val="0"/>
    <w:pPr>
      <w:jc w:val="center"/>
    </w:pPr>
    <w:rPr>
      <w:rFonts w:ascii="黑体" w:hAnsi="宋体" w:eastAsia="黑体" w:cs="宋体"/>
      <w:bCs/>
      <w:spacing w:val="0"/>
      <w:sz w:val="32"/>
    </w:rPr>
  </w:style>
  <w:style w:type="paragraph" w:customStyle="1" w:styleId="2665">
    <w:name w:val="表格内字体15"/>
    <w:basedOn w:val="416"/>
    <w:next w:val="416"/>
    <w:autoRedefine/>
    <w:qFormat/>
    <w:uiPriority w:val="0"/>
    <w:pPr>
      <w:spacing w:line="240" w:lineRule="auto"/>
      <w:ind w:firstLine="0"/>
      <w:jc w:val="center"/>
    </w:pPr>
    <w:rPr>
      <w:rFonts w:ascii="宋体" w:hAnsi="宋体"/>
      <w:b w:val="0"/>
      <w:spacing w:val="0"/>
      <w:szCs w:val="24"/>
    </w:rPr>
  </w:style>
  <w:style w:type="paragraph" w:customStyle="1" w:styleId="2666">
    <w:name w:val="标题正4"/>
    <w:basedOn w:val="1"/>
    <w:autoRedefine/>
    <w:qFormat/>
    <w:uiPriority w:val="0"/>
    <w:pPr>
      <w:spacing w:line="280" w:lineRule="exact"/>
      <w:jc w:val="center"/>
    </w:pPr>
    <w:rPr>
      <w:rFonts w:ascii="宋体" w:hAnsi="宋体"/>
      <w:color w:val="000000"/>
    </w:rPr>
  </w:style>
  <w:style w:type="paragraph" w:customStyle="1" w:styleId="2667">
    <w:name w:val="表题3124"/>
    <w:basedOn w:val="35"/>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2668">
    <w:name w:val="Char Char Char Char3"/>
    <w:basedOn w:val="1"/>
    <w:autoRedefine/>
    <w:qFormat/>
    <w:uiPriority w:val="0"/>
  </w:style>
  <w:style w:type="paragraph" w:customStyle="1" w:styleId="2669">
    <w:name w:val="标题4312"/>
    <w:basedOn w:val="1"/>
    <w:autoRedefine/>
    <w:qFormat/>
    <w:uiPriority w:val="0"/>
    <w:pPr>
      <w:adjustRightInd w:val="0"/>
      <w:snapToGrid w:val="0"/>
      <w:spacing w:line="480" w:lineRule="exact"/>
      <w:jc w:val="center"/>
    </w:pPr>
    <w:rPr>
      <w:rFonts w:ascii="宋体" w:hAnsi="宋体" w:cs="宋体"/>
      <w:sz w:val="24"/>
    </w:rPr>
  </w:style>
  <w:style w:type="paragraph" w:customStyle="1" w:styleId="2670">
    <w:name w:val="正文修改11"/>
    <w:basedOn w:val="192"/>
    <w:autoRedefine/>
    <w:qFormat/>
    <w:uiPriority w:val="0"/>
    <w:rPr>
      <w:rFonts w:hAnsi="宋体"/>
      <w:color w:val="000000"/>
    </w:rPr>
  </w:style>
  <w:style w:type="paragraph" w:customStyle="1" w:styleId="2671">
    <w:name w:val="表内文字小"/>
    <w:basedOn w:val="1"/>
    <w:autoRedefine/>
    <w:qFormat/>
    <w:uiPriority w:val="0"/>
    <w:pPr>
      <w:adjustRightInd w:val="0"/>
      <w:snapToGrid w:val="0"/>
      <w:jc w:val="center"/>
    </w:pPr>
    <w:rPr>
      <w:rFonts w:ascii="宋体" w:hAnsi="Times"/>
      <w:szCs w:val="20"/>
    </w:rPr>
  </w:style>
  <w:style w:type="paragraph" w:customStyle="1" w:styleId="2672">
    <w:name w:val="正文格式8"/>
    <w:basedOn w:val="1"/>
    <w:autoRedefine/>
    <w:qFormat/>
    <w:uiPriority w:val="0"/>
    <w:pPr>
      <w:spacing w:line="360" w:lineRule="auto"/>
      <w:ind w:firstLine="482"/>
    </w:pPr>
    <w:rPr>
      <w:rFonts w:ascii="宋体" w:hAnsi="宋体"/>
      <w:sz w:val="24"/>
    </w:rPr>
  </w:style>
  <w:style w:type="paragraph" w:customStyle="1" w:styleId="2673">
    <w:name w:val="Char13"/>
    <w:basedOn w:val="1"/>
    <w:autoRedefine/>
    <w:qFormat/>
    <w:uiPriority w:val="0"/>
  </w:style>
  <w:style w:type="paragraph" w:customStyle="1" w:styleId="2674">
    <w:name w:val="1 Char Char Char Char Char Char Char Char Char Char Char Char Char Char Char Char Char Char Char"/>
    <w:basedOn w:val="1"/>
    <w:autoRedefine/>
    <w:qFormat/>
    <w:uiPriority w:val="0"/>
    <w:pPr>
      <w:adjustRightInd w:val="0"/>
      <w:spacing w:line="360" w:lineRule="auto"/>
    </w:pPr>
    <w:rPr>
      <w:kern w:val="0"/>
      <w:sz w:val="24"/>
      <w:szCs w:val="20"/>
    </w:rPr>
  </w:style>
  <w:style w:type="paragraph" w:customStyle="1" w:styleId="2675">
    <w:name w:val="A正文1"/>
    <w:basedOn w:val="1"/>
    <w:autoRedefine/>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kern w:val="0"/>
      <w:sz w:val="24"/>
    </w:rPr>
  </w:style>
  <w:style w:type="paragraph" w:customStyle="1" w:styleId="2676">
    <w:name w:val="附件7"/>
    <w:basedOn w:val="3"/>
    <w:next w:val="416"/>
    <w:autoRedefine/>
    <w:qFormat/>
    <w:uiPriority w:val="0"/>
    <w:pPr>
      <w:keepLines/>
      <w:tabs>
        <w:tab w:val="left" w:pos="1566"/>
      </w:tabs>
      <w:overflowPunct/>
      <w:snapToGrid/>
      <w:spacing w:before="0" w:after="210" w:line="360" w:lineRule="auto"/>
      <w:ind w:left="0" w:firstLine="0"/>
      <w:jc w:val="left"/>
    </w:pPr>
    <w:rPr>
      <w:rFonts w:ascii="黑体" w:hAnsi="宋体"/>
      <w:b w:val="0"/>
      <w:color w:val="auto"/>
      <w:sz w:val="32"/>
      <w:szCs w:val="32"/>
    </w:rPr>
  </w:style>
  <w:style w:type="paragraph" w:customStyle="1" w:styleId="2677">
    <w:name w:val="标题43132"/>
    <w:basedOn w:val="1"/>
    <w:autoRedefine/>
    <w:qFormat/>
    <w:uiPriority w:val="0"/>
    <w:pPr>
      <w:adjustRightInd w:val="0"/>
      <w:snapToGrid w:val="0"/>
      <w:spacing w:line="480" w:lineRule="exact"/>
      <w:jc w:val="center"/>
    </w:pPr>
    <w:rPr>
      <w:rFonts w:ascii="宋体" w:hAnsi="宋体" w:cs="宋体"/>
      <w:sz w:val="24"/>
    </w:rPr>
  </w:style>
  <w:style w:type="paragraph" w:customStyle="1" w:styleId="2678">
    <w:name w:val="报告 Char"/>
    <w:basedOn w:val="1"/>
    <w:autoRedefine/>
    <w:qFormat/>
    <w:uiPriority w:val="0"/>
    <w:pPr>
      <w:adjustRightInd w:val="0"/>
      <w:spacing w:line="360" w:lineRule="auto"/>
      <w:ind w:firstLine="505"/>
      <w:textAlignment w:val="baseline"/>
    </w:pPr>
    <w:rPr>
      <w:sz w:val="24"/>
    </w:rPr>
  </w:style>
  <w:style w:type="paragraph" w:customStyle="1" w:styleId="2679">
    <w:name w:val="样式 正文缩进 + 宋体 黑色1"/>
    <w:basedOn w:val="9"/>
    <w:autoRedefine/>
    <w:qFormat/>
    <w:uiPriority w:val="0"/>
    <w:pPr>
      <w:spacing w:line="360" w:lineRule="auto"/>
      <w:ind w:firstLine="200"/>
      <w:jc w:val="left"/>
    </w:pPr>
    <w:rPr>
      <w:rFonts w:ascii="宋体" w:hAnsi="宋体"/>
      <w:color w:val="000000"/>
      <w:kern w:val="0"/>
      <w:sz w:val="24"/>
      <w:lang w:val="en-US"/>
    </w:rPr>
  </w:style>
  <w:style w:type="paragraph" w:customStyle="1" w:styleId="2680">
    <w:name w:val="Char Char Char Char Char Char Char13"/>
    <w:basedOn w:val="1"/>
    <w:autoRedefine/>
    <w:qFormat/>
    <w:uiPriority w:val="0"/>
  </w:style>
  <w:style w:type="paragraph" w:customStyle="1" w:styleId="2681">
    <w:name w:val="正文格式＝21"/>
    <w:basedOn w:val="416"/>
    <w:next w:val="416"/>
    <w:autoRedefine/>
    <w:qFormat/>
    <w:uiPriority w:val="0"/>
    <w:rPr>
      <w:rFonts w:ascii="宋体" w:hAnsi="宋体"/>
      <w:b w:val="0"/>
      <w:spacing w:val="0"/>
      <w:sz w:val="24"/>
      <w:szCs w:val="24"/>
    </w:rPr>
  </w:style>
  <w:style w:type="paragraph" w:customStyle="1" w:styleId="2682">
    <w:name w:val="Char Char Char Char Char Char Char3"/>
    <w:basedOn w:val="1"/>
    <w:autoRedefine/>
    <w:qFormat/>
    <w:uiPriority w:val="0"/>
  </w:style>
  <w:style w:type="paragraph" w:customStyle="1" w:styleId="2683">
    <w:name w:val="图题25"/>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2684">
    <w:name w:val="Char Char Char Char Char Char Char Char Char Char Char Char Char Char1"/>
    <w:basedOn w:val="1"/>
    <w:autoRedefine/>
    <w:qFormat/>
    <w:uiPriority w:val="39"/>
    <w:rPr>
      <w:sz w:val="24"/>
    </w:rPr>
  </w:style>
  <w:style w:type="paragraph" w:customStyle="1" w:styleId="2685">
    <w:name w:val="样式 正文缩进 + 宋体 黑色 首行缩进:  2 字符1"/>
    <w:basedOn w:val="9"/>
    <w:autoRedefine/>
    <w:qFormat/>
    <w:uiPriority w:val="0"/>
    <w:pPr>
      <w:spacing w:line="360" w:lineRule="auto"/>
      <w:ind w:firstLine="480"/>
      <w:jc w:val="left"/>
    </w:pPr>
    <w:rPr>
      <w:rFonts w:ascii="宋体" w:hAnsi="宋体" w:cs="宋体"/>
      <w:color w:val="FF00FF"/>
      <w:kern w:val="0"/>
      <w:sz w:val="24"/>
      <w:szCs w:val="20"/>
      <w:lang w:val="en-US"/>
    </w:rPr>
  </w:style>
  <w:style w:type="paragraph" w:customStyle="1" w:styleId="2686">
    <w:name w:val="图表题1"/>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2687">
    <w:name w:val="表题9"/>
    <w:basedOn w:val="45"/>
    <w:autoRedefine/>
    <w:qFormat/>
    <w:uiPriority w:val="0"/>
    <w:pPr>
      <w:adjustRightInd w:val="0"/>
      <w:snapToGrid w:val="0"/>
      <w:spacing w:line="300" w:lineRule="auto"/>
      <w:jc w:val="center"/>
    </w:pPr>
    <w:rPr>
      <w:rFonts w:ascii="黑体" w:eastAsia="黑体"/>
      <w:sz w:val="24"/>
      <w:szCs w:val="20"/>
    </w:rPr>
  </w:style>
  <w:style w:type="paragraph" w:customStyle="1" w:styleId="2688">
    <w:name w:val="正文格式1"/>
    <w:basedOn w:val="1"/>
    <w:autoRedefine/>
    <w:qFormat/>
    <w:uiPriority w:val="0"/>
    <w:pPr>
      <w:spacing w:line="360" w:lineRule="auto"/>
      <w:ind w:firstLine="482"/>
    </w:pPr>
    <w:rPr>
      <w:rFonts w:ascii="宋体" w:hAnsi="宋体"/>
      <w:sz w:val="24"/>
    </w:rPr>
  </w:style>
  <w:style w:type="paragraph" w:customStyle="1" w:styleId="2689">
    <w:name w:val="表内文字小221"/>
    <w:basedOn w:val="1"/>
    <w:autoRedefine/>
    <w:qFormat/>
    <w:uiPriority w:val="0"/>
    <w:pPr>
      <w:adjustRightInd w:val="0"/>
      <w:snapToGrid w:val="0"/>
      <w:jc w:val="center"/>
    </w:pPr>
    <w:rPr>
      <w:rFonts w:ascii="宋体" w:hAnsi="Times"/>
      <w:bCs/>
      <w:color w:val="000000"/>
      <w:szCs w:val="20"/>
    </w:rPr>
  </w:style>
  <w:style w:type="paragraph" w:customStyle="1" w:styleId="2690">
    <w:name w:val="正文格式34"/>
    <w:basedOn w:val="1"/>
    <w:autoRedefine/>
    <w:qFormat/>
    <w:uiPriority w:val="0"/>
    <w:pPr>
      <w:spacing w:line="360" w:lineRule="auto"/>
      <w:ind w:firstLine="482"/>
    </w:pPr>
    <w:rPr>
      <w:rFonts w:ascii="宋体" w:hAnsi="宋体"/>
      <w:sz w:val="24"/>
    </w:rPr>
  </w:style>
  <w:style w:type="paragraph" w:customStyle="1" w:styleId="2691">
    <w:name w:val="Char4 Char Char Char Char Char Char Char Char Char Char Char Char Char Char Char Char Char1 Char"/>
    <w:basedOn w:val="1"/>
    <w:autoRedefine/>
    <w:qFormat/>
    <w:uiPriority w:val="0"/>
    <w:pPr>
      <w:spacing w:line="240" w:lineRule="exact"/>
      <w:ind w:firstLine="200" w:firstLineChars="200"/>
    </w:pPr>
    <w:rPr>
      <w:sz w:val="28"/>
      <w:szCs w:val="28"/>
    </w:rPr>
  </w:style>
  <w:style w:type="paragraph" w:customStyle="1" w:styleId="2692">
    <w:name w:val="Char1 Char Char Char Char Char1 Char"/>
    <w:basedOn w:val="1"/>
    <w:autoRedefine/>
    <w:qFormat/>
    <w:uiPriority w:val="0"/>
    <w:rPr>
      <w:szCs w:val="21"/>
    </w:rPr>
  </w:style>
  <w:style w:type="paragraph" w:customStyle="1" w:styleId="2693">
    <w:name w:val="Char Char Char1 Char Char Char Char Char Char Char Char Char Char Char Char Char Char Char Char Char Char Char Char Char Char1"/>
    <w:basedOn w:val="1"/>
    <w:autoRedefine/>
    <w:qFormat/>
    <w:uiPriority w:val="39"/>
    <w:rPr>
      <w:szCs w:val="20"/>
    </w:rPr>
  </w:style>
  <w:style w:type="paragraph" w:customStyle="1" w:styleId="2694">
    <w:name w:val="Char16"/>
    <w:basedOn w:val="1"/>
    <w:autoRedefine/>
    <w:qFormat/>
    <w:uiPriority w:val="0"/>
    <w:pPr>
      <w:ind w:left="-48"/>
    </w:pPr>
  </w:style>
  <w:style w:type="paragraph" w:customStyle="1" w:styleId="2695">
    <w:name w:val="文1"/>
    <w:basedOn w:val="1"/>
    <w:autoRedefine/>
    <w:qFormat/>
    <w:uiPriority w:val="0"/>
    <w:pPr>
      <w:snapToGrid w:val="0"/>
      <w:spacing w:line="360" w:lineRule="auto"/>
      <w:ind w:firstLine="567"/>
    </w:pPr>
    <w:rPr>
      <w:rFonts w:ascii="Arial" w:hAnsi="Arial" w:eastAsia="幼圆"/>
      <w:sz w:val="24"/>
      <w:szCs w:val="20"/>
    </w:rPr>
  </w:style>
  <w:style w:type="paragraph" w:customStyle="1" w:styleId="2696">
    <w:name w:val="正文修改21"/>
    <w:basedOn w:val="192"/>
    <w:autoRedefine/>
    <w:qFormat/>
    <w:uiPriority w:val="0"/>
    <w:rPr>
      <w:rFonts w:hAnsi="宋体"/>
      <w:color w:val="000000"/>
    </w:rPr>
  </w:style>
  <w:style w:type="paragraph" w:customStyle="1" w:styleId="2697">
    <w:name w:val="Char Char Char Char Char Char Char Char Char Char Char Char Char Char Char Char Char Char Char Char Char Char Char Char Char Char Char Char Char Char1"/>
    <w:basedOn w:val="1"/>
    <w:autoRedefine/>
    <w:qFormat/>
    <w:uiPriority w:val="39"/>
    <w:rPr>
      <w:sz w:val="24"/>
    </w:rPr>
  </w:style>
  <w:style w:type="paragraph" w:customStyle="1" w:styleId="2698">
    <w:name w:val="Char1 Char Char Char Char Char Char Char Char Char1 Char Char Char Char Char Char"/>
    <w:basedOn w:val="1"/>
    <w:autoRedefine/>
    <w:qFormat/>
    <w:uiPriority w:val="0"/>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paragraph" w:customStyle="1" w:styleId="2699">
    <w:name w:val="Char Char Char Char Char Char Char22"/>
    <w:basedOn w:val="1"/>
    <w:autoRedefine/>
    <w:qFormat/>
    <w:uiPriority w:val="0"/>
  </w:style>
  <w:style w:type="paragraph" w:customStyle="1" w:styleId="2700">
    <w:name w:val="Char Char Char Char Char Char Char Char Char Char Char1"/>
    <w:basedOn w:val="1"/>
    <w:autoRedefine/>
    <w:qFormat/>
    <w:uiPriority w:val="0"/>
    <w:rPr>
      <w:sz w:val="24"/>
    </w:rPr>
  </w:style>
  <w:style w:type="paragraph" w:customStyle="1" w:styleId="2701">
    <w:name w:val="Char Char Char Char Char Char Char21"/>
    <w:basedOn w:val="1"/>
    <w:autoRedefine/>
    <w:qFormat/>
    <w:uiPriority w:val="0"/>
  </w:style>
  <w:style w:type="paragraph" w:customStyle="1" w:styleId="2702">
    <w:name w:val="条文"/>
    <w:basedOn w:val="7"/>
    <w:next w:val="1"/>
    <w:autoRedefine/>
    <w:qFormat/>
    <w:uiPriority w:val="0"/>
  </w:style>
  <w:style w:type="paragraph" w:customStyle="1" w:styleId="2703">
    <w:name w:val="表内宋5中21"/>
    <w:basedOn w:val="1"/>
    <w:autoRedefine/>
    <w:qFormat/>
    <w:uiPriority w:val="0"/>
    <w:pPr>
      <w:adjustRightInd w:val="0"/>
      <w:snapToGrid w:val="0"/>
      <w:jc w:val="center"/>
      <w:textAlignment w:val="baseline"/>
    </w:pPr>
    <w:rPr>
      <w:rFonts w:ascii="宋体" w:hAnsi="宋体"/>
      <w:kern w:val="0"/>
      <w:szCs w:val="20"/>
    </w:rPr>
  </w:style>
  <w:style w:type="paragraph" w:customStyle="1" w:styleId="2704">
    <w:name w:val="Char Char Char Char Char Char Char Char Char Char Char Char Char Char Char Char Char Char Char Char Char Char Char Char1"/>
    <w:basedOn w:val="1"/>
    <w:autoRedefine/>
    <w:qFormat/>
    <w:uiPriority w:val="39"/>
    <w:rPr>
      <w:sz w:val="24"/>
    </w:rPr>
  </w:style>
  <w:style w:type="paragraph" w:customStyle="1" w:styleId="2705">
    <w:name w:val="Char Char2 Char Char Char Char111"/>
    <w:basedOn w:val="1"/>
    <w:autoRedefine/>
    <w:qFormat/>
    <w:uiPriority w:val="0"/>
  </w:style>
  <w:style w:type="paragraph" w:customStyle="1" w:styleId="2706">
    <w:name w:val="Char23"/>
    <w:basedOn w:val="1"/>
    <w:autoRedefine/>
    <w:qFormat/>
    <w:uiPriority w:val="0"/>
    <w:pPr>
      <w:ind w:left="-48"/>
    </w:pPr>
  </w:style>
  <w:style w:type="paragraph" w:customStyle="1" w:styleId="2707">
    <w:name w:val="表内文字小3121"/>
    <w:basedOn w:val="1"/>
    <w:autoRedefine/>
    <w:qFormat/>
    <w:uiPriority w:val="0"/>
    <w:pPr>
      <w:adjustRightInd w:val="0"/>
      <w:snapToGrid w:val="0"/>
      <w:jc w:val="center"/>
    </w:pPr>
    <w:rPr>
      <w:rFonts w:ascii="宋体" w:hAnsi="Times" w:cs="宋体"/>
      <w:bCs/>
      <w:color w:val="003366"/>
      <w:szCs w:val="20"/>
    </w:rPr>
  </w:style>
  <w:style w:type="paragraph" w:customStyle="1" w:styleId="2708">
    <w:name w:val="Char21"/>
    <w:basedOn w:val="1"/>
    <w:autoRedefine/>
    <w:qFormat/>
    <w:uiPriority w:val="0"/>
    <w:rPr>
      <w:sz w:val="24"/>
    </w:rPr>
  </w:style>
  <w:style w:type="paragraph" w:customStyle="1" w:styleId="2709">
    <w:name w:val="默认段落字体 Para Char Char Char Char Char Char Char Char Char Char Char Char Char Char Char"/>
    <w:basedOn w:val="26"/>
    <w:autoRedefine/>
    <w:qFormat/>
    <w:uiPriority w:val="0"/>
    <w:rPr>
      <w:rFonts w:ascii="Tahoma" w:hAnsi="Tahoma"/>
      <w:sz w:val="24"/>
      <w:szCs w:val="24"/>
    </w:rPr>
  </w:style>
  <w:style w:type="paragraph" w:customStyle="1" w:styleId="2710">
    <w:name w:val="Char Char2 Char Char Char Char2"/>
    <w:basedOn w:val="1"/>
    <w:autoRedefine/>
    <w:qFormat/>
    <w:uiPriority w:val="0"/>
  </w:style>
  <w:style w:type="paragraph" w:customStyle="1" w:styleId="2711">
    <w:name w:val="Char Char Char Char Char Char Char Char Char Char Char1 Char Char Char Char Char Char Char Char Char Char Char Char Char Char Char Char1"/>
    <w:basedOn w:val="1"/>
    <w:autoRedefine/>
    <w:qFormat/>
    <w:uiPriority w:val="39"/>
    <w:rPr>
      <w:sz w:val="24"/>
    </w:rPr>
  </w:style>
  <w:style w:type="paragraph" w:customStyle="1" w:styleId="2712">
    <w:name w:val="样式121"/>
    <w:basedOn w:val="1604"/>
    <w:autoRedefine/>
    <w:qFormat/>
    <w:uiPriority w:val="0"/>
    <w:pPr>
      <w:spacing w:line="240" w:lineRule="auto"/>
      <w:ind w:firstLine="0"/>
      <w:jc w:val="center"/>
    </w:pPr>
    <w:rPr>
      <w:rFonts w:cs="Times New Roman"/>
      <w:b/>
      <w:color w:val="auto"/>
      <w:szCs w:val="20"/>
    </w:rPr>
  </w:style>
  <w:style w:type="paragraph" w:customStyle="1" w:styleId="2713">
    <w:name w:val="mp"/>
    <w:basedOn w:val="1"/>
    <w:autoRedefine/>
    <w:qFormat/>
    <w:uiPriority w:val="0"/>
    <w:pPr>
      <w:widowControl/>
      <w:spacing w:before="100" w:beforeAutospacing="1" w:after="100" w:afterAutospacing="1" w:line="400" w:lineRule="atLeast"/>
      <w:ind w:firstLine="360"/>
    </w:pPr>
    <w:rPr>
      <w:rFonts w:ascii="ˎ̥" w:hAnsi="ˎ̥" w:cs="宋体"/>
      <w:color w:val="454D63"/>
      <w:kern w:val="0"/>
      <w:sz w:val="24"/>
    </w:rPr>
  </w:style>
  <w:style w:type="paragraph" w:customStyle="1" w:styleId="2714">
    <w:name w:val="表文字521"/>
    <w:basedOn w:val="1"/>
    <w:autoRedefine/>
    <w:qFormat/>
    <w:uiPriority w:val="0"/>
    <w:pPr>
      <w:adjustRightInd w:val="0"/>
      <w:jc w:val="left"/>
      <w:textAlignment w:val="baseline"/>
    </w:pPr>
    <w:rPr>
      <w:rFonts w:ascii="宋体"/>
      <w:kern w:val="0"/>
      <w:szCs w:val="20"/>
    </w:rPr>
  </w:style>
  <w:style w:type="paragraph" w:customStyle="1" w:styleId="2715">
    <w:name w:val="Char Char Char Char Char Char Char14"/>
    <w:basedOn w:val="1"/>
    <w:autoRedefine/>
    <w:qFormat/>
    <w:uiPriority w:val="0"/>
  </w:style>
  <w:style w:type="paragraph" w:customStyle="1" w:styleId="2716">
    <w:name w:val="Char Char Char1 Char Char Char Char Char Char Char Char Char Char Char Char Char Char Char1 Char Char Char Char Char Char Char Char Char Char Char Char Char Char Char Char Char Char Char Char Char Char Char Char Char Char Char1"/>
    <w:basedOn w:val="1"/>
    <w:autoRedefine/>
    <w:qFormat/>
    <w:uiPriority w:val="39"/>
    <w:pPr>
      <w:spacing w:line="240" w:lineRule="exact"/>
      <w:ind w:firstLine="200" w:firstLineChars="200"/>
    </w:pPr>
    <w:rPr>
      <w:sz w:val="28"/>
      <w:szCs w:val="28"/>
    </w:rPr>
  </w:style>
  <w:style w:type="paragraph" w:customStyle="1" w:styleId="2717">
    <w:name w:val="表格内字体34"/>
    <w:basedOn w:val="416"/>
    <w:next w:val="416"/>
    <w:autoRedefine/>
    <w:qFormat/>
    <w:uiPriority w:val="0"/>
    <w:pPr>
      <w:spacing w:line="240" w:lineRule="auto"/>
      <w:ind w:firstLine="0"/>
      <w:jc w:val="center"/>
    </w:pPr>
    <w:rPr>
      <w:rFonts w:ascii="宋体" w:hAnsi="宋体"/>
      <w:b w:val="0"/>
      <w:spacing w:val="0"/>
      <w:szCs w:val="24"/>
    </w:rPr>
  </w:style>
  <w:style w:type="paragraph" w:customStyle="1" w:styleId="2718">
    <w:name w:val="标题正1"/>
    <w:basedOn w:val="1"/>
    <w:autoRedefine/>
    <w:qFormat/>
    <w:uiPriority w:val="0"/>
    <w:pPr>
      <w:spacing w:before="60" w:after="60" w:line="500" w:lineRule="exact"/>
    </w:pPr>
    <w:rPr>
      <w:rFonts w:ascii="黑体" w:eastAsia="黑体"/>
      <w:sz w:val="32"/>
      <w:szCs w:val="28"/>
    </w:rPr>
  </w:style>
  <w:style w:type="paragraph" w:customStyle="1" w:styleId="2719">
    <w:name w:val="Char15"/>
    <w:basedOn w:val="1"/>
    <w:autoRedefine/>
    <w:qFormat/>
    <w:uiPriority w:val="0"/>
    <w:pPr>
      <w:ind w:left="-48"/>
    </w:pPr>
  </w:style>
  <w:style w:type="paragraph" w:customStyle="1" w:styleId="2720">
    <w:name w:val="Char Char Char Char Char Char Char Char Char Char Char Char Char Char Char Char Char Char1"/>
    <w:basedOn w:val="1"/>
    <w:autoRedefine/>
    <w:qFormat/>
    <w:uiPriority w:val="39"/>
    <w:rPr>
      <w:sz w:val="24"/>
    </w:rPr>
  </w:style>
  <w:style w:type="paragraph" w:customStyle="1" w:styleId="2721">
    <w:name w:val="Char Char Char Char Char Char Char Char1 Char Char Char Char Char Char Char Char Char Char Char Char1 Char1"/>
    <w:basedOn w:val="1"/>
    <w:autoRedefine/>
    <w:qFormat/>
    <w:uiPriority w:val="39"/>
    <w:rPr>
      <w:sz w:val="24"/>
    </w:rPr>
  </w:style>
  <w:style w:type="paragraph" w:customStyle="1" w:styleId="2722">
    <w:name w:val="Char Char Char Char Char Char Char5"/>
    <w:basedOn w:val="1"/>
    <w:autoRedefine/>
    <w:qFormat/>
    <w:uiPriority w:val="0"/>
  </w:style>
  <w:style w:type="paragraph" w:customStyle="1" w:styleId="2723">
    <w:name w:val="正文格式＝7"/>
    <w:basedOn w:val="416"/>
    <w:next w:val="416"/>
    <w:autoRedefine/>
    <w:qFormat/>
    <w:uiPriority w:val="0"/>
    <w:rPr>
      <w:rFonts w:ascii="宋体" w:hAnsi="宋体"/>
      <w:b w:val="0"/>
      <w:spacing w:val="0"/>
      <w:sz w:val="24"/>
      <w:szCs w:val="24"/>
    </w:rPr>
  </w:style>
  <w:style w:type="paragraph" w:customStyle="1" w:styleId="2724">
    <w:name w:val="Char Char Char Char Char Char Char Char Char Char Char1 Char Char Char Char Char Char2"/>
    <w:basedOn w:val="1"/>
    <w:autoRedefine/>
    <w:qFormat/>
    <w:uiPriority w:val="39"/>
    <w:rPr>
      <w:sz w:val="24"/>
    </w:rPr>
  </w:style>
  <w:style w:type="paragraph" w:customStyle="1" w:styleId="2725">
    <w:name w:val="Char2 Char Char Char Char Char"/>
    <w:basedOn w:val="1"/>
    <w:autoRedefine/>
    <w:qFormat/>
    <w:uiPriority w:val="0"/>
    <w:rPr>
      <w:sz w:val="24"/>
    </w:rPr>
  </w:style>
  <w:style w:type="paragraph" w:customStyle="1" w:styleId="2726">
    <w:name w:val="Char Char Char Char Char Char Char Char Char Char Char1 Char Char Char Char Char Char1 Char Char Char Char Char Char Char Char Char Char Char Char1"/>
    <w:basedOn w:val="1"/>
    <w:autoRedefine/>
    <w:qFormat/>
    <w:uiPriority w:val="39"/>
    <w:rPr>
      <w:sz w:val="24"/>
    </w:rPr>
  </w:style>
  <w:style w:type="paragraph" w:customStyle="1" w:styleId="2727">
    <w:name w:val="燕山正文21"/>
    <w:basedOn w:val="1"/>
    <w:autoRedefine/>
    <w:qFormat/>
    <w:uiPriority w:val="0"/>
    <w:pPr>
      <w:tabs>
        <w:tab w:val="left" w:pos="4680"/>
      </w:tabs>
      <w:adjustRightInd w:val="0"/>
      <w:snapToGrid w:val="0"/>
      <w:spacing w:line="480" w:lineRule="exact"/>
    </w:pPr>
    <w:rPr>
      <w:rFonts w:ascii="宋体" w:cs="宋体"/>
      <w:sz w:val="24"/>
    </w:rPr>
  </w:style>
  <w:style w:type="paragraph" w:customStyle="1" w:styleId="2728">
    <w:name w:val="表中文字21"/>
    <w:basedOn w:val="1"/>
    <w:autoRedefine/>
    <w:qFormat/>
    <w:uiPriority w:val="0"/>
    <w:pPr>
      <w:widowControl/>
      <w:adjustRightInd w:val="0"/>
      <w:spacing w:line="240" w:lineRule="atLeast"/>
      <w:ind w:right="-42" w:rightChars="-20"/>
      <w:jc w:val="center"/>
      <w:textAlignment w:val="baseline"/>
    </w:pPr>
    <w:rPr>
      <w:rFonts w:ascii="宋体"/>
      <w:kern w:val="0"/>
      <w:szCs w:val="21"/>
    </w:rPr>
  </w:style>
  <w:style w:type="paragraph" w:customStyle="1" w:styleId="2729">
    <w:name w:val="InstÀÀll4"/>
    <w:autoRedefine/>
    <w:qFormat/>
    <w:uiPriority w:val="39"/>
    <w:pPr>
      <w:tabs>
        <w:tab w:val="left" w:pos="-720"/>
      </w:tabs>
      <w:suppressAutoHyphens/>
      <w:jc w:val="both"/>
    </w:pPr>
    <w:rPr>
      <w:rFonts w:ascii="Courier" w:hAnsi="Courier" w:eastAsia="宋体" w:cs="Times New Roman"/>
      <w:spacing w:val="-3"/>
      <w:sz w:val="24"/>
      <w:lang w:val="en-US" w:eastAsia="sv-SE" w:bidi="ar-SA"/>
    </w:rPr>
  </w:style>
  <w:style w:type="paragraph" w:customStyle="1" w:styleId="2730">
    <w:name w:val="表题121"/>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2731">
    <w:name w:val="Char Char Char1 Char Char"/>
    <w:basedOn w:val="1"/>
    <w:autoRedefine/>
    <w:qFormat/>
    <w:uiPriority w:val="0"/>
    <w:rPr>
      <w:rFonts w:ascii="黑体" w:hAnsi="黑体" w:eastAsia="黑体"/>
      <w:b/>
      <w:spacing w:val="10"/>
      <w:sz w:val="28"/>
      <w:szCs w:val="20"/>
    </w:rPr>
  </w:style>
  <w:style w:type="paragraph" w:customStyle="1" w:styleId="2732">
    <w:name w:val="默认段落字体 Para Char Char Char Char6"/>
    <w:basedOn w:val="1"/>
    <w:autoRedefine/>
    <w:qFormat/>
    <w:uiPriority w:val="0"/>
  </w:style>
  <w:style w:type="paragraph" w:customStyle="1" w:styleId="2733">
    <w:name w:val="正文格式＝31"/>
    <w:basedOn w:val="416"/>
    <w:next w:val="416"/>
    <w:autoRedefine/>
    <w:qFormat/>
    <w:uiPriority w:val="0"/>
    <w:rPr>
      <w:rFonts w:ascii="宋体" w:hAnsi="宋体"/>
      <w:b w:val="0"/>
      <w:spacing w:val="0"/>
      <w:sz w:val="24"/>
      <w:szCs w:val="24"/>
    </w:rPr>
  </w:style>
  <w:style w:type="paragraph" w:customStyle="1" w:styleId="2734">
    <w:name w:val="Char Char Char Char1 Char Char Char Char Char Char Char"/>
    <w:basedOn w:val="1"/>
    <w:autoRedefine/>
    <w:qFormat/>
    <w:uiPriority w:val="0"/>
    <w:pPr>
      <w:tabs>
        <w:tab w:val="left" w:pos="360"/>
      </w:tabs>
      <w:snapToGrid w:val="0"/>
      <w:spacing w:line="360" w:lineRule="auto"/>
    </w:pPr>
    <w:rPr>
      <w:rFonts w:eastAsia="仿宋_GB2312" w:cs="宋体"/>
      <w:sz w:val="24"/>
    </w:rPr>
  </w:style>
  <w:style w:type="paragraph" w:customStyle="1" w:styleId="2735">
    <w:name w:val="Char Char Char Char1 Char Char Char2"/>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736">
    <w:name w:val="Char Char Char Char Char Char Char Char Char Char Char Char Char Char Char Char Char Char Char Char Char Char Char Char Char Char2"/>
    <w:basedOn w:val="1"/>
    <w:autoRedefine/>
    <w:qFormat/>
    <w:uiPriority w:val="39"/>
    <w:rPr>
      <w:sz w:val="24"/>
    </w:rPr>
  </w:style>
  <w:style w:type="paragraph" w:customStyle="1" w:styleId="2737">
    <w:name w:val="little"/>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738">
    <w:name w:val="表内5中2"/>
    <w:basedOn w:val="1"/>
    <w:autoRedefine/>
    <w:qFormat/>
    <w:uiPriority w:val="0"/>
    <w:pPr>
      <w:adjustRightInd w:val="0"/>
      <w:snapToGrid w:val="0"/>
      <w:jc w:val="center"/>
    </w:pPr>
    <w:rPr>
      <w:rFonts w:ascii="宋体" w:hAnsi="宋体" w:cs="Arial"/>
      <w:snapToGrid w:val="0"/>
      <w:color w:val="000000"/>
      <w:szCs w:val="21"/>
    </w:rPr>
  </w:style>
  <w:style w:type="paragraph" w:customStyle="1" w:styleId="2739">
    <w:name w:val="Char Char Char Char Char Char Char Char Char Char Char1 Char Char Char Char Char Char11"/>
    <w:basedOn w:val="1"/>
    <w:autoRedefine/>
    <w:qFormat/>
    <w:uiPriority w:val="39"/>
    <w:rPr>
      <w:sz w:val="24"/>
    </w:rPr>
  </w:style>
  <w:style w:type="paragraph" w:customStyle="1" w:styleId="2740">
    <w:name w:val="Char111"/>
    <w:basedOn w:val="1"/>
    <w:autoRedefine/>
    <w:qFormat/>
    <w:uiPriority w:val="0"/>
    <w:pPr>
      <w:ind w:left="-48"/>
    </w:pPr>
  </w:style>
  <w:style w:type="paragraph" w:customStyle="1" w:styleId="2741">
    <w:name w:val="流程图"/>
    <w:basedOn w:val="1"/>
    <w:autoRedefine/>
    <w:qFormat/>
    <w:uiPriority w:val="0"/>
    <w:pPr>
      <w:tabs>
        <w:tab w:val="left" w:pos="0"/>
      </w:tabs>
      <w:autoSpaceDE w:val="0"/>
      <w:autoSpaceDN w:val="0"/>
      <w:adjustRightInd w:val="0"/>
      <w:spacing w:line="240" w:lineRule="atLeast"/>
      <w:jc w:val="center"/>
      <w:textAlignment w:val="bottom"/>
    </w:pPr>
    <w:rPr>
      <w:rFonts w:ascii="宋体" w:cs="宋体"/>
      <w:szCs w:val="21"/>
    </w:rPr>
  </w:style>
  <w:style w:type="paragraph" w:customStyle="1" w:styleId="2742">
    <w:name w:val="表格内字体8"/>
    <w:basedOn w:val="416"/>
    <w:next w:val="416"/>
    <w:autoRedefine/>
    <w:qFormat/>
    <w:uiPriority w:val="0"/>
    <w:pPr>
      <w:spacing w:line="240" w:lineRule="auto"/>
      <w:ind w:firstLine="0"/>
      <w:jc w:val="center"/>
    </w:pPr>
    <w:rPr>
      <w:rFonts w:ascii="宋体" w:hAnsi="宋体"/>
      <w:b w:val="0"/>
      <w:spacing w:val="0"/>
      <w:szCs w:val="24"/>
    </w:rPr>
  </w:style>
  <w:style w:type="paragraph" w:customStyle="1" w:styleId="2743">
    <w:name w:val="Char Char Char Char Char Char Char Char Char Char Char Char Char Char Char Char Char Char Char Char Char Char Char Char Char Char Char Char Char Char Char Char Char Char Char Char Char Char Char Char"/>
    <w:basedOn w:val="1"/>
    <w:autoRedefine/>
    <w:qFormat/>
    <w:uiPriority w:val="0"/>
    <w:rPr>
      <w:sz w:val="24"/>
    </w:rPr>
  </w:style>
  <w:style w:type="paragraph" w:customStyle="1" w:styleId="2744">
    <w:name w:val="Char Char Char Char Char Char Char Char Char Char Char Char1"/>
    <w:basedOn w:val="1"/>
    <w:autoRedefine/>
    <w:qFormat/>
    <w:uiPriority w:val="39"/>
    <w:rPr>
      <w:sz w:val="24"/>
    </w:rPr>
  </w:style>
  <w:style w:type="paragraph" w:customStyle="1" w:styleId="2745">
    <w:name w:val="Char Char Char Char Char Char Char Char Char1 Char Char Char Char Char Char Char1"/>
    <w:basedOn w:val="1"/>
    <w:autoRedefine/>
    <w:qFormat/>
    <w:uiPriority w:val="39"/>
    <w:rPr>
      <w:szCs w:val="21"/>
    </w:rPr>
  </w:style>
  <w:style w:type="paragraph" w:customStyle="1" w:styleId="2746">
    <w:name w:val="注释12"/>
    <w:basedOn w:val="416"/>
    <w:next w:val="34"/>
    <w:autoRedefine/>
    <w:qFormat/>
    <w:uiPriority w:val="0"/>
    <w:pPr>
      <w:spacing w:before="120" w:after="120" w:line="240" w:lineRule="auto"/>
      <w:ind w:firstLine="200" w:firstLineChars="200"/>
    </w:pPr>
    <w:rPr>
      <w:rFonts w:ascii="宋体" w:hAnsi="Times New Roman" w:cs="宋体"/>
      <w:b w:val="0"/>
      <w:spacing w:val="0"/>
    </w:rPr>
  </w:style>
  <w:style w:type="paragraph" w:customStyle="1" w:styleId="2747">
    <w:name w:val="Char Char Char Char Char Char Char41"/>
    <w:basedOn w:val="1"/>
    <w:autoRedefine/>
    <w:qFormat/>
    <w:uiPriority w:val="0"/>
  </w:style>
  <w:style w:type="paragraph" w:customStyle="1" w:styleId="2748">
    <w:name w:val="样式 左侧:  -0.16 厘米"/>
    <w:basedOn w:val="1"/>
    <w:autoRedefine/>
    <w:qFormat/>
    <w:uiPriority w:val="0"/>
    <w:pPr>
      <w:ind w:left="-90"/>
    </w:pPr>
    <w:rPr>
      <w:rFonts w:ascii="宋体" w:hAnsi="宋体" w:cs="宋体"/>
      <w:snapToGrid w:val="0"/>
      <w:kern w:val="0"/>
      <w:sz w:val="24"/>
    </w:rPr>
  </w:style>
  <w:style w:type="paragraph" w:customStyle="1" w:styleId="2749">
    <w:name w:val="Char Char1 Char1"/>
    <w:basedOn w:val="1"/>
    <w:autoRedefine/>
    <w:qFormat/>
    <w:uiPriority w:val="39"/>
    <w:pPr>
      <w:widowControl/>
      <w:spacing w:after="160" w:line="240" w:lineRule="exact"/>
      <w:jc w:val="left"/>
    </w:pPr>
    <w:rPr>
      <w:szCs w:val="20"/>
    </w:rPr>
  </w:style>
  <w:style w:type="paragraph" w:customStyle="1" w:styleId="2750">
    <w:name w:val="样式 五号 居中"/>
    <w:basedOn w:val="1"/>
    <w:autoRedefine/>
    <w:qFormat/>
    <w:uiPriority w:val="0"/>
    <w:pPr>
      <w:jc w:val="center"/>
    </w:pPr>
    <w:rPr>
      <w:rFonts w:ascii="宋体" w:hAnsi="宋体" w:cs="宋体"/>
      <w:snapToGrid w:val="0"/>
      <w:kern w:val="0"/>
      <w:szCs w:val="21"/>
    </w:rPr>
  </w:style>
  <w:style w:type="paragraph" w:customStyle="1" w:styleId="2751">
    <w:name w:val="正文文本缩进21"/>
    <w:basedOn w:val="1"/>
    <w:autoRedefine/>
    <w:qFormat/>
    <w:uiPriority w:val="39"/>
    <w:pPr>
      <w:spacing w:after="120" w:line="360" w:lineRule="auto"/>
      <w:ind w:left="200" w:leftChars="200" w:firstLine="200" w:firstLineChars="200"/>
    </w:pPr>
    <w:rPr>
      <w:sz w:val="24"/>
    </w:rPr>
  </w:style>
  <w:style w:type="paragraph" w:customStyle="1" w:styleId="2752">
    <w:name w:val="样式 左侧:  -0.16 厘米1"/>
    <w:basedOn w:val="1"/>
    <w:autoRedefine/>
    <w:qFormat/>
    <w:uiPriority w:val="0"/>
    <w:pPr>
      <w:ind w:left="-90"/>
    </w:pPr>
    <w:rPr>
      <w:rFonts w:ascii="宋体" w:hAnsi="宋体" w:cs="宋体"/>
      <w:snapToGrid w:val="0"/>
      <w:kern w:val="0"/>
      <w:sz w:val="24"/>
    </w:rPr>
  </w:style>
  <w:style w:type="paragraph" w:customStyle="1" w:styleId="2753">
    <w:name w:val="Char Char Char Char Char Char Char Char1"/>
    <w:basedOn w:val="1"/>
    <w:autoRedefine/>
    <w:qFormat/>
    <w:uiPriority w:val="39"/>
    <w:rPr>
      <w:sz w:val="24"/>
    </w:rPr>
  </w:style>
  <w:style w:type="paragraph" w:customStyle="1" w:styleId="2754">
    <w:name w:val="表格内字体211"/>
    <w:basedOn w:val="416"/>
    <w:next w:val="416"/>
    <w:autoRedefine/>
    <w:qFormat/>
    <w:uiPriority w:val="0"/>
    <w:pPr>
      <w:spacing w:line="240" w:lineRule="auto"/>
      <w:ind w:firstLine="0"/>
      <w:jc w:val="center"/>
    </w:pPr>
    <w:rPr>
      <w:rFonts w:ascii="宋体" w:hAnsi="宋体"/>
      <w:b w:val="0"/>
      <w:spacing w:val="0"/>
      <w:szCs w:val="24"/>
    </w:rPr>
  </w:style>
  <w:style w:type="paragraph" w:customStyle="1" w:styleId="2755">
    <w:name w:val="c1"/>
    <w:autoRedefine/>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2756">
    <w:name w:val="样式 首行缩进:  0.77 厘米 行距: 1.5 倍行距"/>
    <w:basedOn w:val="1"/>
    <w:autoRedefine/>
    <w:qFormat/>
    <w:uiPriority w:val="0"/>
    <w:pPr>
      <w:spacing w:line="360" w:lineRule="auto"/>
      <w:ind w:firstLine="435"/>
    </w:pPr>
    <w:rPr>
      <w:rFonts w:ascii="宋体" w:hAnsi="宋体" w:cs="宋体"/>
      <w:snapToGrid w:val="0"/>
      <w:kern w:val="0"/>
      <w:sz w:val="24"/>
    </w:rPr>
  </w:style>
  <w:style w:type="paragraph" w:customStyle="1" w:styleId="2757">
    <w:name w:val="Char411"/>
    <w:basedOn w:val="1"/>
    <w:autoRedefine/>
    <w:qFormat/>
    <w:uiPriority w:val="0"/>
    <w:pPr>
      <w:ind w:left="-48"/>
    </w:pPr>
  </w:style>
  <w:style w:type="paragraph" w:customStyle="1" w:styleId="2758">
    <w:name w:val="Char912"/>
    <w:basedOn w:val="1"/>
    <w:autoRedefine/>
    <w:qFormat/>
    <w:uiPriority w:val="0"/>
    <w:pPr>
      <w:ind w:left="-48"/>
    </w:pPr>
  </w:style>
  <w:style w:type="paragraph" w:customStyle="1" w:styleId="2759">
    <w:name w:val="样式 标题 3标题 3 Char CharH3h33rd level标题3 + 段前: 0.5 行"/>
    <w:basedOn w:val="5"/>
    <w:autoRedefine/>
    <w:qFormat/>
    <w:uiPriority w:val="0"/>
    <w:pPr>
      <w:keepNext w:val="0"/>
      <w:keepLines w:val="0"/>
      <w:widowControl/>
      <w:spacing w:before="0" w:after="0" w:line="480" w:lineRule="exact"/>
      <w:ind w:firstLine="560" w:firstLineChars="200"/>
      <w:outlineLvl w:val="9"/>
    </w:pPr>
    <w:rPr>
      <w:rFonts w:ascii="楷体_GB2312" w:hAnsi="宋体" w:eastAsia="楷体_GB2312"/>
      <w:b w:val="0"/>
      <w:color w:val="FF0000"/>
      <w:kern w:val="0"/>
      <w:sz w:val="28"/>
      <w:szCs w:val="28"/>
      <w:lang w:val="en-US"/>
    </w:rPr>
  </w:style>
  <w:style w:type="paragraph" w:customStyle="1" w:styleId="2760">
    <w:name w:val="表题21112"/>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2761">
    <w:name w:val="初设正文"/>
    <w:basedOn w:val="1"/>
    <w:autoRedefine/>
    <w:qFormat/>
    <w:uiPriority w:val="0"/>
    <w:pPr>
      <w:spacing w:after="120" w:line="440" w:lineRule="exact"/>
      <w:ind w:left="425" w:firstLine="425"/>
    </w:pPr>
    <w:rPr>
      <w:rFonts w:ascii="Arial" w:hAnsi="Arial" w:cs="宋体"/>
      <w:kern w:val="0"/>
      <w:sz w:val="24"/>
      <w:szCs w:val="20"/>
    </w:rPr>
  </w:style>
  <w:style w:type="paragraph" w:customStyle="1" w:styleId="2762">
    <w:name w:val="表31"/>
    <w:basedOn w:val="1"/>
    <w:autoRedefine/>
    <w:qFormat/>
    <w:uiPriority w:val="0"/>
    <w:pPr>
      <w:adjustRightInd w:val="0"/>
      <w:snapToGrid w:val="0"/>
      <w:jc w:val="center"/>
    </w:pPr>
    <w:rPr>
      <w:rFonts w:eastAsia="仿宋_GB2312"/>
      <w:sz w:val="24"/>
    </w:rPr>
  </w:style>
  <w:style w:type="paragraph" w:customStyle="1" w:styleId="2763">
    <w:name w:val="图题211"/>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2764">
    <w:name w:val="表格内字体41"/>
    <w:basedOn w:val="416"/>
    <w:next w:val="416"/>
    <w:autoRedefine/>
    <w:qFormat/>
    <w:uiPriority w:val="0"/>
    <w:pPr>
      <w:spacing w:line="240" w:lineRule="auto"/>
      <w:ind w:firstLine="0"/>
      <w:jc w:val="center"/>
    </w:pPr>
    <w:rPr>
      <w:rFonts w:ascii="宋体" w:hAnsi="宋体"/>
      <w:b w:val="0"/>
      <w:spacing w:val="0"/>
      <w:szCs w:val="24"/>
    </w:rPr>
  </w:style>
  <w:style w:type="paragraph" w:customStyle="1" w:styleId="2765">
    <w:name w:val="Char41"/>
    <w:basedOn w:val="1"/>
    <w:autoRedefine/>
    <w:qFormat/>
    <w:uiPriority w:val="0"/>
    <w:rPr>
      <w:sz w:val="24"/>
    </w:rPr>
  </w:style>
  <w:style w:type="paragraph" w:customStyle="1" w:styleId="2766">
    <w:name w:val="默认段落字体 Para Char1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767">
    <w:name w:val="表文字5111"/>
    <w:basedOn w:val="1"/>
    <w:autoRedefine/>
    <w:qFormat/>
    <w:uiPriority w:val="0"/>
    <w:pPr>
      <w:adjustRightInd w:val="0"/>
      <w:jc w:val="left"/>
      <w:textAlignment w:val="baseline"/>
    </w:pPr>
    <w:rPr>
      <w:rFonts w:ascii="宋体"/>
      <w:kern w:val="0"/>
      <w:szCs w:val="20"/>
    </w:rPr>
  </w:style>
  <w:style w:type="paragraph" w:customStyle="1" w:styleId="2768">
    <w:name w:val="引言"/>
    <w:basedOn w:val="1"/>
    <w:next w:val="1"/>
    <w:autoRedefine/>
    <w:qFormat/>
    <w:uiPriority w:val="0"/>
    <w:pPr>
      <w:snapToGrid w:val="0"/>
      <w:jc w:val="center"/>
    </w:pPr>
    <w:rPr>
      <w:rFonts w:ascii="仿宋_GB2312" w:eastAsia="仿宋_GB2312"/>
      <w:color w:val="000000"/>
      <w:sz w:val="24"/>
    </w:rPr>
  </w:style>
  <w:style w:type="paragraph" w:customStyle="1" w:styleId="2769">
    <w:name w:val="附件21"/>
    <w:basedOn w:val="3"/>
    <w:next w:val="416"/>
    <w:autoRedefine/>
    <w:qFormat/>
    <w:uiPriority w:val="0"/>
    <w:pPr>
      <w:keepLines/>
      <w:tabs>
        <w:tab w:val="left" w:pos="1566"/>
      </w:tabs>
      <w:overflowPunct/>
      <w:snapToGrid/>
      <w:spacing w:before="0" w:after="210" w:line="360" w:lineRule="auto"/>
      <w:ind w:left="0" w:firstLine="0"/>
      <w:jc w:val="left"/>
    </w:pPr>
    <w:rPr>
      <w:rFonts w:ascii="黑体" w:hAnsi="宋体"/>
      <w:b w:val="0"/>
      <w:color w:val="auto"/>
      <w:sz w:val="32"/>
      <w:szCs w:val="32"/>
    </w:rPr>
  </w:style>
  <w:style w:type="paragraph" w:customStyle="1" w:styleId="2770">
    <w:name w:val="Char4 Char Char Char Char Char Char Char Char Char Char Char Char Char Char Char Char Char1 Char Char Char Char Char Char1 Char Char Char Char Char Char Char Char Char Char Char Char Char Char Char Char1"/>
    <w:basedOn w:val="1"/>
    <w:autoRedefine/>
    <w:qFormat/>
    <w:uiPriority w:val="39"/>
    <w:pPr>
      <w:spacing w:line="240" w:lineRule="exact"/>
      <w:ind w:firstLine="200" w:firstLineChars="200"/>
    </w:pPr>
    <w:rPr>
      <w:sz w:val="28"/>
      <w:szCs w:val="28"/>
    </w:rPr>
  </w:style>
  <w:style w:type="paragraph" w:customStyle="1" w:styleId="2771">
    <w:name w:val="Char Char Char Char Char Char Char Char Char1 Char Char Char Char3"/>
    <w:basedOn w:val="1"/>
    <w:autoRedefine/>
    <w:qFormat/>
    <w:uiPriority w:val="39"/>
    <w:rPr>
      <w:rFonts w:eastAsia="黑体"/>
      <w:b/>
      <w:szCs w:val="20"/>
    </w:rPr>
  </w:style>
  <w:style w:type="paragraph" w:customStyle="1" w:styleId="2772">
    <w:name w:val="Char Char Char Char Char Char Char Char Char Char Char Char Char Char Char Char Char Char Char Char Char Char"/>
    <w:basedOn w:val="1"/>
    <w:autoRedefine/>
    <w:qFormat/>
    <w:uiPriority w:val="0"/>
    <w:rPr>
      <w:sz w:val="24"/>
    </w:rPr>
  </w:style>
  <w:style w:type="paragraph" w:customStyle="1" w:styleId="2773">
    <w:name w:val="表中文字6"/>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2774">
    <w:name w:val="福建正文缩进1"/>
    <w:basedOn w:val="9"/>
    <w:autoRedefine/>
    <w:qFormat/>
    <w:uiPriority w:val="0"/>
    <w:pPr>
      <w:adjustRightInd w:val="0"/>
      <w:snapToGrid w:val="0"/>
      <w:spacing w:line="360" w:lineRule="auto"/>
      <w:ind w:firstLine="567" w:firstLineChars="0"/>
    </w:pPr>
    <w:rPr>
      <w:rFonts w:ascii="宋体"/>
      <w:kern w:val="0"/>
      <w:sz w:val="24"/>
      <w:lang w:val="en-US"/>
    </w:rPr>
  </w:style>
  <w:style w:type="paragraph" w:customStyle="1" w:styleId="2775">
    <w:name w:val="Char Char1 Char Char Char Char Char Char1"/>
    <w:basedOn w:val="1"/>
    <w:autoRedefine/>
    <w:qFormat/>
    <w:uiPriority w:val="39"/>
  </w:style>
  <w:style w:type="paragraph" w:customStyle="1" w:styleId="2776">
    <w:name w:val="表题1111"/>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2777">
    <w:name w:val="Char Char Char1 Char Char Char Char Char Char1"/>
    <w:basedOn w:val="1"/>
    <w:autoRedefine/>
    <w:qFormat/>
    <w:uiPriority w:val="0"/>
    <w:rPr>
      <w:szCs w:val="21"/>
    </w:rPr>
  </w:style>
  <w:style w:type="paragraph" w:customStyle="1" w:styleId="2778">
    <w:name w:val="表体宋旭峰"/>
    <w:basedOn w:val="1"/>
    <w:autoRedefine/>
    <w:qFormat/>
    <w:uiPriority w:val="0"/>
    <w:pPr>
      <w:overflowPunct w:val="0"/>
      <w:spacing w:line="320" w:lineRule="exact"/>
      <w:jc w:val="center"/>
      <w:textAlignment w:val="baseline"/>
    </w:pPr>
    <w:rPr>
      <w:rFonts w:ascii="楷体_GB2312" w:eastAsia="楷体_GB2312" w:cs="Courier New"/>
      <w:snapToGrid w:val="0"/>
      <w:spacing w:val="-20"/>
      <w:kern w:val="0"/>
      <w:szCs w:val="21"/>
    </w:rPr>
  </w:style>
  <w:style w:type="paragraph" w:customStyle="1" w:styleId="2779">
    <w:name w:val="黑体三号51"/>
    <w:basedOn w:val="416"/>
    <w:autoRedefine/>
    <w:qFormat/>
    <w:uiPriority w:val="0"/>
    <w:pPr>
      <w:jc w:val="center"/>
    </w:pPr>
    <w:rPr>
      <w:rFonts w:ascii="黑体" w:hAnsi="宋体" w:eastAsia="黑体" w:cs="宋体"/>
      <w:bCs/>
      <w:spacing w:val="0"/>
      <w:sz w:val="32"/>
    </w:rPr>
  </w:style>
  <w:style w:type="paragraph" w:customStyle="1" w:styleId="2780">
    <w:name w:val="表中文字111"/>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2781">
    <w:name w:val="+标题1"/>
    <w:basedOn w:val="3"/>
    <w:autoRedefine/>
    <w:qFormat/>
    <w:uiPriority w:val="0"/>
    <w:pPr>
      <w:keepLines/>
      <w:pageBreakBefore/>
      <w:tabs>
        <w:tab w:val="left" w:pos="432"/>
      </w:tabs>
      <w:overflowPunct/>
      <w:snapToGrid/>
      <w:spacing w:beforeLines="100" w:afterLines="100" w:line="360" w:lineRule="auto"/>
      <w:ind w:hanging="632"/>
      <w:jc w:val="center"/>
    </w:pPr>
    <w:rPr>
      <w:rFonts w:eastAsia="宋体"/>
      <w:sz w:val="32"/>
      <w:szCs w:val="32"/>
    </w:rPr>
  </w:style>
  <w:style w:type="paragraph" w:customStyle="1" w:styleId="2782">
    <w:name w:val="Char4 Char Char Char Char Char Char Char Char Char Char Char Char Char Char Char Char Char1 Char Char Char Char1"/>
    <w:basedOn w:val="1"/>
    <w:autoRedefine/>
    <w:qFormat/>
    <w:uiPriority w:val="39"/>
    <w:pPr>
      <w:spacing w:line="240" w:lineRule="exact"/>
      <w:ind w:firstLine="200" w:firstLineChars="200"/>
    </w:pPr>
    <w:rPr>
      <w:sz w:val="28"/>
      <w:szCs w:val="28"/>
    </w:rPr>
  </w:style>
  <w:style w:type="paragraph" w:customStyle="1" w:styleId="2783">
    <w:name w:val="表内5311"/>
    <w:basedOn w:val="1"/>
    <w:autoRedefine/>
    <w:qFormat/>
    <w:uiPriority w:val="0"/>
    <w:pPr>
      <w:adjustRightInd w:val="0"/>
      <w:snapToGrid w:val="0"/>
      <w:spacing w:line="300" w:lineRule="auto"/>
      <w:jc w:val="left"/>
    </w:pPr>
    <w:rPr>
      <w:rFonts w:ascii="宋体"/>
      <w:szCs w:val="20"/>
    </w:rPr>
  </w:style>
  <w:style w:type="paragraph" w:customStyle="1" w:styleId="2784">
    <w:name w:val="Char Char Char Char Char Char Char Char Char Char Char Char Char Char Char Char Char Char Char Char Char Char Char Char Char Char Char Char Char Char Char Char Char Char"/>
    <w:basedOn w:val="1"/>
    <w:autoRedefine/>
    <w:qFormat/>
    <w:uiPriority w:val="0"/>
    <w:rPr>
      <w:sz w:val="24"/>
    </w:rPr>
  </w:style>
  <w:style w:type="paragraph" w:customStyle="1" w:styleId="2785">
    <w:name w:val="样式 居中"/>
    <w:basedOn w:val="1"/>
    <w:autoRedefine/>
    <w:qFormat/>
    <w:uiPriority w:val="99"/>
    <w:pPr>
      <w:jc w:val="center"/>
    </w:pPr>
    <w:rPr>
      <w:rFonts w:cs="宋体"/>
      <w:szCs w:val="21"/>
    </w:rPr>
  </w:style>
  <w:style w:type="paragraph" w:customStyle="1" w:styleId="2786">
    <w:name w:val="正文格式43"/>
    <w:basedOn w:val="1"/>
    <w:autoRedefine/>
    <w:qFormat/>
    <w:uiPriority w:val="0"/>
    <w:pPr>
      <w:spacing w:line="360" w:lineRule="auto"/>
      <w:ind w:firstLine="482"/>
    </w:pPr>
    <w:rPr>
      <w:rFonts w:ascii="宋体" w:hAnsi="宋体"/>
      <w:sz w:val="24"/>
    </w:rPr>
  </w:style>
  <w:style w:type="paragraph" w:customStyle="1" w:styleId="2787">
    <w:name w:val="Char Char Char Char Char Char Char Char Char Char Char Char Char Char Char Char Char Char Char Char Char Char Char Char Char Char Char Char Char Char Char Char Char Char Char Char Char"/>
    <w:basedOn w:val="1"/>
    <w:autoRedefine/>
    <w:qFormat/>
    <w:uiPriority w:val="0"/>
    <w:rPr>
      <w:sz w:val="24"/>
    </w:rPr>
  </w:style>
  <w:style w:type="paragraph" w:customStyle="1" w:styleId="2788">
    <w:name w:val="图题53"/>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2789">
    <w:name w:val="Char2 Char Char Char Char Char1"/>
    <w:basedOn w:val="1"/>
    <w:autoRedefine/>
    <w:qFormat/>
    <w:uiPriority w:val="99"/>
    <w:rPr>
      <w:sz w:val="24"/>
    </w:rPr>
  </w:style>
  <w:style w:type="paragraph" w:customStyle="1" w:styleId="2790">
    <w:name w:val="正文.111"/>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791">
    <w:name w:val="小四表文居中"/>
    <w:autoRedefine/>
    <w:qFormat/>
    <w:uiPriority w:val="0"/>
    <w:pPr>
      <w:widowControl w:val="0"/>
      <w:spacing w:line="320" w:lineRule="exact"/>
      <w:jc w:val="center"/>
    </w:pPr>
    <w:rPr>
      <w:rFonts w:ascii="仿宋_GB2312" w:hAnsi="Times New Roman" w:eastAsia="仿宋_GB2312" w:cs="Times New Roman"/>
      <w:kern w:val="2"/>
      <w:sz w:val="24"/>
      <w:szCs w:val="24"/>
      <w:lang w:val="en-US" w:eastAsia="zh-CN" w:bidi="ar-SA"/>
    </w:rPr>
  </w:style>
  <w:style w:type="paragraph" w:customStyle="1" w:styleId="2792">
    <w:name w:val="Char Char Char1 Char Char Char Char Char Char Char Char Char Char Char Char Char Char Char1 Char Char Char Char Char Char Char Char Char Char Char Char Char Char Char Char Char Char Char Char Char Char Char Char Char Char Char Char Char Char1"/>
    <w:basedOn w:val="1"/>
    <w:autoRedefine/>
    <w:qFormat/>
    <w:uiPriority w:val="39"/>
    <w:pPr>
      <w:spacing w:line="240" w:lineRule="exact"/>
      <w:ind w:firstLine="200" w:firstLineChars="200"/>
    </w:pPr>
    <w:rPr>
      <w:sz w:val="28"/>
      <w:szCs w:val="28"/>
    </w:rPr>
  </w:style>
  <w:style w:type="paragraph" w:customStyle="1" w:styleId="2793">
    <w:name w:val="Char51"/>
    <w:basedOn w:val="1"/>
    <w:autoRedefine/>
    <w:qFormat/>
    <w:uiPriority w:val="0"/>
    <w:pPr>
      <w:adjustRightInd w:val="0"/>
      <w:snapToGrid w:val="0"/>
      <w:ind w:left="-45"/>
    </w:pPr>
  </w:style>
  <w:style w:type="paragraph" w:customStyle="1" w:styleId="2794">
    <w:name w:val="正文格式＝111"/>
    <w:basedOn w:val="416"/>
    <w:next w:val="416"/>
    <w:autoRedefine/>
    <w:qFormat/>
    <w:uiPriority w:val="0"/>
    <w:rPr>
      <w:rFonts w:ascii="宋体" w:hAnsi="宋体"/>
      <w:b w:val="0"/>
      <w:spacing w:val="0"/>
      <w:sz w:val="24"/>
      <w:szCs w:val="24"/>
    </w:rPr>
  </w:style>
  <w:style w:type="paragraph" w:customStyle="1" w:styleId="2795">
    <w:name w:val="样式 首行缩进:  1.71 字符"/>
    <w:basedOn w:val="1"/>
    <w:autoRedefine/>
    <w:qFormat/>
    <w:uiPriority w:val="0"/>
    <w:pPr>
      <w:spacing w:line="360" w:lineRule="auto"/>
      <w:jc w:val="center"/>
    </w:pPr>
    <w:rPr>
      <w:rFonts w:ascii="宋体" w:hAnsi="宋体"/>
      <w:color w:val="000000"/>
      <w:kern w:val="0"/>
      <w:szCs w:val="21"/>
    </w:rPr>
  </w:style>
  <w:style w:type="paragraph" w:customStyle="1" w:styleId="2796">
    <w:name w:val="燕山正文1131"/>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2797">
    <w:name w:val="样式 首行缩进:  2 字符 Char"/>
    <w:basedOn w:val="1"/>
    <w:autoRedefine/>
    <w:qFormat/>
    <w:uiPriority w:val="0"/>
    <w:pPr>
      <w:spacing w:line="480" w:lineRule="exact"/>
      <w:ind w:firstLine="560" w:firstLineChars="200"/>
    </w:pPr>
    <w:rPr>
      <w:kern w:val="28"/>
      <w:sz w:val="28"/>
    </w:rPr>
  </w:style>
  <w:style w:type="paragraph" w:customStyle="1" w:styleId="2798">
    <w:name w:val="表体"/>
    <w:basedOn w:val="1"/>
    <w:autoRedefine/>
    <w:qFormat/>
    <w:uiPriority w:val="0"/>
    <w:pPr>
      <w:tabs>
        <w:tab w:val="left" w:pos="6440"/>
      </w:tabs>
      <w:adjustRightInd w:val="0"/>
      <w:snapToGrid w:val="0"/>
      <w:jc w:val="center"/>
    </w:pPr>
    <w:rPr>
      <w:rFonts w:ascii="楷体_GB2312" w:eastAsia="楷体_GB2312"/>
      <w:w w:val="80"/>
      <w:szCs w:val="20"/>
    </w:rPr>
  </w:style>
  <w:style w:type="paragraph" w:customStyle="1" w:styleId="2799">
    <w:name w:val="Char Char Char Char Char Char Char Char Char Char Char Char Char Char Char Char Char Char Char Char Char Char Char Char Char Char Char Char Char Char Char Char Char Char1"/>
    <w:basedOn w:val="1"/>
    <w:autoRedefine/>
    <w:qFormat/>
    <w:uiPriority w:val="39"/>
    <w:rPr>
      <w:sz w:val="24"/>
    </w:rPr>
  </w:style>
  <w:style w:type="paragraph" w:customStyle="1" w:styleId="2800">
    <w:name w:val="表题113"/>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2801">
    <w:name w:val="样式 标题 3条标题1.1.1条标题1.1.11条标题1.1.12条标题1.1.13条标题1.1.111条标题1.1...2"/>
    <w:basedOn w:val="5"/>
    <w:autoRedefine/>
    <w:qFormat/>
    <w:uiPriority w:val="0"/>
    <w:pPr>
      <w:spacing w:before="120" w:after="120" w:line="500" w:lineRule="exact"/>
    </w:pPr>
    <w:rPr>
      <w:rFonts w:ascii="宋体" w:hAnsi="宋体" w:cs="宋体"/>
      <w:kern w:val="0"/>
      <w:sz w:val="24"/>
      <w:szCs w:val="20"/>
      <w:lang w:val="en-US"/>
    </w:rPr>
  </w:style>
  <w:style w:type="paragraph" w:customStyle="1" w:styleId="2802">
    <w:name w:val="Char Char2 Char Char Char Char22"/>
    <w:basedOn w:val="1"/>
    <w:autoRedefine/>
    <w:qFormat/>
    <w:uiPriority w:val="0"/>
  </w:style>
  <w:style w:type="paragraph" w:customStyle="1" w:styleId="2803">
    <w:name w:val="燕山正文1112"/>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804">
    <w:name w:val="2 Char Char Char Char Char Char Char"/>
    <w:basedOn w:val="1"/>
    <w:autoRedefine/>
    <w:qFormat/>
    <w:uiPriority w:val="0"/>
  </w:style>
  <w:style w:type="paragraph" w:customStyle="1" w:styleId="2805">
    <w:name w:val="默认段落字体 Para Char Char Char Char23"/>
    <w:basedOn w:val="1"/>
    <w:autoRedefine/>
    <w:qFormat/>
    <w:uiPriority w:val="0"/>
  </w:style>
  <w:style w:type="paragraph" w:customStyle="1" w:styleId="2806">
    <w:name w:val="图形"/>
    <w:basedOn w:val="1"/>
    <w:autoRedefine/>
    <w:qFormat/>
    <w:uiPriority w:val="0"/>
    <w:rPr>
      <w:sz w:val="18"/>
    </w:rPr>
  </w:style>
  <w:style w:type="paragraph" w:customStyle="1" w:styleId="2807">
    <w:name w:val="样式 标题 2第一章 标题 2Heading 2 HiddenHeading 2 CCBSheading 2H2h2...3"/>
    <w:basedOn w:val="4"/>
    <w:autoRedefine/>
    <w:qFormat/>
    <w:uiPriority w:val="0"/>
    <w:pPr>
      <w:spacing w:before="120" w:after="120" w:line="500" w:lineRule="exact"/>
    </w:pPr>
    <w:rPr>
      <w:rFonts w:ascii="Times New Roman" w:hAnsi="Times New Roman" w:eastAsia="仿宋_GB2312" w:cs="宋体"/>
      <w:sz w:val="28"/>
      <w:szCs w:val="20"/>
    </w:rPr>
  </w:style>
  <w:style w:type="paragraph" w:customStyle="1" w:styleId="2808">
    <w:name w:val="燕山正文1133"/>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2809">
    <w:name w:val="Char Char Char Char Char Char Char Char Char Char Char Char Char Char Char Char Char Char Char Char Char Char Char Char Char Char Char Char Char Char Char Char Char Char Char Char Char1"/>
    <w:basedOn w:val="1"/>
    <w:autoRedefine/>
    <w:qFormat/>
    <w:uiPriority w:val="39"/>
    <w:rPr>
      <w:sz w:val="24"/>
    </w:rPr>
  </w:style>
  <w:style w:type="paragraph" w:customStyle="1" w:styleId="2810">
    <w:name w:val="A正文11"/>
    <w:basedOn w:val="1"/>
    <w:autoRedefine/>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kern w:val="0"/>
      <w:sz w:val="24"/>
    </w:rPr>
  </w:style>
  <w:style w:type="paragraph" w:customStyle="1" w:styleId="2811">
    <w:name w:val="zhengwen"/>
    <w:basedOn w:val="1"/>
    <w:autoRedefine/>
    <w:qFormat/>
    <w:uiPriority w:val="39"/>
    <w:pPr>
      <w:spacing w:before="60" w:line="460" w:lineRule="exact"/>
      <w:ind w:firstLine="480" w:firstLineChars="200"/>
    </w:pPr>
    <w:rPr>
      <w:color w:val="0000FF"/>
      <w:sz w:val="24"/>
    </w:rPr>
  </w:style>
  <w:style w:type="paragraph" w:customStyle="1" w:styleId="2812">
    <w:name w:val="附件11"/>
    <w:basedOn w:val="3"/>
    <w:next w:val="416"/>
    <w:autoRedefine/>
    <w:qFormat/>
    <w:uiPriority w:val="0"/>
    <w:pPr>
      <w:keepLines/>
      <w:tabs>
        <w:tab w:val="left" w:pos="1566"/>
      </w:tabs>
      <w:overflowPunct/>
      <w:snapToGrid/>
      <w:spacing w:before="0" w:after="210" w:line="360" w:lineRule="auto"/>
      <w:ind w:left="0" w:firstLine="0"/>
      <w:jc w:val="left"/>
    </w:pPr>
    <w:rPr>
      <w:rFonts w:ascii="黑体" w:hAnsi="宋体"/>
      <w:b w:val="0"/>
      <w:color w:val="auto"/>
      <w:sz w:val="32"/>
      <w:szCs w:val="32"/>
    </w:rPr>
  </w:style>
  <w:style w:type="paragraph" w:customStyle="1" w:styleId="2813">
    <w:name w:val="正文 首行缩进:  2 字符"/>
    <w:basedOn w:val="1"/>
    <w:autoRedefine/>
    <w:qFormat/>
    <w:uiPriority w:val="99"/>
    <w:pPr>
      <w:ind w:firstLine="579" w:firstLineChars="200"/>
    </w:pPr>
    <w:rPr>
      <w:sz w:val="28"/>
      <w:szCs w:val="20"/>
    </w:rPr>
  </w:style>
  <w:style w:type="paragraph" w:customStyle="1" w:styleId="2814">
    <w:name w:val="Char Char Char Char1 Char Char Char Char Char Char Char1"/>
    <w:basedOn w:val="1"/>
    <w:autoRedefine/>
    <w:qFormat/>
    <w:uiPriority w:val="39"/>
    <w:pPr>
      <w:tabs>
        <w:tab w:val="left" w:pos="360"/>
      </w:tabs>
      <w:snapToGrid w:val="0"/>
      <w:spacing w:line="360" w:lineRule="auto"/>
    </w:pPr>
    <w:rPr>
      <w:rFonts w:eastAsia="仿宋_GB2312" w:cs="宋体"/>
      <w:sz w:val="24"/>
    </w:rPr>
  </w:style>
  <w:style w:type="paragraph" w:customStyle="1" w:styleId="2815">
    <w:name w:val="图题51"/>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2816">
    <w:name w:val="Char Char Char Char Char Char Char Char Char Char Char Char Char Char Char Char Char Char Char Char Char Char1"/>
    <w:basedOn w:val="1"/>
    <w:autoRedefine/>
    <w:qFormat/>
    <w:uiPriority w:val="39"/>
    <w:rPr>
      <w:sz w:val="24"/>
    </w:rPr>
  </w:style>
  <w:style w:type="paragraph" w:customStyle="1" w:styleId="2817">
    <w:name w:val="p17"/>
    <w:basedOn w:val="1"/>
    <w:autoRedefine/>
    <w:qFormat/>
    <w:uiPriority w:val="39"/>
    <w:pPr>
      <w:widowControl/>
      <w:spacing w:line="300" w:lineRule="atLeast"/>
      <w:jc w:val="center"/>
    </w:pPr>
    <w:rPr>
      <w:rFonts w:ascii="宋体" w:hAnsi="宋体" w:cs="宋体"/>
      <w:kern w:val="0"/>
      <w:szCs w:val="21"/>
    </w:rPr>
  </w:style>
  <w:style w:type="paragraph" w:customStyle="1" w:styleId="2818">
    <w:name w:val="Char Char Char Char Char Char Char Char Char1 Char Char Char1 Char"/>
    <w:basedOn w:val="1"/>
    <w:autoRedefine/>
    <w:qFormat/>
    <w:uiPriority w:val="39"/>
    <w:pPr>
      <w:spacing w:line="360" w:lineRule="auto"/>
      <w:ind w:firstLine="200" w:firstLineChars="200"/>
    </w:pPr>
    <w:rPr>
      <w:rFonts w:ascii="宋体" w:hAnsi="宋体" w:cs="宋体"/>
      <w:sz w:val="24"/>
    </w:rPr>
  </w:style>
  <w:style w:type="paragraph" w:customStyle="1" w:styleId="2819">
    <w:name w:val="pic-info"/>
    <w:basedOn w:val="1"/>
    <w:autoRedefine/>
    <w:qFormat/>
    <w:uiPriority w:val="39"/>
    <w:pPr>
      <w:widowControl/>
      <w:spacing w:before="100" w:beforeAutospacing="1" w:after="100" w:afterAutospacing="1"/>
      <w:jc w:val="left"/>
    </w:pPr>
    <w:rPr>
      <w:rFonts w:ascii="宋体" w:hAnsi="宋体" w:cs="宋体"/>
      <w:kern w:val="0"/>
      <w:sz w:val="24"/>
    </w:rPr>
  </w:style>
  <w:style w:type="paragraph" w:customStyle="1" w:styleId="2820">
    <w:name w:val="font1"/>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2821">
    <w:name w:val="正文修改31"/>
    <w:basedOn w:val="192"/>
    <w:autoRedefine/>
    <w:qFormat/>
    <w:uiPriority w:val="0"/>
    <w:rPr>
      <w:rFonts w:hAnsi="宋体"/>
      <w:color w:val="000000"/>
    </w:rPr>
  </w:style>
  <w:style w:type="paragraph" w:customStyle="1" w:styleId="2822">
    <w:name w:val="标题3 Char Char Char Char"/>
    <w:basedOn w:val="1"/>
    <w:next w:val="1"/>
    <w:autoRedefine/>
    <w:qFormat/>
    <w:uiPriority w:val="39"/>
    <w:pPr>
      <w:spacing w:line="360" w:lineRule="auto"/>
    </w:pPr>
    <w:rPr>
      <w:rFonts w:ascii="宋体" w:hAnsi="PMingLiU" w:eastAsia="黑体"/>
      <w:sz w:val="28"/>
      <w:szCs w:val="30"/>
    </w:rPr>
  </w:style>
  <w:style w:type="paragraph" w:customStyle="1" w:styleId="2823">
    <w:name w:val="WPS Plain"/>
    <w:autoRedefine/>
    <w:qFormat/>
    <w:uiPriority w:val="99"/>
    <w:rPr>
      <w:rFonts w:ascii="Times New Roman" w:hAnsi="Times New Roman" w:eastAsia="宋体" w:cs="Times New Roman"/>
      <w:lang w:val="en-US" w:eastAsia="zh-CN" w:bidi="ar-SA"/>
    </w:rPr>
  </w:style>
  <w:style w:type="paragraph" w:customStyle="1" w:styleId="2824">
    <w:name w:val="样式 样式 宋体 + 首行缩进:  2 字符14"/>
    <w:basedOn w:val="1"/>
    <w:autoRedefine/>
    <w:qFormat/>
    <w:uiPriority w:val="0"/>
    <w:pPr>
      <w:spacing w:line="360" w:lineRule="auto"/>
      <w:ind w:firstLine="480" w:firstLineChars="200"/>
      <w:jc w:val="left"/>
    </w:pPr>
    <w:rPr>
      <w:rFonts w:ascii="宋体" w:cs="宋体"/>
      <w:sz w:val="24"/>
    </w:rPr>
  </w:style>
  <w:style w:type="paragraph" w:customStyle="1" w:styleId="2825">
    <w:name w:val="图表题3"/>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2826">
    <w:name w:val="默认段落字体 Para Char Char Char Char31"/>
    <w:basedOn w:val="1"/>
    <w:autoRedefine/>
    <w:qFormat/>
    <w:uiPriority w:val="0"/>
  </w:style>
  <w:style w:type="paragraph" w:customStyle="1" w:styleId="2827">
    <w:name w:val="Char73"/>
    <w:basedOn w:val="1"/>
    <w:autoRedefine/>
    <w:qFormat/>
    <w:uiPriority w:val="0"/>
    <w:pPr>
      <w:ind w:left="-48"/>
    </w:pPr>
  </w:style>
  <w:style w:type="paragraph" w:customStyle="1" w:styleId="2828">
    <w:name w:val="表中文字15"/>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2829">
    <w:name w:val="Char49"/>
    <w:basedOn w:val="1"/>
    <w:autoRedefine/>
    <w:qFormat/>
    <w:uiPriority w:val="0"/>
    <w:pPr>
      <w:ind w:left="-48"/>
    </w:pPr>
  </w:style>
  <w:style w:type="paragraph" w:customStyle="1" w:styleId="2830">
    <w:name w:val="标题4111"/>
    <w:basedOn w:val="1"/>
    <w:autoRedefine/>
    <w:qFormat/>
    <w:uiPriority w:val="0"/>
    <w:pPr>
      <w:adjustRightInd w:val="0"/>
      <w:snapToGrid w:val="0"/>
      <w:spacing w:line="300" w:lineRule="auto"/>
      <w:jc w:val="left"/>
    </w:pPr>
    <w:rPr>
      <w:rFonts w:ascii="黑体" w:hAnsi="宋体" w:eastAsia="黑体" w:cs="宋体"/>
      <w:bCs/>
      <w:sz w:val="24"/>
      <w:szCs w:val="20"/>
    </w:rPr>
  </w:style>
  <w:style w:type="paragraph" w:customStyle="1" w:styleId="2831">
    <w:name w:val="正文格式22"/>
    <w:basedOn w:val="1"/>
    <w:autoRedefine/>
    <w:qFormat/>
    <w:uiPriority w:val="0"/>
    <w:pPr>
      <w:spacing w:line="360" w:lineRule="auto"/>
      <w:ind w:firstLine="482"/>
    </w:pPr>
    <w:rPr>
      <w:rFonts w:ascii="宋体" w:hAnsi="宋体"/>
      <w:sz w:val="24"/>
    </w:rPr>
  </w:style>
  <w:style w:type="paragraph" w:customStyle="1" w:styleId="2832">
    <w:name w:val="标题43112"/>
    <w:basedOn w:val="1"/>
    <w:autoRedefine/>
    <w:qFormat/>
    <w:uiPriority w:val="0"/>
    <w:pPr>
      <w:adjustRightInd w:val="0"/>
      <w:snapToGrid w:val="0"/>
      <w:spacing w:line="480" w:lineRule="exact"/>
      <w:jc w:val="center"/>
    </w:pPr>
    <w:rPr>
      <w:rFonts w:ascii="宋体" w:hAnsi="宋体" w:cs="宋体"/>
      <w:sz w:val="24"/>
    </w:rPr>
  </w:style>
  <w:style w:type="paragraph" w:customStyle="1" w:styleId="2833">
    <w:name w:val="表格标题博泵"/>
    <w:basedOn w:val="1"/>
    <w:autoRedefine/>
    <w:qFormat/>
    <w:uiPriority w:val="39"/>
    <w:pPr>
      <w:adjustRightInd w:val="0"/>
      <w:snapToGrid w:val="0"/>
      <w:jc w:val="center"/>
      <w:textAlignment w:val="baseline"/>
    </w:pPr>
    <w:rPr>
      <w:rFonts w:cs="宋体"/>
      <w:b/>
      <w:color w:val="000000"/>
      <w:szCs w:val="20"/>
    </w:rPr>
  </w:style>
  <w:style w:type="paragraph" w:customStyle="1" w:styleId="2834">
    <w:name w:val="Char Char Char Char1 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835">
    <w:name w:val="附件12"/>
    <w:basedOn w:val="3"/>
    <w:next w:val="416"/>
    <w:autoRedefine/>
    <w:qFormat/>
    <w:uiPriority w:val="0"/>
    <w:pPr>
      <w:keepLines/>
      <w:tabs>
        <w:tab w:val="left" w:pos="1566"/>
      </w:tabs>
      <w:overflowPunct/>
      <w:snapToGrid/>
      <w:spacing w:before="0" w:after="210" w:line="360" w:lineRule="auto"/>
      <w:ind w:left="0" w:firstLine="0"/>
      <w:jc w:val="left"/>
    </w:pPr>
    <w:rPr>
      <w:rFonts w:ascii="黑体" w:hAnsi="宋体"/>
      <w:b w:val="0"/>
      <w:color w:val="auto"/>
      <w:sz w:val="32"/>
      <w:szCs w:val="32"/>
    </w:rPr>
  </w:style>
  <w:style w:type="paragraph" w:customStyle="1" w:styleId="2836">
    <w:name w:val="字元 字元1"/>
    <w:basedOn w:val="1"/>
    <w:autoRedefine/>
    <w:qFormat/>
    <w:uiPriority w:val="0"/>
    <w:rPr>
      <w:sz w:val="24"/>
    </w:rPr>
  </w:style>
  <w:style w:type="paragraph" w:customStyle="1" w:styleId="2837">
    <w:name w:val="默认段落字体 Para Char Char Char Char41"/>
    <w:basedOn w:val="1"/>
    <w:autoRedefine/>
    <w:qFormat/>
    <w:uiPriority w:val="0"/>
  </w:style>
  <w:style w:type="paragraph" w:customStyle="1" w:styleId="2838">
    <w:name w:val="表题413"/>
    <w:basedOn w:val="35"/>
    <w:autoRedefine/>
    <w:qFormat/>
    <w:uiPriority w:val="0"/>
    <w:pPr>
      <w:tabs>
        <w:tab w:val="left" w:pos="4305"/>
      </w:tabs>
      <w:adjustRightInd w:val="0"/>
      <w:snapToGrid w:val="0"/>
      <w:spacing w:after="0"/>
      <w:ind w:left="0" w:leftChars="0"/>
      <w:jc w:val="center"/>
    </w:pPr>
    <w:rPr>
      <w:rFonts w:ascii="宋体" w:hAnsi="宋体" w:cs="宋体"/>
      <w:color w:val="000000"/>
      <w:szCs w:val="24"/>
      <w:lang w:val="en-US"/>
    </w:rPr>
  </w:style>
  <w:style w:type="paragraph" w:customStyle="1" w:styleId="2839">
    <w:name w:val="Char1 Char Char Char Char Char"/>
    <w:basedOn w:val="1"/>
    <w:autoRedefine/>
    <w:qFormat/>
    <w:uiPriority w:val="0"/>
    <w:rPr>
      <w:szCs w:val="20"/>
    </w:rPr>
  </w:style>
  <w:style w:type="paragraph" w:customStyle="1" w:styleId="2840">
    <w:name w:val="样式 标题 3 + 小四 行距: 1.5 倍行距"/>
    <w:basedOn w:val="5"/>
    <w:autoRedefine/>
    <w:qFormat/>
    <w:uiPriority w:val="0"/>
    <w:pPr>
      <w:tabs>
        <w:tab w:val="left" w:pos="720"/>
      </w:tabs>
      <w:spacing w:before="0" w:after="0" w:line="360" w:lineRule="auto"/>
      <w:ind w:left="720" w:hanging="720"/>
    </w:pPr>
    <w:rPr>
      <w:b w:val="0"/>
      <w:bCs w:val="0"/>
      <w:snapToGrid w:val="0"/>
      <w:color w:val="000000"/>
      <w:kern w:val="0"/>
      <w:sz w:val="28"/>
      <w:szCs w:val="20"/>
      <w:lang w:val="en-US"/>
    </w:rPr>
  </w:style>
  <w:style w:type="paragraph" w:customStyle="1" w:styleId="2841">
    <w:name w:val="Char25"/>
    <w:basedOn w:val="1"/>
    <w:autoRedefine/>
    <w:qFormat/>
    <w:uiPriority w:val="0"/>
    <w:pPr>
      <w:adjustRightInd w:val="0"/>
      <w:snapToGrid w:val="0"/>
      <w:spacing w:beforeLines="50" w:line="360" w:lineRule="auto"/>
    </w:pPr>
    <w:rPr>
      <w:rFonts w:ascii="黑体" w:eastAsia="黑体"/>
      <w:sz w:val="32"/>
      <w:szCs w:val="32"/>
    </w:rPr>
  </w:style>
  <w:style w:type="paragraph" w:customStyle="1" w:styleId="2842">
    <w:name w:val="图题注1"/>
    <w:basedOn w:val="22"/>
    <w:autoRedefine/>
    <w:qFormat/>
    <w:uiPriority w:val="0"/>
    <w:pPr>
      <w:widowControl w:val="0"/>
      <w:spacing w:after="0" w:line="240" w:lineRule="auto"/>
      <w:ind w:left="0" w:right="0" w:firstLine="0"/>
      <w:jc w:val="center"/>
    </w:pPr>
    <w:rPr>
      <w:rFonts w:ascii="黑体" w:hAnsi="Arial" w:cs="宋体"/>
      <w:b/>
      <w:bCs/>
      <w:color w:val="auto"/>
      <w:sz w:val="24"/>
      <w:szCs w:val="24"/>
    </w:rPr>
  </w:style>
  <w:style w:type="paragraph" w:customStyle="1" w:styleId="2843">
    <w:name w:val="9css2"/>
    <w:basedOn w:val="1"/>
    <w:autoRedefine/>
    <w:qFormat/>
    <w:uiPriority w:val="34"/>
    <w:pPr>
      <w:widowControl/>
      <w:spacing w:before="100" w:beforeAutospacing="1" w:after="100" w:afterAutospacing="1" w:line="240" w:lineRule="atLeast"/>
      <w:jc w:val="left"/>
    </w:pPr>
    <w:rPr>
      <w:rFonts w:ascii="宋体" w:hAnsi="宋体"/>
      <w:color w:val="000000"/>
      <w:kern w:val="0"/>
      <w:sz w:val="18"/>
      <w:szCs w:val="18"/>
    </w:rPr>
  </w:style>
  <w:style w:type="paragraph" w:customStyle="1" w:styleId="2844">
    <w:name w:val="燕山正文14"/>
    <w:basedOn w:val="1"/>
    <w:autoRedefine/>
    <w:qFormat/>
    <w:uiPriority w:val="0"/>
    <w:pPr>
      <w:tabs>
        <w:tab w:val="left" w:pos="4680"/>
      </w:tabs>
      <w:adjustRightInd w:val="0"/>
      <w:snapToGrid w:val="0"/>
      <w:spacing w:line="480" w:lineRule="exact"/>
    </w:pPr>
    <w:rPr>
      <w:rFonts w:ascii="宋体" w:cs="宋体"/>
      <w:sz w:val="24"/>
    </w:rPr>
  </w:style>
  <w:style w:type="paragraph" w:customStyle="1" w:styleId="2845">
    <w:name w:val="表内文字小111"/>
    <w:basedOn w:val="1"/>
    <w:autoRedefine/>
    <w:qFormat/>
    <w:uiPriority w:val="0"/>
    <w:pPr>
      <w:adjustRightInd w:val="0"/>
      <w:snapToGrid w:val="0"/>
    </w:pPr>
    <w:rPr>
      <w:rFonts w:ascii="宋体" w:hAnsi="Times" w:cs="宋体"/>
      <w:szCs w:val="20"/>
    </w:rPr>
  </w:style>
  <w:style w:type="paragraph" w:customStyle="1" w:styleId="2846">
    <w:name w:val="ISO标题4"/>
    <w:autoRedefine/>
    <w:qFormat/>
    <w:uiPriority w:val="0"/>
    <w:pPr>
      <w:tabs>
        <w:tab w:val="left" w:pos="1440"/>
      </w:tabs>
      <w:ind w:left="420" w:hanging="420"/>
      <w:outlineLvl w:val="3"/>
    </w:pPr>
    <w:rPr>
      <w:rFonts w:ascii="宋体" w:hAnsi="宋体" w:eastAsia="宋体" w:cs="Times New Roman"/>
      <w:color w:val="000000"/>
      <w:sz w:val="24"/>
      <w:lang w:val="en-US" w:eastAsia="zh-CN" w:bidi="ar-SA"/>
    </w:rPr>
  </w:style>
  <w:style w:type="paragraph" w:customStyle="1" w:styleId="2847">
    <w:name w:val="注释11"/>
    <w:basedOn w:val="416"/>
    <w:next w:val="34"/>
    <w:autoRedefine/>
    <w:qFormat/>
    <w:uiPriority w:val="0"/>
    <w:pPr>
      <w:spacing w:before="120" w:after="120" w:line="240" w:lineRule="auto"/>
      <w:ind w:firstLine="200" w:firstLineChars="200"/>
    </w:pPr>
    <w:rPr>
      <w:rFonts w:ascii="宋体" w:hAnsi="Times New Roman" w:cs="宋体"/>
      <w:b w:val="0"/>
      <w:spacing w:val="0"/>
    </w:rPr>
  </w:style>
  <w:style w:type="paragraph" w:customStyle="1" w:styleId="2848">
    <w:name w:val="text-black"/>
    <w:basedOn w:val="1"/>
    <w:autoRedefine/>
    <w:qFormat/>
    <w:uiPriority w:val="34"/>
    <w:pPr>
      <w:widowControl/>
      <w:spacing w:before="100" w:beforeAutospacing="1" w:after="100" w:afterAutospacing="1" w:line="384" w:lineRule="atLeast"/>
      <w:jc w:val="left"/>
    </w:pPr>
    <w:rPr>
      <w:rFonts w:ascii="ˎ̥" w:hAnsi="ˎ̥" w:cs="宋体"/>
      <w:color w:val="000000"/>
      <w:kern w:val="0"/>
      <w:sz w:val="20"/>
      <w:szCs w:val="20"/>
    </w:rPr>
  </w:style>
  <w:style w:type="paragraph" w:customStyle="1" w:styleId="2849">
    <w:name w:val="表内54131"/>
    <w:basedOn w:val="1"/>
    <w:autoRedefine/>
    <w:qFormat/>
    <w:uiPriority w:val="0"/>
    <w:pPr>
      <w:adjustRightInd w:val="0"/>
      <w:snapToGrid w:val="0"/>
      <w:spacing w:line="300" w:lineRule="auto"/>
      <w:jc w:val="center"/>
    </w:pPr>
    <w:rPr>
      <w:rFonts w:ascii="宋体" w:hAnsi="宋体" w:cs="宋体"/>
      <w:szCs w:val="20"/>
    </w:rPr>
  </w:style>
  <w:style w:type="paragraph" w:customStyle="1" w:styleId="2850">
    <w:name w:val="Char Char7 Char Char1 Char Char Char1 Char Char Char Char Char1 Char Char Char"/>
    <w:basedOn w:val="1"/>
    <w:autoRedefine/>
    <w:qFormat/>
    <w:uiPriority w:val="0"/>
    <w:rPr>
      <w:szCs w:val="21"/>
    </w:rPr>
  </w:style>
  <w:style w:type="paragraph" w:customStyle="1" w:styleId="2851">
    <w:name w:val="Char Char Char Char Char Char Char141"/>
    <w:basedOn w:val="1"/>
    <w:autoRedefine/>
    <w:qFormat/>
    <w:uiPriority w:val="0"/>
  </w:style>
  <w:style w:type="paragraph" w:customStyle="1" w:styleId="2852">
    <w:name w:val="样式 一级 + 段前: 1 行 段后: 1 行"/>
    <w:basedOn w:val="1"/>
    <w:autoRedefine/>
    <w:qFormat/>
    <w:uiPriority w:val="39"/>
    <w:pPr>
      <w:keepNext/>
      <w:tabs>
        <w:tab w:val="left" w:pos="0"/>
      </w:tabs>
      <w:spacing w:beforeLines="100" w:line="500" w:lineRule="exact"/>
      <w:outlineLvl w:val="0"/>
    </w:pPr>
    <w:rPr>
      <w:rFonts w:eastAsia="黑体"/>
      <w:b/>
      <w:bCs/>
      <w:spacing w:val="12"/>
      <w:sz w:val="32"/>
      <w:szCs w:val="20"/>
    </w:rPr>
  </w:style>
  <w:style w:type="paragraph" w:customStyle="1" w:styleId="2853">
    <w:name w:val="正文图小四"/>
    <w:basedOn w:val="1"/>
    <w:autoRedefine/>
    <w:qFormat/>
    <w:uiPriority w:val="0"/>
    <w:pPr>
      <w:adjustRightInd w:val="0"/>
      <w:snapToGrid w:val="0"/>
      <w:jc w:val="center"/>
      <w:textAlignment w:val="baseline"/>
    </w:pPr>
    <w:rPr>
      <w:rFonts w:ascii="宋体"/>
      <w:kern w:val="0"/>
      <w:sz w:val="24"/>
    </w:rPr>
  </w:style>
  <w:style w:type="paragraph" w:customStyle="1" w:styleId="2854">
    <w:name w:val="样式 标题 4无效格式无效格式1河石管道4H4H41小小节河石管道41H42H411小小节1河石管道42...12"/>
    <w:basedOn w:val="6"/>
    <w:autoRedefine/>
    <w:qFormat/>
    <w:uiPriority w:val="0"/>
    <w:pPr>
      <w:adjustRightInd w:val="0"/>
      <w:snapToGrid w:val="0"/>
      <w:spacing w:before="0" w:after="0" w:line="360" w:lineRule="auto"/>
      <w:ind w:left="664" w:hanging="864"/>
      <w:jc w:val="left"/>
    </w:pPr>
    <w:rPr>
      <w:rFonts w:ascii="黑体" w:cs="宋体"/>
      <w:b w:val="0"/>
      <w:bCs w:val="0"/>
      <w:sz w:val="24"/>
      <w:szCs w:val="20"/>
    </w:rPr>
  </w:style>
  <w:style w:type="paragraph" w:customStyle="1" w:styleId="2855">
    <w:name w:val="表题1113"/>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2856">
    <w:name w:val="Char235"/>
    <w:basedOn w:val="1"/>
    <w:autoRedefine/>
    <w:qFormat/>
    <w:uiPriority w:val="0"/>
    <w:pPr>
      <w:ind w:left="-48"/>
    </w:pPr>
  </w:style>
  <w:style w:type="paragraph" w:customStyle="1" w:styleId="2857">
    <w:name w:val="段标题"/>
    <w:basedOn w:val="1"/>
    <w:autoRedefine/>
    <w:qFormat/>
    <w:uiPriority w:val="34"/>
    <w:pPr>
      <w:spacing w:line="360" w:lineRule="auto"/>
    </w:pPr>
    <w:rPr>
      <w:rFonts w:eastAsia="楷体_GB2312"/>
      <w:bCs/>
      <w:sz w:val="30"/>
      <w:szCs w:val="30"/>
    </w:rPr>
  </w:style>
  <w:style w:type="paragraph" w:customStyle="1" w:styleId="2858">
    <w:name w:val="表中文字31"/>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2859">
    <w:name w:val="列表4"/>
    <w:basedOn w:val="1"/>
    <w:next w:val="1"/>
    <w:autoRedefine/>
    <w:qFormat/>
    <w:uiPriority w:val="34"/>
    <w:pPr>
      <w:spacing w:line="360" w:lineRule="atLeast"/>
    </w:pPr>
    <w:rPr>
      <w:spacing w:val="5"/>
      <w:sz w:val="24"/>
      <w:szCs w:val="20"/>
    </w:rPr>
  </w:style>
  <w:style w:type="paragraph" w:customStyle="1" w:styleId="2860">
    <w:name w:val="标题zl"/>
    <w:basedOn w:val="10"/>
    <w:autoRedefine/>
    <w:qFormat/>
    <w:uiPriority w:val="34"/>
    <w:pPr>
      <w:tabs>
        <w:tab w:val="clear" w:pos="736"/>
      </w:tabs>
      <w:spacing w:line="319" w:lineRule="auto"/>
      <w:ind w:left="0" w:firstLine="0"/>
    </w:pPr>
    <w:rPr>
      <w:rFonts w:ascii="宋体" w:hAnsi="宋体"/>
      <w:b w:val="0"/>
      <w:sz w:val="28"/>
      <w:szCs w:val="24"/>
    </w:rPr>
  </w:style>
  <w:style w:type="paragraph" w:customStyle="1" w:styleId="2861">
    <w:name w:val="表内小5中12"/>
    <w:basedOn w:val="1"/>
    <w:autoRedefine/>
    <w:qFormat/>
    <w:uiPriority w:val="0"/>
    <w:pPr>
      <w:adjustRightInd w:val="0"/>
      <w:snapToGrid w:val="0"/>
      <w:jc w:val="center"/>
    </w:pPr>
    <w:rPr>
      <w:rFonts w:ascii="宋体" w:hAnsi="宋体"/>
      <w:sz w:val="18"/>
      <w:szCs w:val="20"/>
    </w:rPr>
  </w:style>
  <w:style w:type="paragraph" w:customStyle="1" w:styleId="2862">
    <w:name w:val="xl631"/>
    <w:basedOn w:val="1"/>
    <w:autoRedefine/>
    <w:qFormat/>
    <w:uiPriority w:val="0"/>
    <w:pPr>
      <w:widowControl/>
      <w:spacing w:before="100" w:beforeAutospacing="1" w:after="100" w:afterAutospacing="1"/>
      <w:jc w:val="center"/>
      <w:textAlignment w:val="center"/>
    </w:pPr>
    <w:rPr>
      <w:rFonts w:hint="eastAsia" w:ascii="黑体" w:hAnsi="宋体" w:eastAsia="黑体"/>
      <w:kern w:val="0"/>
      <w:sz w:val="24"/>
    </w:rPr>
  </w:style>
  <w:style w:type="paragraph" w:customStyle="1" w:styleId="2863">
    <w:name w:val="表内宋5中6"/>
    <w:basedOn w:val="1"/>
    <w:autoRedefine/>
    <w:qFormat/>
    <w:uiPriority w:val="0"/>
    <w:pPr>
      <w:adjustRightInd w:val="0"/>
      <w:snapToGrid w:val="0"/>
      <w:textAlignment w:val="baseline"/>
    </w:pPr>
    <w:rPr>
      <w:color w:val="000000"/>
      <w:kern w:val="0"/>
      <w:szCs w:val="20"/>
    </w:rPr>
  </w:style>
  <w:style w:type="paragraph" w:customStyle="1" w:styleId="2864">
    <w:name w:val="图表五号"/>
    <w:basedOn w:val="1"/>
    <w:autoRedefine/>
    <w:qFormat/>
    <w:uiPriority w:val="34"/>
    <w:pPr>
      <w:autoSpaceDE w:val="0"/>
      <w:autoSpaceDN w:val="0"/>
      <w:adjustRightInd w:val="0"/>
      <w:snapToGrid w:val="0"/>
      <w:spacing w:line="20" w:lineRule="atLeast"/>
      <w:ind w:firstLine="200" w:firstLineChars="200"/>
      <w:jc w:val="center"/>
    </w:pPr>
    <w:rPr>
      <w:rFonts w:eastAsia="仿宋_GB2312"/>
      <w:szCs w:val="20"/>
    </w:rPr>
  </w:style>
  <w:style w:type="paragraph" w:customStyle="1" w:styleId="2865">
    <w:name w:val="黑体三号32"/>
    <w:basedOn w:val="416"/>
    <w:autoRedefine/>
    <w:qFormat/>
    <w:uiPriority w:val="0"/>
    <w:pPr>
      <w:jc w:val="center"/>
    </w:pPr>
    <w:rPr>
      <w:rFonts w:ascii="黑体" w:hAnsi="宋体" w:eastAsia="黑体" w:cs="宋体"/>
      <w:bCs/>
      <w:spacing w:val="0"/>
      <w:sz w:val="32"/>
    </w:rPr>
  </w:style>
  <w:style w:type="paragraph" w:customStyle="1" w:styleId="2866">
    <w:name w:val="图题213"/>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2867">
    <w:name w:val="图题61"/>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2868">
    <w:name w:val="Char Char2 Char Char Char Char"/>
    <w:basedOn w:val="1"/>
    <w:autoRedefine/>
    <w:qFormat/>
    <w:uiPriority w:val="0"/>
  </w:style>
  <w:style w:type="paragraph" w:customStyle="1" w:styleId="2869">
    <w:name w:val="标题4新"/>
    <w:basedOn w:val="35"/>
    <w:autoRedefine/>
    <w:qFormat/>
    <w:uiPriority w:val="39"/>
    <w:pPr>
      <w:spacing w:after="0" w:line="560" w:lineRule="exact"/>
      <w:ind w:left="0" w:leftChars="0"/>
      <w:outlineLvl w:val="3"/>
    </w:pPr>
    <w:rPr>
      <w:bCs/>
      <w:sz w:val="28"/>
      <w:szCs w:val="24"/>
      <w:lang w:val="en-US"/>
    </w:rPr>
  </w:style>
  <w:style w:type="paragraph" w:customStyle="1" w:styleId="2870">
    <w:name w:val="表格内字体61"/>
    <w:basedOn w:val="416"/>
    <w:next w:val="416"/>
    <w:autoRedefine/>
    <w:qFormat/>
    <w:uiPriority w:val="0"/>
    <w:pPr>
      <w:spacing w:line="240" w:lineRule="auto"/>
      <w:ind w:firstLine="0"/>
      <w:jc w:val="center"/>
    </w:pPr>
    <w:rPr>
      <w:rFonts w:ascii="宋体" w:hAnsi="宋体"/>
      <w:b w:val="0"/>
      <w:spacing w:val="0"/>
      <w:szCs w:val="24"/>
    </w:rPr>
  </w:style>
  <w:style w:type="paragraph" w:customStyle="1" w:styleId="2871">
    <w:name w:val="wtext"/>
    <w:basedOn w:val="1"/>
    <w:autoRedefine/>
    <w:qFormat/>
    <w:uiPriority w:val="0"/>
    <w:pPr>
      <w:widowControl/>
      <w:spacing w:before="100" w:beforeAutospacing="1" w:after="100" w:afterAutospacing="1"/>
      <w:ind w:firstLine="480"/>
      <w:jc w:val="left"/>
    </w:pPr>
    <w:rPr>
      <w:color w:val="000000"/>
      <w:kern w:val="0"/>
      <w:sz w:val="22"/>
      <w:szCs w:val="22"/>
    </w:rPr>
  </w:style>
  <w:style w:type="paragraph" w:customStyle="1" w:styleId="2872">
    <w:name w:val="td2"/>
    <w:basedOn w:val="1"/>
    <w:autoRedefine/>
    <w:qFormat/>
    <w:uiPriority w:val="34"/>
    <w:pPr>
      <w:widowControl/>
      <w:spacing w:before="100" w:beforeAutospacing="1" w:after="100" w:afterAutospacing="1" w:line="360" w:lineRule="atLeast"/>
      <w:jc w:val="left"/>
    </w:pPr>
    <w:rPr>
      <w:rFonts w:ascii="宋体" w:hAnsi="宋体" w:cs="宋体"/>
      <w:kern w:val="0"/>
      <w:sz w:val="20"/>
      <w:szCs w:val="20"/>
    </w:rPr>
  </w:style>
  <w:style w:type="paragraph" w:customStyle="1" w:styleId="2873">
    <w:name w:val="正文.12"/>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874">
    <w:name w:val="表题115"/>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2875">
    <w:name w:val="11ft"/>
    <w:basedOn w:val="1"/>
    <w:autoRedefine/>
    <w:qFormat/>
    <w:uiPriority w:val="34"/>
    <w:pPr>
      <w:widowControl/>
      <w:spacing w:before="100" w:beforeAutospacing="1" w:after="100" w:afterAutospacing="1"/>
      <w:jc w:val="left"/>
    </w:pPr>
    <w:rPr>
      <w:rFonts w:ascii="Arial Unicode MS" w:hAnsi="Arial Unicode MS" w:eastAsia="Arial Unicode MS" w:cs="Arial Unicode MS"/>
      <w:color w:val="005680"/>
      <w:kern w:val="0"/>
      <w:sz w:val="22"/>
      <w:szCs w:val="22"/>
    </w:rPr>
  </w:style>
  <w:style w:type="paragraph" w:customStyle="1" w:styleId="2876">
    <w:name w:val="15"/>
    <w:basedOn w:val="1"/>
    <w:autoRedefine/>
    <w:qFormat/>
    <w:uiPriority w:val="0"/>
    <w:pPr>
      <w:widowControl/>
      <w:spacing w:before="100" w:beforeAutospacing="1" w:after="100" w:afterAutospacing="1"/>
      <w:jc w:val="left"/>
    </w:pPr>
    <w:rPr>
      <w:rFonts w:ascii="宋体" w:hAnsi="宋体"/>
      <w:kern w:val="0"/>
      <w:sz w:val="24"/>
    </w:rPr>
  </w:style>
  <w:style w:type="paragraph" w:customStyle="1" w:styleId="2877">
    <w:name w:val="23-47表名"/>
    <w:basedOn w:val="1"/>
    <w:autoRedefine/>
    <w:qFormat/>
    <w:uiPriority w:val="0"/>
    <w:pPr>
      <w:spacing w:afterLines="50" w:line="440" w:lineRule="exact"/>
      <w:jc w:val="center"/>
    </w:pPr>
    <w:rPr>
      <w:rFonts w:ascii="宋体" w:hAnsi="宋体"/>
      <w:b/>
      <w:sz w:val="24"/>
    </w:rPr>
  </w:style>
  <w:style w:type="paragraph" w:customStyle="1" w:styleId="2878">
    <w:name w:val="red14"/>
    <w:basedOn w:val="1"/>
    <w:autoRedefine/>
    <w:qFormat/>
    <w:uiPriority w:val="34"/>
    <w:pPr>
      <w:widowControl/>
      <w:spacing w:before="100" w:beforeAutospacing="1" w:after="100" w:afterAutospacing="1"/>
      <w:jc w:val="left"/>
    </w:pPr>
    <w:rPr>
      <w:rFonts w:ascii="宋体" w:hAnsi="宋体" w:cs="宋体"/>
      <w:b/>
      <w:bCs/>
      <w:color w:val="FF0000"/>
      <w:kern w:val="0"/>
      <w:szCs w:val="21"/>
    </w:rPr>
  </w:style>
  <w:style w:type="paragraph" w:customStyle="1" w:styleId="2879">
    <w:name w:val="表题151"/>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2880">
    <w:name w:val="正文格式61"/>
    <w:basedOn w:val="1"/>
    <w:autoRedefine/>
    <w:qFormat/>
    <w:uiPriority w:val="0"/>
    <w:pPr>
      <w:spacing w:line="360" w:lineRule="auto"/>
      <w:ind w:firstLine="482"/>
    </w:pPr>
    <w:rPr>
      <w:rFonts w:ascii="宋体" w:hAnsi="宋体"/>
      <w:sz w:val="24"/>
    </w:rPr>
  </w:style>
  <w:style w:type="paragraph" w:customStyle="1" w:styleId="2881">
    <w:name w:val="表文字523"/>
    <w:basedOn w:val="1"/>
    <w:autoRedefine/>
    <w:qFormat/>
    <w:uiPriority w:val="0"/>
    <w:pPr>
      <w:adjustRightInd w:val="0"/>
      <w:jc w:val="left"/>
      <w:textAlignment w:val="baseline"/>
    </w:pPr>
    <w:rPr>
      <w:rFonts w:ascii="宋体"/>
      <w:kern w:val="0"/>
      <w:szCs w:val="20"/>
    </w:rPr>
  </w:style>
  <w:style w:type="paragraph" w:customStyle="1" w:styleId="2882">
    <w:name w:val="正文格式＝51"/>
    <w:basedOn w:val="416"/>
    <w:next w:val="416"/>
    <w:autoRedefine/>
    <w:qFormat/>
    <w:uiPriority w:val="0"/>
    <w:rPr>
      <w:rFonts w:ascii="宋体" w:hAnsi="宋体"/>
      <w:b w:val="0"/>
      <w:spacing w:val="0"/>
      <w:sz w:val="24"/>
      <w:szCs w:val="24"/>
    </w:rPr>
  </w:style>
  <w:style w:type="paragraph" w:customStyle="1" w:styleId="2883">
    <w:name w:val="附件42"/>
    <w:basedOn w:val="3"/>
    <w:next w:val="416"/>
    <w:autoRedefine/>
    <w:qFormat/>
    <w:uiPriority w:val="0"/>
    <w:pPr>
      <w:keepLines/>
      <w:tabs>
        <w:tab w:val="left" w:pos="1566"/>
      </w:tabs>
      <w:overflowPunct/>
      <w:snapToGrid/>
      <w:spacing w:before="0" w:after="210" w:line="360" w:lineRule="auto"/>
      <w:ind w:left="0" w:firstLine="0"/>
      <w:jc w:val="left"/>
    </w:pPr>
    <w:rPr>
      <w:rFonts w:ascii="黑体" w:hAnsi="宋体"/>
      <w:color w:val="auto"/>
      <w:sz w:val="32"/>
      <w:szCs w:val="32"/>
    </w:rPr>
  </w:style>
  <w:style w:type="paragraph" w:customStyle="1" w:styleId="2884">
    <w:name w:val="Normal Indent1"/>
    <w:basedOn w:val="1"/>
    <w:autoRedefine/>
    <w:qFormat/>
    <w:uiPriority w:val="39"/>
    <w:pPr>
      <w:adjustRightInd w:val="0"/>
      <w:ind w:firstLine="420" w:firstLineChars="200"/>
      <w:textAlignment w:val="baseline"/>
    </w:pPr>
    <w:rPr>
      <w:rFonts w:hint="eastAsia" w:hAnsi="宋体"/>
      <w:sz w:val="24"/>
      <w:szCs w:val="20"/>
    </w:rPr>
  </w:style>
  <w:style w:type="paragraph" w:customStyle="1" w:styleId="2885">
    <w:name w:val="附件31"/>
    <w:basedOn w:val="3"/>
    <w:next w:val="416"/>
    <w:autoRedefine/>
    <w:qFormat/>
    <w:uiPriority w:val="0"/>
    <w:pPr>
      <w:keepLines/>
      <w:tabs>
        <w:tab w:val="left" w:pos="1566"/>
      </w:tabs>
      <w:overflowPunct/>
      <w:adjustRightInd w:val="0"/>
      <w:spacing w:before="0" w:after="120" w:line="360" w:lineRule="auto"/>
      <w:ind w:left="0" w:firstLine="0"/>
      <w:jc w:val="left"/>
    </w:pPr>
    <w:rPr>
      <w:rFonts w:ascii="黑体" w:hAnsi="宋体"/>
      <w:b w:val="0"/>
      <w:color w:val="auto"/>
      <w:sz w:val="32"/>
      <w:szCs w:val="32"/>
    </w:rPr>
  </w:style>
  <w:style w:type="paragraph" w:customStyle="1" w:styleId="2886">
    <w:name w:val="表内541"/>
    <w:basedOn w:val="1"/>
    <w:autoRedefine/>
    <w:qFormat/>
    <w:uiPriority w:val="0"/>
    <w:pPr>
      <w:adjustRightInd w:val="0"/>
      <w:snapToGrid w:val="0"/>
      <w:spacing w:line="300" w:lineRule="auto"/>
      <w:jc w:val="center"/>
    </w:pPr>
    <w:rPr>
      <w:rFonts w:ascii="宋体" w:hAnsi="宋体" w:cs="宋体"/>
      <w:szCs w:val="20"/>
    </w:rPr>
  </w:style>
  <w:style w:type="paragraph" w:customStyle="1" w:styleId="2887">
    <w:name w:val="Normal2"/>
    <w:autoRedefine/>
    <w:qFormat/>
    <w:uiPriority w:val="39"/>
    <w:pPr>
      <w:widowControl w:val="0"/>
      <w:tabs>
        <w:tab w:val="left" w:pos="567"/>
      </w:tabs>
      <w:adjustRightInd w:val="0"/>
      <w:spacing w:line="360" w:lineRule="atLeast"/>
      <w:jc w:val="both"/>
      <w:textAlignment w:val="baseline"/>
    </w:pPr>
    <w:rPr>
      <w:rFonts w:ascii="Times New Roman" w:hAnsi="Courier" w:eastAsia="PMingLiU" w:cs="Times New Roman"/>
      <w:sz w:val="24"/>
      <w:lang w:val="en-US" w:eastAsia="zh-TW" w:bidi="ar-SA"/>
    </w:rPr>
  </w:style>
  <w:style w:type="paragraph" w:customStyle="1" w:styleId="2888">
    <w:name w:val="Date2"/>
    <w:basedOn w:val="1"/>
    <w:next w:val="1"/>
    <w:autoRedefine/>
    <w:qFormat/>
    <w:uiPriority w:val="39"/>
    <w:pPr>
      <w:adjustRightInd w:val="0"/>
      <w:textAlignment w:val="baseline"/>
    </w:pPr>
    <w:rPr>
      <w:szCs w:val="20"/>
    </w:rPr>
  </w:style>
  <w:style w:type="paragraph" w:customStyle="1" w:styleId="2889">
    <w:name w:val="Body Text Indent 21"/>
    <w:basedOn w:val="1"/>
    <w:autoRedefine/>
    <w:qFormat/>
    <w:uiPriority w:val="39"/>
    <w:pPr>
      <w:adjustRightInd w:val="0"/>
      <w:spacing w:line="480" w:lineRule="atLeast"/>
      <w:ind w:firstLine="630"/>
      <w:textAlignment w:val="baseline"/>
    </w:pPr>
    <w:rPr>
      <w:rFonts w:ascii="宋体"/>
      <w:sz w:val="28"/>
      <w:szCs w:val="20"/>
    </w:rPr>
  </w:style>
  <w:style w:type="paragraph" w:customStyle="1" w:styleId="2890">
    <w:name w:val="样式41"/>
    <w:basedOn w:val="34"/>
    <w:autoRedefine/>
    <w:qFormat/>
    <w:uiPriority w:val="0"/>
    <w:pPr>
      <w:widowControl w:val="0"/>
      <w:tabs>
        <w:tab w:val="left" w:pos="1820"/>
      </w:tabs>
      <w:spacing w:before="0" w:after="0" w:line="240" w:lineRule="atLeast"/>
      <w:ind w:right="0"/>
      <w:jc w:val="center"/>
    </w:pPr>
    <w:rPr>
      <w:rFonts w:eastAsia="幼圆"/>
      <w:sz w:val="20"/>
      <w:lang w:val="en-US"/>
    </w:rPr>
  </w:style>
  <w:style w:type="paragraph" w:customStyle="1" w:styleId="2891">
    <w:name w:val="Body Text Indent 31"/>
    <w:basedOn w:val="1"/>
    <w:autoRedefine/>
    <w:qFormat/>
    <w:uiPriority w:val="39"/>
    <w:pPr>
      <w:adjustRightInd w:val="0"/>
      <w:spacing w:line="480" w:lineRule="exact"/>
      <w:ind w:firstLine="525"/>
      <w:textAlignment w:val="baseline"/>
    </w:pPr>
    <w:rPr>
      <w:rFonts w:ascii="宋体"/>
      <w:sz w:val="28"/>
      <w:szCs w:val="20"/>
    </w:rPr>
  </w:style>
  <w:style w:type="paragraph" w:customStyle="1" w:styleId="2892">
    <w:name w:val="Char Char2 Char Char Char Char31"/>
    <w:basedOn w:val="1"/>
    <w:autoRedefine/>
    <w:qFormat/>
    <w:uiPriority w:val="0"/>
  </w:style>
  <w:style w:type="paragraph" w:customStyle="1" w:styleId="2893">
    <w:name w:val="表文字5"/>
    <w:basedOn w:val="1"/>
    <w:autoRedefine/>
    <w:qFormat/>
    <w:uiPriority w:val="0"/>
    <w:pPr>
      <w:adjustRightInd w:val="0"/>
      <w:jc w:val="left"/>
      <w:textAlignment w:val="baseline"/>
    </w:pPr>
    <w:rPr>
      <w:rFonts w:ascii="宋体"/>
      <w:kern w:val="0"/>
      <w:szCs w:val="20"/>
    </w:rPr>
  </w:style>
  <w:style w:type="paragraph" w:customStyle="1" w:styleId="2894">
    <w:name w:val="正文编号小标题次"/>
    <w:basedOn w:val="1"/>
    <w:autoRedefine/>
    <w:qFormat/>
    <w:uiPriority w:val="39"/>
    <w:pPr>
      <w:widowControl/>
      <w:kinsoku w:val="0"/>
      <w:autoSpaceDE w:val="0"/>
      <w:autoSpaceDN w:val="0"/>
      <w:adjustRightInd w:val="0"/>
      <w:snapToGrid w:val="0"/>
      <w:jc w:val="center"/>
    </w:pPr>
    <w:rPr>
      <w:rFonts w:ascii="宋体" w:hAnsi="宋体"/>
      <w:spacing w:val="10"/>
      <w:kern w:val="0"/>
      <w:sz w:val="24"/>
    </w:rPr>
  </w:style>
  <w:style w:type="paragraph" w:customStyle="1" w:styleId="2895">
    <w:name w:val="燕山正文11"/>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2896">
    <w:name w:val="文本正式"/>
    <w:basedOn w:val="1"/>
    <w:autoRedefine/>
    <w:qFormat/>
    <w:uiPriority w:val="39"/>
    <w:pPr>
      <w:spacing w:line="360" w:lineRule="auto"/>
      <w:ind w:firstLine="480" w:firstLineChars="200"/>
    </w:pPr>
    <w:rPr>
      <w:sz w:val="24"/>
      <w:szCs w:val="20"/>
    </w:rPr>
  </w:style>
  <w:style w:type="paragraph" w:customStyle="1" w:styleId="2897">
    <w:name w:val="样式 标题 3 + 段前: 12 磅"/>
    <w:basedOn w:val="5"/>
    <w:autoRedefine/>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lang w:val="en-US"/>
    </w:rPr>
  </w:style>
  <w:style w:type="paragraph" w:styleId="2898">
    <w:name w:val="No Spacing"/>
    <w:autoRedefine/>
    <w:qFormat/>
    <w:uiPriority w:val="0"/>
    <w:rPr>
      <w:rFonts w:ascii="Times New Roman" w:hAnsi="Times New Roman" w:eastAsia="宋体" w:cs="Times New Roman"/>
      <w:sz w:val="22"/>
      <w:szCs w:val="22"/>
      <w:lang w:val="en-US" w:eastAsia="zh-CN" w:bidi="ar-SA"/>
    </w:rPr>
  </w:style>
  <w:style w:type="paragraph" w:customStyle="1" w:styleId="2899">
    <w:name w:val="cg1"/>
    <w:basedOn w:val="1"/>
    <w:autoRedefine/>
    <w:qFormat/>
    <w:uiPriority w:val="39"/>
    <w:pPr>
      <w:widowControl/>
      <w:spacing w:before="100" w:beforeAutospacing="1" w:after="100" w:afterAutospacing="1" w:line="330" w:lineRule="atLeast"/>
      <w:ind w:firstLine="360"/>
      <w:jc w:val="left"/>
    </w:pPr>
    <w:rPr>
      <w:rFonts w:ascii="ˎ̥" w:hAnsi="ˎ̥"/>
      <w:color w:val="000099"/>
      <w:kern w:val="0"/>
      <w:sz w:val="18"/>
      <w:szCs w:val="18"/>
    </w:rPr>
  </w:style>
  <w:style w:type="paragraph" w:customStyle="1" w:styleId="2900">
    <w:name w:val="样式 样式 宋体 + 首行缩进:  2 字符11"/>
    <w:basedOn w:val="1"/>
    <w:autoRedefine/>
    <w:qFormat/>
    <w:uiPriority w:val="0"/>
    <w:pPr>
      <w:spacing w:line="360" w:lineRule="auto"/>
      <w:ind w:firstLine="480" w:firstLineChars="200"/>
      <w:jc w:val="left"/>
    </w:pPr>
    <w:rPr>
      <w:rFonts w:ascii="宋体" w:cs="宋体"/>
      <w:sz w:val="24"/>
    </w:rPr>
  </w:style>
  <w:style w:type="paragraph" w:customStyle="1" w:styleId="2901">
    <w:name w:val="表内文字小21"/>
    <w:basedOn w:val="1"/>
    <w:autoRedefine/>
    <w:qFormat/>
    <w:uiPriority w:val="0"/>
    <w:pPr>
      <w:adjustRightInd w:val="0"/>
      <w:snapToGrid w:val="0"/>
      <w:jc w:val="center"/>
    </w:pPr>
    <w:rPr>
      <w:rFonts w:ascii="宋体" w:hAnsi="Times"/>
      <w:bCs/>
      <w:color w:val="000000"/>
      <w:szCs w:val="20"/>
    </w:rPr>
  </w:style>
  <w:style w:type="paragraph" w:customStyle="1" w:styleId="2902">
    <w:name w:val="表格文字居中"/>
    <w:basedOn w:val="86"/>
    <w:autoRedefine/>
    <w:qFormat/>
    <w:uiPriority w:val="99"/>
    <w:pPr>
      <w:tabs>
        <w:tab w:val="left" w:pos="628"/>
        <w:tab w:val="left" w:pos="1727"/>
        <w:tab w:val="left" w:pos="1884"/>
      </w:tabs>
      <w:adjustRightInd w:val="0"/>
      <w:snapToGrid w:val="0"/>
      <w:spacing w:before="100" w:beforeAutospacing="1" w:after="0"/>
      <w:ind w:left="26" w:firstLine="0" w:firstLineChars="0"/>
      <w:jc w:val="center"/>
      <w:outlineLvl w:val="0"/>
    </w:pPr>
    <w:rPr>
      <w:rFonts w:ascii="宋体" w:hAnsi="宋体"/>
      <w:sz w:val="24"/>
      <w:szCs w:val="28"/>
    </w:rPr>
  </w:style>
  <w:style w:type="paragraph" w:customStyle="1" w:styleId="2903">
    <w:name w:val="标准1"/>
    <w:basedOn w:val="1"/>
    <w:autoRedefine/>
    <w:qFormat/>
    <w:uiPriority w:val="0"/>
    <w:pPr>
      <w:adjustRightInd w:val="0"/>
      <w:spacing w:before="120" w:line="336" w:lineRule="auto"/>
      <w:jc w:val="center"/>
      <w:textAlignment w:val="baseline"/>
    </w:pPr>
    <w:rPr>
      <w:rFonts w:ascii="黑体" w:eastAsia="黑体"/>
      <w:szCs w:val="20"/>
    </w:rPr>
  </w:style>
  <w:style w:type="paragraph" w:customStyle="1" w:styleId="2904">
    <w:name w:val="样式 标题 3 + 段前: 6 磅 段后: 6 磅 行距: 多倍行距 1.73 字行"/>
    <w:basedOn w:val="5"/>
    <w:autoRedefine/>
    <w:qFormat/>
    <w:uiPriority w:val="39"/>
    <w:pPr>
      <w:spacing w:before="120" w:after="120" w:line="415" w:lineRule="auto"/>
    </w:pPr>
    <w:rPr>
      <w:rFonts w:cs="宋体"/>
      <w:kern w:val="0"/>
      <w:szCs w:val="20"/>
      <w:lang w:val="en-US"/>
    </w:rPr>
  </w:style>
  <w:style w:type="paragraph" w:customStyle="1" w:styleId="2905">
    <w:name w:val="Char Char2 Char Char Char Char Char Char4"/>
    <w:basedOn w:val="1"/>
    <w:autoRedefine/>
    <w:qFormat/>
    <w:uiPriority w:val="39"/>
    <w:pPr>
      <w:spacing w:line="480" w:lineRule="exact"/>
    </w:pPr>
    <w:rPr>
      <w:sz w:val="22"/>
    </w:rPr>
  </w:style>
  <w:style w:type="paragraph" w:customStyle="1" w:styleId="2906">
    <w:name w:val="正文格式11"/>
    <w:basedOn w:val="1"/>
    <w:autoRedefine/>
    <w:qFormat/>
    <w:uiPriority w:val="0"/>
    <w:pPr>
      <w:spacing w:line="360" w:lineRule="auto"/>
      <w:ind w:firstLine="482"/>
    </w:pPr>
    <w:rPr>
      <w:rFonts w:ascii="宋体" w:hAnsi="宋体"/>
      <w:sz w:val="24"/>
    </w:rPr>
  </w:style>
  <w:style w:type="paragraph" w:customStyle="1" w:styleId="2907">
    <w:name w:val="Fax Header1"/>
    <w:basedOn w:val="1"/>
    <w:autoRedefine/>
    <w:qFormat/>
    <w:uiPriority w:val="0"/>
    <w:pPr>
      <w:widowControl/>
      <w:spacing w:before="240" w:after="60"/>
      <w:jc w:val="left"/>
    </w:pPr>
    <w:rPr>
      <w:kern w:val="0"/>
      <w:sz w:val="20"/>
      <w:szCs w:val="20"/>
    </w:rPr>
  </w:style>
  <w:style w:type="paragraph" w:customStyle="1" w:styleId="2908">
    <w:name w:val="首行缩进:  0.99 厘米 + 首行缩进:  2 字符"/>
    <w:basedOn w:val="1"/>
    <w:autoRedefine/>
    <w:qFormat/>
    <w:uiPriority w:val="0"/>
    <w:pPr>
      <w:widowControl/>
      <w:topLinePunct/>
      <w:spacing w:line="480" w:lineRule="exact"/>
      <w:ind w:firstLine="420" w:firstLineChars="200"/>
      <w:jc w:val="center"/>
    </w:pPr>
    <w:rPr>
      <w:rFonts w:ascii="宋体" w:cs="宋体"/>
      <w:snapToGrid w:val="0"/>
      <w:color w:val="FF0000"/>
      <w:kern w:val="0"/>
      <w:szCs w:val="21"/>
    </w:rPr>
  </w:style>
  <w:style w:type="paragraph" w:customStyle="1" w:styleId="2909">
    <w:name w:val="Char Char Char Char Char Char Char Char Char1 Char Char Char Char Char Char1 Char2"/>
    <w:basedOn w:val="1"/>
    <w:autoRedefine/>
    <w:qFormat/>
    <w:uiPriority w:val="39"/>
    <w:rPr>
      <w:szCs w:val="21"/>
    </w:rPr>
  </w:style>
  <w:style w:type="paragraph" w:customStyle="1" w:styleId="2910">
    <w:name w:val="Char Char Char1 Char Char Char Char2"/>
    <w:basedOn w:val="1"/>
    <w:autoRedefine/>
    <w:qFormat/>
    <w:uiPriority w:val="39"/>
  </w:style>
  <w:style w:type="paragraph" w:customStyle="1" w:styleId="2911">
    <w:name w:val="InstÀÀll1"/>
    <w:autoRedefine/>
    <w:qFormat/>
    <w:uiPriority w:val="39"/>
    <w:pPr>
      <w:tabs>
        <w:tab w:val="left" w:pos="-720"/>
      </w:tabs>
      <w:suppressAutoHyphens/>
      <w:jc w:val="both"/>
    </w:pPr>
    <w:rPr>
      <w:rFonts w:ascii="Courier" w:hAnsi="Courier" w:eastAsia="宋体" w:cs="Times New Roman"/>
      <w:spacing w:val="-3"/>
      <w:sz w:val="24"/>
      <w:lang w:val="en-US" w:eastAsia="sv-SE" w:bidi="ar-SA"/>
    </w:rPr>
  </w:style>
  <w:style w:type="paragraph" w:customStyle="1" w:styleId="2912">
    <w:name w:val="Char71"/>
    <w:basedOn w:val="1"/>
    <w:autoRedefine/>
    <w:qFormat/>
    <w:uiPriority w:val="0"/>
    <w:pPr>
      <w:ind w:left="-48"/>
    </w:pPr>
  </w:style>
  <w:style w:type="paragraph" w:customStyle="1" w:styleId="2913">
    <w:name w:val="表中文字114"/>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2914">
    <w:name w:val="正文文本 21"/>
    <w:basedOn w:val="1"/>
    <w:autoRedefine/>
    <w:qFormat/>
    <w:uiPriority w:val="99"/>
    <w:pPr>
      <w:autoSpaceDE w:val="0"/>
      <w:autoSpaceDN w:val="0"/>
      <w:adjustRightInd w:val="0"/>
      <w:spacing w:line="360" w:lineRule="atLeast"/>
      <w:ind w:firstLine="425"/>
    </w:pPr>
    <w:rPr>
      <w:rFonts w:ascii="宋体" w:hAnsi="Tms Rmn"/>
      <w:kern w:val="0"/>
      <w:sz w:val="28"/>
      <w:szCs w:val="20"/>
    </w:rPr>
  </w:style>
  <w:style w:type="paragraph" w:customStyle="1" w:styleId="2915">
    <w:name w:val="Char Char Char Char1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916">
    <w:name w:val="正文文本缩进22"/>
    <w:basedOn w:val="1"/>
    <w:autoRedefine/>
    <w:qFormat/>
    <w:uiPriority w:val="39"/>
    <w:pPr>
      <w:spacing w:after="120" w:line="360" w:lineRule="auto"/>
      <w:ind w:left="200" w:leftChars="200" w:firstLine="200" w:firstLineChars="200"/>
    </w:pPr>
    <w:rPr>
      <w:sz w:val="24"/>
    </w:rPr>
  </w:style>
  <w:style w:type="paragraph" w:customStyle="1" w:styleId="2917">
    <w:name w:val="表内5中11"/>
    <w:basedOn w:val="1"/>
    <w:autoRedefine/>
    <w:qFormat/>
    <w:uiPriority w:val="0"/>
    <w:pPr>
      <w:adjustRightInd w:val="0"/>
      <w:snapToGrid w:val="0"/>
      <w:jc w:val="center"/>
    </w:pPr>
    <w:rPr>
      <w:rFonts w:ascii="宋体" w:hAnsi="宋体" w:cs="Arial"/>
      <w:snapToGrid w:val="0"/>
      <w:color w:val="000000"/>
      <w:szCs w:val="21"/>
    </w:rPr>
  </w:style>
  <w:style w:type="paragraph" w:customStyle="1" w:styleId="2918">
    <w:name w:val="正文23"/>
    <w:autoRedefine/>
    <w:qFormat/>
    <w:uiPriority w:val="0"/>
    <w:pPr>
      <w:widowControl w:val="0"/>
      <w:adjustRightInd w:val="0"/>
      <w:spacing w:line="360" w:lineRule="atLeast"/>
    </w:pPr>
    <w:rPr>
      <w:rFonts w:ascii="宋体" w:hAnsi="Times New Roman" w:eastAsia="宋体" w:cs="Times New Roman"/>
      <w:sz w:val="24"/>
      <w:lang w:val="en-US" w:eastAsia="zh-CN" w:bidi="ar-SA"/>
    </w:rPr>
  </w:style>
  <w:style w:type="paragraph" w:customStyle="1" w:styleId="2919">
    <w:name w:val="23-47表名2"/>
    <w:basedOn w:val="1"/>
    <w:autoRedefine/>
    <w:qFormat/>
    <w:uiPriority w:val="0"/>
    <w:pPr>
      <w:spacing w:afterLines="50" w:line="440" w:lineRule="exact"/>
      <w:jc w:val="center"/>
    </w:pPr>
    <w:rPr>
      <w:rFonts w:ascii="宋体" w:hAnsi="宋体"/>
      <w:b/>
      <w:sz w:val="24"/>
    </w:rPr>
  </w:style>
  <w:style w:type="paragraph" w:customStyle="1" w:styleId="2920">
    <w:name w:val="表内宋5"/>
    <w:basedOn w:val="1718"/>
    <w:autoRedefine/>
    <w:qFormat/>
    <w:uiPriority w:val="0"/>
    <w:pPr>
      <w:widowControl/>
      <w:autoSpaceDE w:val="0"/>
      <w:autoSpaceDN w:val="0"/>
      <w:jc w:val="left"/>
      <w:textAlignment w:val="auto"/>
    </w:pPr>
    <w:rPr>
      <w:color w:val="auto"/>
      <w:w w:val="90"/>
    </w:rPr>
  </w:style>
  <w:style w:type="paragraph" w:customStyle="1" w:styleId="2921">
    <w:name w:val="纯文本22"/>
    <w:basedOn w:val="1"/>
    <w:autoRedefine/>
    <w:qFormat/>
    <w:uiPriority w:val="39"/>
    <w:pPr>
      <w:adjustRightInd w:val="0"/>
    </w:pPr>
    <w:rPr>
      <w:rFonts w:ascii="宋体" w:hAnsi="Courier New"/>
      <w:szCs w:val="20"/>
    </w:rPr>
  </w:style>
  <w:style w:type="paragraph" w:customStyle="1" w:styleId="2922">
    <w:name w:val="正文格式12"/>
    <w:basedOn w:val="1"/>
    <w:autoRedefine/>
    <w:qFormat/>
    <w:uiPriority w:val="0"/>
    <w:pPr>
      <w:spacing w:line="360" w:lineRule="auto"/>
      <w:ind w:firstLine="482"/>
    </w:pPr>
    <w:rPr>
      <w:rFonts w:ascii="宋体" w:hAnsi="宋体"/>
      <w:sz w:val="24"/>
    </w:rPr>
  </w:style>
  <w:style w:type="paragraph" w:customStyle="1" w:styleId="2923">
    <w:name w:val="正文21"/>
    <w:basedOn w:val="1"/>
    <w:autoRedefine/>
    <w:qFormat/>
    <w:uiPriority w:val="0"/>
    <w:pPr>
      <w:spacing w:line="220" w:lineRule="exact"/>
    </w:pPr>
    <w:rPr>
      <w:rFonts w:hAnsi="宋体" w:eastAsia="仿宋_GB2312"/>
    </w:rPr>
  </w:style>
  <w:style w:type="paragraph" w:customStyle="1" w:styleId="2924">
    <w:name w:val="默认段落字体 Para Char Char Char Char1"/>
    <w:basedOn w:val="1"/>
    <w:autoRedefine/>
    <w:qFormat/>
    <w:uiPriority w:val="0"/>
  </w:style>
  <w:style w:type="paragraph" w:customStyle="1" w:styleId="2925">
    <w:name w:val="Char1 Char Char Char Char Char Char"/>
    <w:basedOn w:val="1"/>
    <w:autoRedefine/>
    <w:qFormat/>
    <w:uiPriority w:val="0"/>
    <w:rPr>
      <w:sz w:val="24"/>
    </w:rPr>
  </w:style>
  <w:style w:type="paragraph" w:customStyle="1" w:styleId="2926">
    <w:name w:val="Char Char Char Char Char Char Char11"/>
    <w:basedOn w:val="1"/>
    <w:autoRedefine/>
    <w:qFormat/>
    <w:uiPriority w:val="0"/>
  </w:style>
  <w:style w:type="paragraph" w:customStyle="1" w:styleId="2927">
    <w:name w:val="InstÀÀll2"/>
    <w:autoRedefine/>
    <w:qFormat/>
    <w:uiPriority w:val="39"/>
    <w:pPr>
      <w:tabs>
        <w:tab w:val="left" w:pos="-720"/>
      </w:tabs>
      <w:suppressAutoHyphens/>
      <w:jc w:val="both"/>
    </w:pPr>
    <w:rPr>
      <w:rFonts w:ascii="Courier" w:hAnsi="Courier" w:eastAsia="宋体" w:cs="Times New Roman"/>
      <w:spacing w:val="-3"/>
      <w:sz w:val="24"/>
      <w:lang w:val="en-US" w:eastAsia="sv-SE" w:bidi="ar-SA"/>
    </w:rPr>
  </w:style>
  <w:style w:type="paragraph" w:customStyle="1" w:styleId="2928">
    <w:name w:val="黑体三号1"/>
    <w:basedOn w:val="416"/>
    <w:autoRedefine/>
    <w:qFormat/>
    <w:uiPriority w:val="0"/>
    <w:pPr>
      <w:jc w:val="center"/>
    </w:pPr>
    <w:rPr>
      <w:rFonts w:ascii="黑体" w:hAnsi="宋体" w:eastAsia="黑体" w:cs="宋体"/>
      <w:bCs/>
      <w:spacing w:val="0"/>
      <w:sz w:val="32"/>
    </w:rPr>
  </w:style>
  <w:style w:type="paragraph" w:customStyle="1" w:styleId="2929">
    <w:name w:val="正文文本 22"/>
    <w:basedOn w:val="1"/>
    <w:autoRedefine/>
    <w:qFormat/>
    <w:uiPriority w:val="39"/>
    <w:pPr>
      <w:autoSpaceDE w:val="0"/>
      <w:autoSpaceDN w:val="0"/>
      <w:adjustRightInd w:val="0"/>
      <w:spacing w:line="360" w:lineRule="atLeast"/>
      <w:ind w:firstLine="425"/>
    </w:pPr>
    <w:rPr>
      <w:rFonts w:ascii="宋体" w:hAnsi="Tms Rmn"/>
      <w:kern w:val="0"/>
      <w:sz w:val="28"/>
      <w:szCs w:val="20"/>
    </w:rPr>
  </w:style>
  <w:style w:type="paragraph" w:customStyle="1" w:styleId="2930">
    <w:name w:val="正文格式82"/>
    <w:basedOn w:val="1"/>
    <w:autoRedefine/>
    <w:qFormat/>
    <w:uiPriority w:val="0"/>
    <w:pPr>
      <w:spacing w:line="360" w:lineRule="auto"/>
      <w:ind w:firstLine="482"/>
    </w:pPr>
    <w:rPr>
      <w:rFonts w:ascii="宋体" w:hAnsi="宋体"/>
      <w:sz w:val="24"/>
    </w:rPr>
  </w:style>
  <w:style w:type="paragraph" w:customStyle="1" w:styleId="2931">
    <w:name w:val="Char Char Char2"/>
    <w:basedOn w:val="1"/>
    <w:autoRedefine/>
    <w:qFormat/>
    <w:uiPriority w:val="99"/>
    <w:pPr>
      <w:widowControl/>
      <w:spacing w:after="160" w:line="240" w:lineRule="exact"/>
      <w:jc w:val="left"/>
    </w:pPr>
    <w:rPr>
      <w:rFonts w:ascii="Verdana" w:hAnsi="Verdana"/>
      <w:kern w:val="0"/>
      <w:sz w:val="20"/>
      <w:szCs w:val="20"/>
      <w:lang w:eastAsia="en-US"/>
    </w:rPr>
  </w:style>
  <w:style w:type="paragraph" w:customStyle="1" w:styleId="2932">
    <w:name w:val="燕山正文11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933">
    <w:name w:val="正文文本缩进3"/>
    <w:basedOn w:val="1"/>
    <w:autoRedefine/>
    <w:qFormat/>
    <w:uiPriority w:val="39"/>
    <w:pPr>
      <w:spacing w:after="120" w:line="360" w:lineRule="auto"/>
      <w:ind w:left="200" w:leftChars="200" w:firstLine="200" w:firstLineChars="200"/>
    </w:pPr>
    <w:rPr>
      <w:sz w:val="24"/>
    </w:rPr>
  </w:style>
  <w:style w:type="paragraph" w:customStyle="1" w:styleId="2934">
    <w:name w:val="正文格式＝8"/>
    <w:basedOn w:val="416"/>
    <w:next w:val="416"/>
    <w:autoRedefine/>
    <w:qFormat/>
    <w:uiPriority w:val="0"/>
    <w:rPr>
      <w:rFonts w:ascii="宋体" w:hAnsi="宋体"/>
      <w:b w:val="0"/>
      <w:spacing w:val="0"/>
      <w:sz w:val="24"/>
      <w:szCs w:val="24"/>
    </w:rPr>
  </w:style>
  <w:style w:type="paragraph" w:customStyle="1" w:styleId="2935">
    <w:name w:val="图题2"/>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2936">
    <w:name w:val="Char Char Char Char Char Char Char Char Char1 Char Char Char Char1"/>
    <w:basedOn w:val="1"/>
    <w:autoRedefine/>
    <w:qFormat/>
    <w:uiPriority w:val="0"/>
    <w:rPr>
      <w:rFonts w:eastAsia="黑体"/>
      <w:b/>
      <w:szCs w:val="20"/>
    </w:rPr>
  </w:style>
  <w:style w:type="paragraph" w:customStyle="1" w:styleId="2937">
    <w:name w:val="默认段落字体 Para Char Char Char Char Char"/>
    <w:basedOn w:val="1"/>
    <w:autoRedefine/>
    <w:qFormat/>
    <w:uiPriority w:val="0"/>
  </w:style>
  <w:style w:type="paragraph" w:customStyle="1" w:styleId="2938">
    <w:name w:val="Char Char2 Char Char Char Char Char Char1"/>
    <w:basedOn w:val="1"/>
    <w:autoRedefine/>
    <w:qFormat/>
    <w:uiPriority w:val="39"/>
    <w:pPr>
      <w:spacing w:line="480" w:lineRule="exact"/>
    </w:pPr>
    <w:rPr>
      <w:sz w:val="22"/>
    </w:rPr>
  </w:style>
  <w:style w:type="paragraph" w:customStyle="1" w:styleId="2939">
    <w:name w:val="标题4314"/>
    <w:basedOn w:val="1"/>
    <w:autoRedefine/>
    <w:qFormat/>
    <w:uiPriority w:val="0"/>
    <w:pPr>
      <w:adjustRightInd w:val="0"/>
      <w:snapToGrid w:val="0"/>
      <w:spacing w:line="480" w:lineRule="exact"/>
      <w:jc w:val="center"/>
    </w:pPr>
    <w:rPr>
      <w:rFonts w:ascii="宋体" w:hAnsi="宋体" w:cs="宋体"/>
      <w:sz w:val="24"/>
    </w:rPr>
  </w:style>
  <w:style w:type="paragraph" w:customStyle="1" w:styleId="2940">
    <w:name w:val="正文4"/>
    <w:autoRedefine/>
    <w:qFormat/>
    <w:uiPriority w:val="39"/>
    <w:pPr>
      <w:widowControl w:val="0"/>
      <w:adjustRightInd w:val="0"/>
      <w:spacing w:line="360" w:lineRule="atLeast"/>
    </w:pPr>
    <w:rPr>
      <w:rFonts w:ascii="宋体" w:hAnsi="Times New Roman" w:eastAsia="宋体" w:cs="Times New Roman"/>
      <w:sz w:val="24"/>
      <w:lang w:val="en-US" w:eastAsia="zh-CN" w:bidi="ar-SA"/>
    </w:rPr>
  </w:style>
  <w:style w:type="paragraph" w:customStyle="1" w:styleId="2941">
    <w:name w:val="xl242"/>
    <w:basedOn w:val="1"/>
    <w:autoRedefine/>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2942">
    <w:name w:val="纯文本3"/>
    <w:basedOn w:val="1"/>
    <w:autoRedefine/>
    <w:qFormat/>
    <w:uiPriority w:val="39"/>
    <w:pPr>
      <w:adjustRightInd w:val="0"/>
    </w:pPr>
    <w:rPr>
      <w:rFonts w:ascii="宋体" w:hAnsi="Courier New"/>
      <w:szCs w:val="20"/>
    </w:rPr>
  </w:style>
  <w:style w:type="paragraph" w:customStyle="1" w:styleId="2943">
    <w:name w:val="正文修改2"/>
    <w:basedOn w:val="192"/>
    <w:autoRedefine/>
    <w:qFormat/>
    <w:uiPriority w:val="0"/>
    <w:rPr>
      <w:rFonts w:hAnsi="宋体"/>
      <w:color w:val="000000"/>
    </w:rPr>
  </w:style>
  <w:style w:type="paragraph" w:customStyle="1" w:styleId="2944">
    <w:name w:val="Char18"/>
    <w:basedOn w:val="1"/>
    <w:autoRedefine/>
    <w:qFormat/>
    <w:uiPriority w:val="0"/>
    <w:pPr>
      <w:ind w:left="-48"/>
    </w:pPr>
  </w:style>
  <w:style w:type="paragraph" w:customStyle="1" w:styleId="2945">
    <w:name w:val="Char1 Char Char Char Char Char Char1"/>
    <w:basedOn w:val="1"/>
    <w:autoRedefine/>
    <w:qFormat/>
    <w:uiPriority w:val="39"/>
    <w:rPr>
      <w:sz w:val="24"/>
    </w:rPr>
  </w:style>
  <w:style w:type="paragraph" w:customStyle="1" w:styleId="2946">
    <w:name w:val="Char Char Char Char12"/>
    <w:basedOn w:val="1"/>
    <w:autoRedefine/>
    <w:qFormat/>
    <w:uiPriority w:val="99"/>
    <w:pPr>
      <w:widowControl/>
      <w:spacing w:after="160" w:line="240" w:lineRule="exact"/>
      <w:jc w:val="left"/>
    </w:pPr>
    <w:rPr>
      <w:rFonts w:ascii="Tahoma" w:hAnsi="Tahoma" w:cs="Tahoma"/>
      <w:kern w:val="0"/>
      <w:sz w:val="20"/>
      <w:szCs w:val="20"/>
      <w:lang w:eastAsia="en-US"/>
    </w:rPr>
  </w:style>
  <w:style w:type="paragraph" w:customStyle="1" w:styleId="2947">
    <w:name w:val="Char334"/>
    <w:basedOn w:val="1"/>
    <w:autoRedefine/>
    <w:qFormat/>
    <w:uiPriority w:val="0"/>
    <w:pPr>
      <w:ind w:left="-48"/>
    </w:pPr>
  </w:style>
  <w:style w:type="paragraph" w:customStyle="1" w:styleId="2948">
    <w:name w:val="InstÀÀll3"/>
    <w:autoRedefine/>
    <w:qFormat/>
    <w:uiPriority w:val="39"/>
    <w:pPr>
      <w:tabs>
        <w:tab w:val="left" w:pos="-720"/>
      </w:tabs>
      <w:suppressAutoHyphens/>
      <w:jc w:val="both"/>
    </w:pPr>
    <w:rPr>
      <w:rFonts w:ascii="Courier" w:hAnsi="Courier" w:eastAsia="宋体" w:cs="Times New Roman"/>
      <w:spacing w:val="-3"/>
      <w:sz w:val="24"/>
      <w:lang w:val="en-US" w:eastAsia="sv-SE" w:bidi="ar-SA"/>
    </w:rPr>
  </w:style>
  <w:style w:type="paragraph" w:customStyle="1" w:styleId="2949">
    <w:name w:val="表题12"/>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2950">
    <w:name w:val="正文文本缩进4"/>
    <w:basedOn w:val="1"/>
    <w:autoRedefine/>
    <w:qFormat/>
    <w:uiPriority w:val="39"/>
    <w:pPr>
      <w:spacing w:after="120" w:line="360" w:lineRule="auto"/>
      <w:ind w:left="200" w:leftChars="200" w:firstLine="200" w:firstLineChars="200"/>
    </w:pPr>
    <w:rPr>
      <w:sz w:val="24"/>
    </w:rPr>
  </w:style>
  <w:style w:type="paragraph" w:customStyle="1" w:styleId="2951">
    <w:name w:val="Char Char Char Char Char Char Char Char Char1 Char Char Char Char2"/>
    <w:basedOn w:val="1"/>
    <w:autoRedefine/>
    <w:qFormat/>
    <w:uiPriority w:val="39"/>
    <w:rPr>
      <w:rFonts w:eastAsia="黑体"/>
      <w:b/>
      <w:szCs w:val="20"/>
    </w:rPr>
  </w:style>
  <w:style w:type="paragraph" w:customStyle="1" w:styleId="2952">
    <w:name w:val="正文.3"/>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953">
    <w:name w:val="表2"/>
    <w:basedOn w:val="1"/>
    <w:autoRedefine/>
    <w:qFormat/>
    <w:uiPriority w:val="0"/>
    <w:pPr>
      <w:adjustRightInd w:val="0"/>
      <w:snapToGrid w:val="0"/>
      <w:jc w:val="center"/>
    </w:pPr>
    <w:rPr>
      <w:rFonts w:eastAsia="仿宋_GB2312"/>
      <w:sz w:val="24"/>
    </w:rPr>
  </w:style>
  <w:style w:type="paragraph" w:customStyle="1" w:styleId="2954">
    <w:name w:val="正文文本 23"/>
    <w:basedOn w:val="1"/>
    <w:autoRedefine/>
    <w:qFormat/>
    <w:uiPriority w:val="39"/>
    <w:pPr>
      <w:autoSpaceDE w:val="0"/>
      <w:autoSpaceDN w:val="0"/>
      <w:adjustRightInd w:val="0"/>
      <w:spacing w:line="360" w:lineRule="atLeast"/>
      <w:ind w:firstLine="425"/>
    </w:pPr>
    <w:rPr>
      <w:rFonts w:ascii="宋体" w:hAnsi="Tms Rmn"/>
      <w:kern w:val="0"/>
      <w:sz w:val="28"/>
      <w:szCs w:val="20"/>
    </w:rPr>
  </w:style>
  <w:style w:type="paragraph" w:customStyle="1" w:styleId="2955">
    <w:name w:val="表格内字体21"/>
    <w:basedOn w:val="416"/>
    <w:next w:val="416"/>
    <w:autoRedefine/>
    <w:qFormat/>
    <w:uiPriority w:val="0"/>
    <w:pPr>
      <w:adjustRightInd w:val="0"/>
      <w:snapToGrid w:val="0"/>
      <w:spacing w:line="240" w:lineRule="auto"/>
      <w:ind w:firstLine="0"/>
      <w:jc w:val="center"/>
    </w:pPr>
    <w:rPr>
      <w:rFonts w:ascii="宋体" w:hAnsi="宋体"/>
      <w:b w:val="0"/>
      <w:spacing w:val="0"/>
      <w:szCs w:val="24"/>
    </w:rPr>
  </w:style>
  <w:style w:type="paragraph" w:customStyle="1" w:styleId="2956">
    <w:name w:val="表内文字小215"/>
    <w:basedOn w:val="1"/>
    <w:autoRedefine/>
    <w:qFormat/>
    <w:uiPriority w:val="0"/>
    <w:pPr>
      <w:adjustRightInd w:val="0"/>
      <w:snapToGrid w:val="0"/>
      <w:jc w:val="center"/>
    </w:pPr>
    <w:rPr>
      <w:rFonts w:ascii="宋体" w:hAnsi="Times"/>
      <w:bCs/>
      <w:color w:val="000000"/>
      <w:szCs w:val="20"/>
    </w:rPr>
  </w:style>
  <w:style w:type="paragraph" w:customStyle="1" w:styleId="2957">
    <w:name w:val="表格内字体4"/>
    <w:basedOn w:val="416"/>
    <w:next w:val="416"/>
    <w:autoRedefine/>
    <w:qFormat/>
    <w:uiPriority w:val="0"/>
    <w:pPr>
      <w:spacing w:line="240" w:lineRule="auto"/>
      <w:ind w:firstLine="0"/>
      <w:jc w:val="center"/>
    </w:pPr>
    <w:rPr>
      <w:rFonts w:ascii="宋体" w:hAnsi="宋体"/>
      <w:b w:val="0"/>
      <w:spacing w:val="0"/>
      <w:szCs w:val="24"/>
    </w:rPr>
  </w:style>
  <w:style w:type="paragraph" w:customStyle="1" w:styleId="2958">
    <w:name w:val="Char Char2 Char Char Char Char Char Char2"/>
    <w:basedOn w:val="1"/>
    <w:autoRedefine/>
    <w:qFormat/>
    <w:uiPriority w:val="39"/>
    <w:pPr>
      <w:spacing w:line="480" w:lineRule="exact"/>
    </w:pPr>
    <w:rPr>
      <w:sz w:val="22"/>
    </w:rPr>
  </w:style>
  <w:style w:type="paragraph" w:customStyle="1" w:styleId="2959">
    <w:name w:val="正文5"/>
    <w:autoRedefine/>
    <w:qFormat/>
    <w:uiPriority w:val="39"/>
    <w:pPr>
      <w:widowControl w:val="0"/>
      <w:adjustRightInd w:val="0"/>
      <w:spacing w:line="360" w:lineRule="atLeast"/>
    </w:pPr>
    <w:rPr>
      <w:rFonts w:ascii="宋体" w:hAnsi="Times New Roman" w:eastAsia="宋体" w:cs="Times New Roman"/>
      <w:sz w:val="24"/>
      <w:lang w:val="en-US" w:eastAsia="zh-CN" w:bidi="ar-SA"/>
    </w:rPr>
  </w:style>
  <w:style w:type="paragraph" w:customStyle="1" w:styleId="2960">
    <w:name w:val="表中文字2"/>
    <w:basedOn w:val="1"/>
    <w:autoRedefine/>
    <w:qFormat/>
    <w:uiPriority w:val="0"/>
    <w:pPr>
      <w:widowControl/>
      <w:adjustRightInd w:val="0"/>
      <w:spacing w:line="240" w:lineRule="atLeast"/>
      <w:ind w:right="-42" w:rightChars="-20"/>
      <w:jc w:val="center"/>
      <w:textAlignment w:val="baseline"/>
    </w:pPr>
    <w:rPr>
      <w:rFonts w:ascii="宋体"/>
      <w:kern w:val="0"/>
      <w:szCs w:val="21"/>
    </w:rPr>
  </w:style>
  <w:style w:type="paragraph" w:customStyle="1" w:styleId="2961">
    <w:name w:val="纯文本4"/>
    <w:basedOn w:val="1"/>
    <w:autoRedefine/>
    <w:qFormat/>
    <w:uiPriority w:val="39"/>
    <w:pPr>
      <w:adjustRightInd w:val="0"/>
    </w:pPr>
    <w:rPr>
      <w:rFonts w:ascii="宋体" w:hAnsi="Courier New"/>
      <w:szCs w:val="20"/>
    </w:rPr>
  </w:style>
  <w:style w:type="paragraph" w:customStyle="1" w:styleId="2962">
    <w:name w:val="Char20"/>
    <w:basedOn w:val="1"/>
    <w:autoRedefine/>
    <w:qFormat/>
    <w:uiPriority w:val="0"/>
    <w:pPr>
      <w:ind w:left="-48"/>
    </w:pPr>
  </w:style>
  <w:style w:type="paragraph" w:customStyle="1" w:styleId="2963">
    <w:name w:val="表内文字小312"/>
    <w:basedOn w:val="1"/>
    <w:autoRedefine/>
    <w:qFormat/>
    <w:uiPriority w:val="0"/>
    <w:pPr>
      <w:adjustRightInd w:val="0"/>
      <w:snapToGrid w:val="0"/>
      <w:jc w:val="center"/>
    </w:pPr>
    <w:rPr>
      <w:rFonts w:ascii="宋体" w:hAnsi="Times" w:cs="宋体"/>
      <w:bCs/>
      <w:color w:val="003366"/>
      <w:szCs w:val="20"/>
    </w:rPr>
  </w:style>
  <w:style w:type="paragraph" w:customStyle="1" w:styleId="2964">
    <w:name w:val="Char Char Char Char2"/>
    <w:basedOn w:val="1"/>
    <w:autoRedefine/>
    <w:qFormat/>
    <w:uiPriority w:val="99"/>
    <w:pPr>
      <w:widowControl/>
      <w:spacing w:after="160" w:line="240" w:lineRule="exact"/>
      <w:jc w:val="left"/>
    </w:pPr>
    <w:rPr>
      <w:rFonts w:ascii="Tahoma" w:hAnsi="Tahoma" w:cs="Tahoma"/>
      <w:kern w:val="0"/>
      <w:sz w:val="20"/>
      <w:szCs w:val="20"/>
      <w:lang w:eastAsia="en-US"/>
    </w:rPr>
  </w:style>
  <w:style w:type="paragraph" w:customStyle="1" w:styleId="2965">
    <w:name w:val="表33"/>
    <w:basedOn w:val="1"/>
    <w:autoRedefine/>
    <w:qFormat/>
    <w:uiPriority w:val="0"/>
    <w:pPr>
      <w:adjustRightInd w:val="0"/>
      <w:snapToGrid w:val="0"/>
      <w:jc w:val="center"/>
    </w:pPr>
    <w:rPr>
      <w:rFonts w:eastAsia="仿宋_GB2312"/>
      <w:sz w:val="24"/>
    </w:rPr>
  </w:style>
  <w:style w:type="paragraph" w:customStyle="1" w:styleId="2966">
    <w:name w:val="222"/>
    <w:basedOn w:val="1"/>
    <w:autoRedefine/>
    <w:qFormat/>
    <w:uiPriority w:val="34"/>
    <w:pPr>
      <w:spacing w:beforeLines="50" w:after="160"/>
      <w:jc w:val="center"/>
    </w:pPr>
    <w:rPr>
      <w:rFonts w:ascii="宋体" w:hAnsi="宋体"/>
      <w:b/>
      <w:bCs/>
      <w:sz w:val="44"/>
      <w:szCs w:val="36"/>
    </w:rPr>
  </w:style>
  <w:style w:type="paragraph" w:customStyle="1" w:styleId="2967">
    <w:name w:val="表中文字3"/>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2968">
    <w:name w:val="tt1"/>
    <w:basedOn w:val="1"/>
    <w:autoRedefine/>
    <w:qFormat/>
    <w:uiPriority w:val="34"/>
    <w:pPr>
      <w:widowControl/>
      <w:spacing w:before="100" w:beforeAutospacing="1" w:after="100" w:afterAutospacing="1"/>
      <w:jc w:val="left"/>
    </w:pPr>
    <w:rPr>
      <w:rFonts w:ascii="Arial Unicode MS" w:hAnsi="Arial Unicode MS" w:eastAsia="Arial Unicode MS"/>
      <w:kern w:val="0"/>
      <w:sz w:val="24"/>
    </w:rPr>
  </w:style>
  <w:style w:type="paragraph" w:customStyle="1" w:styleId="2969">
    <w:name w:val="样式 宋体 小四 行距: 固定值 25 磅"/>
    <w:basedOn w:val="1"/>
    <w:autoRedefine/>
    <w:qFormat/>
    <w:uiPriority w:val="39"/>
    <w:pPr>
      <w:spacing w:line="500" w:lineRule="exact"/>
      <w:ind w:firstLine="480" w:firstLineChars="200"/>
    </w:pPr>
    <w:rPr>
      <w:rFonts w:ascii="宋体" w:hAnsi="宋体" w:eastAsia="仿宋_GB2312"/>
      <w:sz w:val="24"/>
      <w:szCs w:val="20"/>
    </w:rPr>
  </w:style>
  <w:style w:type="paragraph" w:customStyle="1" w:styleId="2970">
    <w:name w:val="正文格式4"/>
    <w:basedOn w:val="1"/>
    <w:autoRedefine/>
    <w:qFormat/>
    <w:uiPriority w:val="0"/>
    <w:pPr>
      <w:spacing w:line="360" w:lineRule="auto"/>
      <w:ind w:firstLine="482"/>
    </w:pPr>
    <w:rPr>
      <w:rFonts w:ascii="宋体" w:hAnsi="宋体"/>
      <w:sz w:val="24"/>
    </w:rPr>
  </w:style>
  <w:style w:type="paragraph" w:customStyle="1" w:styleId="2971">
    <w:name w:val="0"/>
    <w:basedOn w:val="1"/>
    <w:autoRedefine/>
    <w:qFormat/>
    <w:uiPriority w:val="39"/>
    <w:pPr>
      <w:widowControl/>
      <w:snapToGrid w:val="0"/>
    </w:pPr>
    <w:rPr>
      <w:kern w:val="0"/>
      <w:szCs w:val="21"/>
    </w:rPr>
  </w:style>
  <w:style w:type="paragraph" w:customStyle="1" w:styleId="2972">
    <w:name w:val="Char Char Char Char Char Char Char111"/>
    <w:basedOn w:val="1"/>
    <w:autoRedefine/>
    <w:qFormat/>
    <w:uiPriority w:val="0"/>
  </w:style>
  <w:style w:type="paragraph" w:customStyle="1" w:styleId="2973">
    <w:name w:val="Char Char Char Char Char Char Char12"/>
    <w:basedOn w:val="1"/>
    <w:autoRedefine/>
    <w:qFormat/>
    <w:uiPriority w:val="0"/>
    <w:rPr>
      <w:szCs w:val="20"/>
    </w:rPr>
  </w:style>
  <w:style w:type="paragraph" w:customStyle="1" w:styleId="2974">
    <w:name w:val="菲薄1"/>
    <w:basedOn w:val="1"/>
    <w:autoRedefine/>
    <w:qFormat/>
    <w:uiPriority w:val="34"/>
    <w:pPr>
      <w:spacing w:line="720" w:lineRule="exact"/>
      <w:ind w:firstLine="570"/>
    </w:pPr>
    <w:rPr>
      <w:sz w:val="28"/>
      <w:szCs w:val="28"/>
    </w:rPr>
  </w:style>
  <w:style w:type="paragraph" w:customStyle="1" w:styleId="2975">
    <w:name w:val="黑体三号2"/>
    <w:basedOn w:val="416"/>
    <w:autoRedefine/>
    <w:qFormat/>
    <w:uiPriority w:val="0"/>
    <w:pPr>
      <w:jc w:val="center"/>
    </w:pPr>
    <w:rPr>
      <w:rFonts w:ascii="黑体" w:hAnsi="宋体" w:eastAsia="黑体" w:cs="宋体"/>
      <w:bCs/>
      <w:spacing w:val="0"/>
      <w:sz w:val="32"/>
    </w:rPr>
  </w:style>
  <w:style w:type="paragraph" w:customStyle="1" w:styleId="2976">
    <w:name w:val="图"/>
    <w:basedOn w:val="9"/>
    <w:next w:val="1"/>
    <w:autoRedefine/>
    <w:qFormat/>
    <w:uiPriority w:val="39"/>
    <w:pPr>
      <w:spacing w:line="240" w:lineRule="exact"/>
      <w:ind w:firstLine="0" w:firstLineChars="0"/>
      <w:jc w:val="center"/>
    </w:pPr>
    <w:rPr>
      <w:rFonts w:ascii="宋体" w:hAnsi="宋体"/>
      <w:kern w:val="0"/>
      <w:szCs w:val="21"/>
      <w:lang w:val="en-US"/>
    </w:rPr>
  </w:style>
  <w:style w:type="paragraph" w:customStyle="1" w:styleId="2977">
    <w:name w:val="p15"/>
    <w:basedOn w:val="1"/>
    <w:autoRedefine/>
    <w:qFormat/>
    <w:uiPriority w:val="99"/>
    <w:pPr>
      <w:widowControl/>
      <w:ind w:firstLine="420"/>
    </w:pPr>
    <w:rPr>
      <w:rFonts w:cs="宋体"/>
      <w:kern w:val="0"/>
      <w:szCs w:val="21"/>
    </w:rPr>
  </w:style>
  <w:style w:type="paragraph" w:customStyle="1" w:styleId="2978">
    <w:name w:val="表内文字小22"/>
    <w:basedOn w:val="1"/>
    <w:autoRedefine/>
    <w:qFormat/>
    <w:uiPriority w:val="0"/>
    <w:pPr>
      <w:adjustRightInd w:val="0"/>
      <w:snapToGrid w:val="0"/>
      <w:jc w:val="center"/>
    </w:pPr>
    <w:rPr>
      <w:rFonts w:ascii="宋体" w:hAnsi="Times"/>
      <w:bCs/>
      <w:color w:val="000000"/>
      <w:szCs w:val="20"/>
    </w:rPr>
  </w:style>
  <w:style w:type="paragraph" w:customStyle="1" w:styleId="2979">
    <w:name w:val="图表名称2"/>
    <w:basedOn w:val="86"/>
    <w:autoRedefine/>
    <w:qFormat/>
    <w:uiPriority w:val="0"/>
    <w:pPr>
      <w:widowControl/>
      <w:adjustRightInd w:val="0"/>
      <w:snapToGrid w:val="0"/>
      <w:spacing w:after="0" w:line="480" w:lineRule="exact"/>
      <w:ind w:firstLine="0" w:firstLineChars="0"/>
      <w:jc w:val="center"/>
    </w:pPr>
    <w:rPr>
      <w:rFonts w:ascii="宋体" w:hAnsi="宋体"/>
      <w:bCs/>
      <w:sz w:val="24"/>
      <w:szCs w:val="24"/>
    </w:rPr>
  </w:style>
  <w:style w:type="paragraph" w:customStyle="1" w:styleId="2980">
    <w:name w:val="Body Text Indent3"/>
    <w:basedOn w:val="1"/>
    <w:autoRedefine/>
    <w:qFormat/>
    <w:uiPriority w:val="39"/>
    <w:pPr>
      <w:spacing w:after="120" w:line="360" w:lineRule="auto"/>
      <w:ind w:left="420" w:leftChars="200" w:firstLine="200" w:firstLineChars="200"/>
    </w:pPr>
    <w:rPr>
      <w:sz w:val="24"/>
    </w:rPr>
  </w:style>
  <w:style w:type="paragraph" w:customStyle="1" w:styleId="2981">
    <w:name w:val="标题431111"/>
    <w:basedOn w:val="1"/>
    <w:autoRedefine/>
    <w:qFormat/>
    <w:uiPriority w:val="0"/>
    <w:pPr>
      <w:adjustRightInd w:val="0"/>
      <w:snapToGrid w:val="0"/>
      <w:spacing w:line="480" w:lineRule="exact"/>
      <w:jc w:val="center"/>
    </w:pPr>
    <w:rPr>
      <w:rFonts w:ascii="宋体" w:hAnsi="宋体" w:cs="宋体"/>
      <w:sz w:val="24"/>
    </w:rPr>
  </w:style>
  <w:style w:type="paragraph" w:customStyle="1" w:styleId="2982">
    <w:name w:val="表文字53"/>
    <w:basedOn w:val="1"/>
    <w:autoRedefine/>
    <w:qFormat/>
    <w:uiPriority w:val="0"/>
    <w:pPr>
      <w:adjustRightInd w:val="0"/>
      <w:jc w:val="left"/>
      <w:textAlignment w:val="baseline"/>
    </w:pPr>
    <w:rPr>
      <w:rFonts w:ascii="宋体"/>
      <w:kern w:val="0"/>
      <w:szCs w:val="20"/>
    </w:rPr>
  </w:style>
  <w:style w:type="paragraph" w:customStyle="1" w:styleId="2983">
    <w:name w:val="Normal3"/>
    <w:autoRedefine/>
    <w:qFormat/>
    <w:uiPriority w:val="39"/>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2984">
    <w:name w:val="Plain Text4"/>
    <w:basedOn w:val="1"/>
    <w:autoRedefine/>
    <w:qFormat/>
    <w:uiPriority w:val="39"/>
    <w:pPr>
      <w:adjustRightInd w:val="0"/>
      <w:textAlignment w:val="baseline"/>
    </w:pPr>
    <w:rPr>
      <w:rFonts w:ascii="宋体" w:hAnsi="Courier New"/>
      <w:szCs w:val="20"/>
    </w:rPr>
  </w:style>
  <w:style w:type="paragraph" w:customStyle="1" w:styleId="2985">
    <w:name w:val="Char Char Char1 Char2"/>
    <w:basedOn w:val="1"/>
    <w:autoRedefine/>
    <w:qFormat/>
    <w:uiPriority w:val="99"/>
    <w:rPr>
      <w:szCs w:val="20"/>
    </w:rPr>
  </w:style>
  <w:style w:type="paragraph" w:customStyle="1" w:styleId="2986">
    <w:name w:val="附件3"/>
    <w:basedOn w:val="3"/>
    <w:next w:val="416"/>
    <w:autoRedefine/>
    <w:qFormat/>
    <w:uiPriority w:val="0"/>
    <w:pPr>
      <w:keepLines/>
      <w:tabs>
        <w:tab w:val="left" w:pos="1566"/>
      </w:tabs>
      <w:overflowPunct/>
      <w:adjustRightInd w:val="0"/>
      <w:spacing w:before="0" w:after="120" w:line="360" w:lineRule="auto"/>
      <w:ind w:left="0" w:firstLine="0"/>
      <w:jc w:val="left"/>
    </w:pPr>
    <w:rPr>
      <w:rFonts w:ascii="黑体" w:hAnsi="宋体"/>
      <w:b w:val="0"/>
      <w:color w:val="auto"/>
      <w:sz w:val="32"/>
      <w:szCs w:val="32"/>
    </w:rPr>
  </w:style>
  <w:style w:type="paragraph" w:customStyle="1" w:styleId="2987">
    <w:name w:val="列出段落41"/>
    <w:basedOn w:val="1"/>
    <w:autoRedefine/>
    <w:qFormat/>
    <w:uiPriority w:val="39"/>
    <w:pPr>
      <w:ind w:firstLine="420" w:firstLineChars="200"/>
    </w:pPr>
    <w:rPr>
      <w:szCs w:val="22"/>
    </w:rPr>
  </w:style>
  <w:style w:type="paragraph" w:customStyle="1" w:styleId="2988">
    <w:name w:val="Char1 Char Char Char2"/>
    <w:basedOn w:val="1"/>
    <w:autoRedefine/>
    <w:qFormat/>
    <w:uiPriority w:val="99"/>
  </w:style>
  <w:style w:type="paragraph" w:customStyle="1" w:styleId="2989">
    <w:name w:val="Char32"/>
    <w:basedOn w:val="1"/>
    <w:autoRedefine/>
    <w:qFormat/>
    <w:uiPriority w:val="0"/>
    <w:rPr>
      <w:sz w:val="24"/>
    </w:rPr>
  </w:style>
  <w:style w:type="paragraph" w:customStyle="1" w:styleId="2990">
    <w:name w:val="Char Char Char4"/>
    <w:basedOn w:val="1"/>
    <w:autoRedefine/>
    <w:qFormat/>
    <w:uiPriority w:val="99"/>
    <w:rPr>
      <w:sz w:val="24"/>
    </w:rPr>
  </w:style>
  <w:style w:type="paragraph" w:customStyle="1" w:styleId="2991">
    <w:name w:val="表中文字41"/>
    <w:basedOn w:val="1"/>
    <w:autoRedefine/>
    <w:qFormat/>
    <w:uiPriority w:val="0"/>
    <w:pPr>
      <w:snapToGrid w:val="0"/>
      <w:spacing w:line="340" w:lineRule="exact"/>
      <w:ind w:firstLine="480" w:firstLineChars="200"/>
      <w:jc w:val="center"/>
    </w:pPr>
    <w:rPr>
      <w:rFonts w:ascii="Arial" w:hAnsi="Arial"/>
      <w:kern w:val="0"/>
      <w:sz w:val="20"/>
      <w:lang w:eastAsia="zh-TW"/>
    </w:rPr>
  </w:style>
  <w:style w:type="paragraph" w:customStyle="1" w:styleId="2992">
    <w:name w:val="标题43124"/>
    <w:basedOn w:val="1"/>
    <w:autoRedefine/>
    <w:qFormat/>
    <w:uiPriority w:val="0"/>
    <w:pPr>
      <w:adjustRightInd w:val="0"/>
      <w:snapToGrid w:val="0"/>
      <w:spacing w:line="480" w:lineRule="exact"/>
      <w:jc w:val="center"/>
    </w:pPr>
    <w:rPr>
      <w:rFonts w:ascii="宋体" w:hAnsi="宋体" w:cs="宋体"/>
      <w:sz w:val="24"/>
    </w:rPr>
  </w:style>
  <w:style w:type="paragraph" w:customStyle="1" w:styleId="2993">
    <w:name w:val="Char Char Char Char Char Char1"/>
    <w:basedOn w:val="1"/>
    <w:autoRedefine/>
    <w:qFormat/>
    <w:uiPriority w:val="0"/>
    <w:rPr>
      <w:rFonts w:ascii="宋体" w:hAnsi="宋体"/>
      <w:sz w:val="24"/>
    </w:rPr>
  </w:style>
  <w:style w:type="paragraph" w:customStyle="1" w:styleId="2994">
    <w:name w:val="Char Char2 Char Char Char Char3"/>
    <w:basedOn w:val="1"/>
    <w:autoRedefine/>
    <w:qFormat/>
    <w:uiPriority w:val="0"/>
  </w:style>
  <w:style w:type="paragraph" w:customStyle="1" w:styleId="2995">
    <w:name w:val="正文文本缩进 211"/>
    <w:basedOn w:val="1"/>
    <w:autoRedefine/>
    <w:qFormat/>
    <w:uiPriority w:val="39"/>
    <w:pPr>
      <w:adjustRightInd w:val="0"/>
      <w:spacing w:line="480" w:lineRule="atLeast"/>
      <w:ind w:firstLine="630"/>
      <w:textAlignment w:val="baseline"/>
    </w:pPr>
    <w:rPr>
      <w:rFonts w:ascii="宋体"/>
      <w:sz w:val="28"/>
      <w:szCs w:val="20"/>
    </w:rPr>
  </w:style>
  <w:style w:type="paragraph" w:customStyle="1" w:styleId="2996">
    <w:name w:val="Char Char Char Char Char Char Char Char Char Char1"/>
    <w:basedOn w:val="1"/>
    <w:autoRedefine/>
    <w:qFormat/>
    <w:uiPriority w:val="0"/>
    <w:rPr>
      <w:sz w:val="24"/>
    </w:rPr>
  </w:style>
  <w:style w:type="paragraph" w:customStyle="1" w:styleId="2997">
    <w:name w:val="正文斜体1"/>
    <w:basedOn w:val="416"/>
    <w:next w:val="416"/>
    <w:autoRedefine/>
    <w:qFormat/>
    <w:uiPriority w:val="0"/>
    <w:rPr>
      <w:rFonts w:ascii="宋体" w:hAnsi="宋体"/>
      <w:b w:val="0"/>
      <w:i/>
      <w:iCs/>
      <w:spacing w:val="0"/>
      <w:sz w:val="24"/>
      <w:szCs w:val="24"/>
    </w:rPr>
  </w:style>
  <w:style w:type="paragraph" w:customStyle="1" w:styleId="2998">
    <w:name w:val="正文格式9"/>
    <w:basedOn w:val="1"/>
    <w:autoRedefine/>
    <w:qFormat/>
    <w:uiPriority w:val="0"/>
    <w:pPr>
      <w:spacing w:line="360" w:lineRule="auto"/>
      <w:ind w:firstLine="482"/>
    </w:pPr>
    <w:rPr>
      <w:rFonts w:ascii="宋体" w:hAnsi="宋体"/>
      <w:sz w:val="24"/>
    </w:rPr>
  </w:style>
  <w:style w:type="paragraph" w:customStyle="1" w:styleId="2999">
    <w:name w:val="Char Char Char Char Char Char Char Char Char Char Char Char Char Char Char Char Char Char Char Char Char Char Char Char Char Char Char Char Char Char Char Char Char Char Char Char1"/>
    <w:basedOn w:val="1"/>
    <w:autoRedefine/>
    <w:qFormat/>
    <w:uiPriority w:val="99"/>
    <w:rPr>
      <w:sz w:val="24"/>
    </w:rPr>
  </w:style>
  <w:style w:type="paragraph" w:customStyle="1" w:styleId="3000">
    <w:name w:val="Char Char Char Char Char Char Char4"/>
    <w:basedOn w:val="1"/>
    <w:autoRedefine/>
    <w:qFormat/>
    <w:uiPriority w:val="0"/>
  </w:style>
  <w:style w:type="paragraph" w:customStyle="1" w:styleId="3001">
    <w:name w:val="Char Char Char Char Char Char Char Char Char Char Char Char Char1"/>
    <w:basedOn w:val="1"/>
    <w:autoRedefine/>
    <w:qFormat/>
    <w:uiPriority w:val="39"/>
    <w:rPr>
      <w:sz w:val="24"/>
    </w:rPr>
  </w:style>
  <w:style w:type="paragraph" w:customStyle="1" w:styleId="3002">
    <w:name w:val="Char24"/>
    <w:basedOn w:val="1"/>
    <w:autoRedefine/>
    <w:qFormat/>
    <w:uiPriority w:val="0"/>
    <w:pPr>
      <w:ind w:left="-48"/>
    </w:pPr>
  </w:style>
  <w:style w:type="paragraph" w:customStyle="1" w:styleId="3003">
    <w:name w:val="Char Char Char Char Char Char Char Char Char Char Char Char Char Char Char Char Char Char Char1"/>
    <w:basedOn w:val="1"/>
    <w:autoRedefine/>
    <w:qFormat/>
    <w:uiPriority w:val="99"/>
    <w:rPr>
      <w:sz w:val="24"/>
    </w:rPr>
  </w:style>
  <w:style w:type="paragraph" w:customStyle="1" w:styleId="3004">
    <w:name w:val="Char Char Char Char Char Char Char Char Char Char Char1 Char Char Char Char1"/>
    <w:basedOn w:val="1"/>
    <w:autoRedefine/>
    <w:qFormat/>
    <w:uiPriority w:val="39"/>
    <w:rPr>
      <w:sz w:val="24"/>
    </w:rPr>
  </w:style>
  <w:style w:type="paragraph" w:customStyle="1" w:styleId="3005">
    <w:name w:val="图题8"/>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3006">
    <w:name w:val="Char Char Char Char Char Char Char Char Char Char Char Char Char Char Char Char Char1"/>
    <w:basedOn w:val="1"/>
    <w:autoRedefine/>
    <w:qFormat/>
    <w:uiPriority w:val="39"/>
    <w:rPr>
      <w:sz w:val="24"/>
    </w:rPr>
  </w:style>
  <w:style w:type="paragraph" w:customStyle="1" w:styleId="3007">
    <w:name w:val="Char Char Char Char Char Char Char Char Char1"/>
    <w:basedOn w:val="1"/>
    <w:autoRedefine/>
    <w:qFormat/>
    <w:uiPriority w:val="39"/>
    <w:rPr>
      <w:sz w:val="24"/>
    </w:rPr>
  </w:style>
  <w:style w:type="paragraph" w:customStyle="1" w:styleId="3008">
    <w:name w:val="Char Char Char Char Char Char Char Char Char Char Char Char Char Char Char Char Char Char Char Char Char Char Char Char Char Char Char Char Char Char Char Char Char Char Char Char Char Char1"/>
    <w:basedOn w:val="1"/>
    <w:autoRedefine/>
    <w:qFormat/>
    <w:uiPriority w:val="39"/>
    <w:rPr>
      <w:sz w:val="24"/>
    </w:rPr>
  </w:style>
  <w:style w:type="paragraph" w:customStyle="1" w:styleId="3009">
    <w:name w:val="Char Char Char Char Char Char Char Char Char Char Char1 Char Char Char Char Char Char1 Char1"/>
    <w:basedOn w:val="1"/>
    <w:autoRedefine/>
    <w:qFormat/>
    <w:uiPriority w:val="39"/>
    <w:rPr>
      <w:sz w:val="24"/>
    </w:rPr>
  </w:style>
  <w:style w:type="paragraph" w:customStyle="1" w:styleId="3010">
    <w:name w:val="正文格式10"/>
    <w:basedOn w:val="1"/>
    <w:autoRedefine/>
    <w:qFormat/>
    <w:uiPriority w:val="0"/>
    <w:pPr>
      <w:spacing w:line="360" w:lineRule="auto"/>
      <w:ind w:firstLine="482"/>
    </w:pPr>
    <w:rPr>
      <w:rFonts w:ascii="宋体" w:hAnsi="宋体"/>
      <w:sz w:val="24"/>
    </w:rPr>
  </w:style>
  <w:style w:type="paragraph" w:customStyle="1" w:styleId="3011">
    <w:name w:val="Char Char Char Char Char1"/>
    <w:basedOn w:val="1"/>
    <w:autoRedefine/>
    <w:qFormat/>
    <w:uiPriority w:val="39"/>
    <w:rPr>
      <w:sz w:val="24"/>
    </w:rPr>
  </w:style>
  <w:style w:type="paragraph" w:customStyle="1" w:styleId="3012">
    <w:name w:val="Char Char Char Char Char Char Char Char1 Char Char Char Char Char Char Char Char Char Char Char Char1"/>
    <w:basedOn w:val="1"/>
    <w:autoRedefine/>
    <w:qFormat/>
    <w:uiPriority w:val="39"/>
    <w:rPr>
      <w:sz w:val="24"/>
    </w:rPr>
  </w:style>
  <w:style w:type="paragraph" w:customStyle="1" w:styleId="3013">
    <w:name w:val="图题214"/>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3014">
    <w:name w:val="Char Char Char Char Char Char Char Char Char Char Char Char Char Char Char1"/>
    <w:basedOn w:val="1"/>
    <w:autoRedefine/>
    <w:qFormat/>
    <w:uiPriority w:val="39"/>
    <w:rPr>
      <w:sz w:val="24"/>
    </w:rPr>
  </w:style>
  <w:style w:type="paragraph" w:customStyle="1" w:styleId="3015">
    <w:name w:val="燕山正文5"/>
    <w:basedOn w:val="1"/>
    <w:autoRedefine/>
    <w:qFormat/>
    <w:uiPriority w:val="0"/>
    <w:pPr>
      <w:tabs>
        <w:tab w:val="left" w:pos="4680"/>
      </w:tabs>
      <w:adjustRightInd w:val="0"/>
      <w:snapToGrid w:val="0"/>
      <w:spacing w:line="480" w:lineRule="exact"/>
    </w:pPr>
    <w:rPr>
      <w:rFonts w:ascii="宋体" w:cs="宋体"/>
      <w:sz w:val="24"/>
    </w:rPr>
  </w:style>
  <w:style w:type="paragraph" w:customStyle="1" w:styleId="3016">
    <w:name w:val="Char Char Char Char Char Char Char Char Char Char Char Char Char Char Char Char Char Char Char Char Char Char Char Char Char1"/>
    <w:basedOn w:val="1"/>
    <w:autoRedefine/>
    <w:qFormat/>
    <w:uiPriority w:val="39"/>
    <w:rPr>
      <w:sz w:val="24"/>
    </w:rPr>
  </w:style>
  <w:style w:type="paragraph" w:customStyle="1" w:styleId="3017">
    <w:name w:val="Char Char Char Char Char Char Char Char Char Char Char Char Char Char Char Char Char Char Char Char Char Char Char Char Char Char Char Char Char Char Char Char Char Char Char Char Char Char Char1"/>
    <w:basedOn w:val="1"/>
    <w:autoRedefine/>
    <w:qFormat/>
    <w:uiPriority w:val="39"/>
    <w:rPr>
      <w:sz w:val="24"/>
    </w:rPr>
  </w:style>
  <w:style w:type="paragraph" w:customStyle="1" w:styleId="3018">
    <w:name w:val="燕山正文23"/>
    <w:basedOn w:val="1"/>
    <w:autoRedefine/>
    <w:qFormat/>
    <w:uiPriority w:val="0"/>
    <w:pPr>
      <w:tabs>
        <w:tab w:val="left" w:pos="4680"/>
      </w:tabs>
      <w:adjustRightInd w:val="0"/>
      <w:snapToGrid w:val="0"/>
      <w:spacing w:line="480" w:lineRule="exact"/>
    </w:pPr>
    <w:rPr>
      <w:rFonts w:ascii="宋体" w:cs="宋体"/>
      <w:sz w:val="24"/>
    </w:rPr>
  </w:style>
  <w:style w:type="paragraph" w:customStyle="1" w:styleId="3019">
    <w:name w:val="Char Char Char Char Char Char Char Char Char Char Char Char Char Char Char Char Char1 Char1"/>
    <w:basedOn w:val="1"/>
    <w:autoRedefine/>
    <w:qFormat/>
    <w:uiPriority w:val="39"/>
    <w:rPr>
      <w:sz w:val="24"/>
    </w:rPr>
  </w:style>
  <w:style w:type="paragraph" w:customStyle="1" w:styleId="3020">
    <w:name w:val="表内文字边2"/>
    <w:basedOn w:val="1"/>
    <w:autoRedefine/>
    <w:qFormat/>
    <w:uiPriority w:val="0"/>
    <w:pPr>
      <w:widowControl/>
      <w:adjustRightInd w:val="0"/>
      <w:snapToGrid w:val="0"/>
      <w:spacing w:line="240" w:lineRule="atLeast"/>
      <w:ind w:left="-21" w:leftChars="-10" w:right="-42" w:rightChars="-20"/>
    </w:pPr>
    <w:rPr>
      <w:rFonts w:ascii="宋体"/>
      <w:kern w:val="0"/>
      <w:szCs w:val="21"/>
    </w:rPr>
  </w:style>
  <w:style w:type="paragraph" w:customStyle="1" w:styleId="3021">
    <w:name w:val="表内54121"/>
    <w:basedOn w:val="1"/>
    <w:autoRedefine/>
    <w:qFormat/>
    <w:uiPriority w:val="0"/>
    <w:pPr>
      <w:adjustRightInd w:val="0"/>
      <w:snapToGrid w:val="0"/>
      <w:spacing w:line="300" w:lineRule="auto"/>
      <w:jc w:val="center"/>
    </w:pPr>
    <w:rPr>
      <w:rFonts w:ascii="宋体" w:hAnsi="宋体" w:cs="宋体"/>
      <w:szCs w:val="20"/>
    </w:rPr>
  </w:style>
  <w:style w:type="paragraph" w:customStyle="1" w:styleId="3022">
    <w:name w:val="Char4 Char Char Char Char Char Char1"/>
    <w:basedOn w:val="1"/>
    <w:autoRedefine/>
    <w:qFormat/>
    <w:uiPriority w:val="39"/>
    <w:rPr>
      <w:sz w:val="24"/>
    </w:rPr>
  </w:style>
  <w:style w:type="paragraph" w:customStyle="1" w:styleId="3023">
    <w:name w:val="样式 表内小5 + 黑体 加粗 倾斜 下划线1"/>
    <w:basedOn w:val="1"/>
    <w:autoRedefine/>
    <w:qFormat/>
    <w:uiPriority w:val="0"/>
    <w:pPr>
      <w:adjustRightInd w:val="0"/>
      <w:snapToGrid w:val="0"/>
      <w:spacing w:line="300" w:lineRule="auto"/>
      <w:jc w:val="left"/>
    </w:pPr>
    <w:rPr>
      <w:rFonts w:ascii="黑体" w:hAnsi="黑体" w:eastAsia="黑体"/>
      <w:b/>
      <w:bCs/>
      <w:i/>
      <w:iCs/>
      <w:sz w:val="18"/>
      <w:u w:val="single"/>
    </w:rPr>
  </w:style>
  <w:style w:type="paragraph" w:customStyle="1" w:styleId="3024">
    <w:name w:val="图题41"/>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3025">
    <w:name w:val="Char121"/>
    <w:basedOn w:val="1"/>
    <w:autoRedefine/>
    <w:qFormat/>
    <w:uiPriority w:val="0"/>
    <w:pPr>
      <w:adjustRightInd w:val="0"/>
      <w:snapToGrid w:val="0"/>
      <w:spacing w:line="360" w:lineRule="auto"/>
    </w:pPr>
  </w:style>
  <w:style w:type="paragraph" w:customStyle="1" w:styleId="3026">
    <w:name w:val="Char Char1 Char Char Char Char1"/>
    <w:basedOn w:val="1"/>
    <w:autoRedefine/>
    <w:qFormat/>
    <w:uiPriority w:val="39"/>
    <w:rPr>
      <w:szCs w:val="20"/>
    </w:rPr>
  </w:style>
  <w:style w:type="paragraph" w:customStyle="1" w:styleId="3027">
    <w:name w:val="正文格式44"/>
    <w:basedOn w:val="1"/>
    <w:autoRedefine/>
    <w:qFormat/>
    <w:uiPriority w:val="0"/>
    <w:pPr>
      <w:spacing w:line="360" w:lineRule="auto"/>
      <w:ind w:firstLine="482"/>
    </w:pPr>
    <w:rPr>
      <w:rFonts w:ascii="宋体" w:hAnsi="宋体"/>
      <w:sz w:val="24"/>
    </w:rPr>
  </w:style>
  <w:style w:type="paragraph" w:customStyle="1" w:styleId="3028">
    <w:name w:val="T表格"/>
    <w:autoRedefine/>
    <w:qFormat/>
    <w:uiPriority w:val="0"/>
    <w:pPr>
      <w:jc w:val="center"/>
    </w:pPr>
    <w:rPr>
      <w:rFonts w:ascii="仿宋_GB2312" w:hAnsi="Times New Roman" w:eastAsia="仿宋_GB2312" w:cs="Times New Roman"/>
      <w:kern w:val="2"/>
      <w:sz w:val="21"/>
      <w:lang w:val="en-US" w:eastAsia="zh-CN" w:bidi="ar-SA"/>
    </w:rPr>
  </w:style>
  <w:style w:type="paragraph" w:customStyle="1" w:styleId="3029">
    <w:name w:val="Char Char Char1 Char Char Char Char Char Char Char Char Char Char Char Char Char Char Char1 Char Char Char Char Char Char Char Char Char Char Char Char1"/>
    <w:basedOn w:val="1"/>
    <w:autoRedefine/>
    <w:qFormat/>
    <w:uiPriority w:val="39"/>
    <w:rPr>
      <w:szCs w:val="21"/>
    </w:rPr>
  </w:style>
  <w:style w:type="paragraph" w:customStyle="1" w:styleId="3030">
    <w:name w:val="Char311"/>
    <w:basedOn w:val="1"/>
    <w:autoRedefine/>
    <w:qFormat/>
    <w:uiPriority w:val="0"/>
    <w:pPr>
      <w:ind w:left="-48"/>
    </w:pPr>
  </w:style>
  <w:style w:type="paragraph" w:customStyle="1" w:styleId="3031">
    <w:name w:val="Char Char Char Char Char Char Char121"/>
    <w:basedOn w:val="1"/>
    <w:autoRedefine/>
    <w:qFormat/>
    <w:uiPriority w:val="0"/>
    <w:rPr>
      <w:szCs w:val="20"/>
    </w:rPr>
  </w:style>
  <w:style w:type="paragraph" w:customStyle="1" w:styleId="3032">
    <w:name w:val="Char1 Char Char Char Char Char Char Char Char Char1 Char Char Char Char Char Char1"/>
    <w:basedOn w:val="1"/>
    <w:autoRedefine/>
    <w:qFormat/>
    <w:uiPriority w:val="39"/>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paragraph" w:customStyle="1" w:styleId="3033">
    <w:name w:val="燕山正文131"/>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3034">
    <w:name w:val="Char Char Char1 Char Char1"/>
    <w:basedOn w:val="1"/>
    <w:autoRedefine/>
    <w:qFormat/>
    <w:uiPriority w:val="39"/>
    <w:rPr>
      <w:rFonts w:ascii="黑体" w:hAnsi="黑体" w:eastAsia="黑体"/>
      <w:b/>
      <w:spacing w:val="10"/>
      <w:sz w:val="28"/>
      <w:szCs w:val="20"/>
    </w:rPr>
  </w:style>
  <w:style w:type="paragraph" w:customStyle="1" w:styleId="3035">
    <w:name w:val="Char Char Char Char Char Char Char Char Char Char Char Char Char Char Char Char Char Char Char Char Char Char Char Char Char Char Char Char1"/>
    <w:basedOn w:val="1"/>
    <w:autoRedefine/>
    <w:qFormat/>
    <w:uiPriority w:val="39"/>
    <w:rPr>
      <w:sz w:val="24"/>
    </w:rPr>
  </w:style>
  <w:style w:type="paragraph" w:customStyle="1" w:styleId="3036">
    <w:name w:val="Char Char Char Char Char Char Char Char Char Char Char Char Char Char Char Char Char Char Char Char Char Char Char Char Char Char Char Char Char Char Char Char Char Char Char Char2"/>
    <w:basedOn w:val="1"/>
    <w:autoRedefine/>
    <w:qFormat/>
    <w:uiPriority w:val="39"/>
    <w:rPr>
      <w:sz w:val="24"/>
    </w:rPr>
  </w:style>
  <w:style w:type="paragraph" w:customStyle="1" w:styleId="3037">
    <w:name w:val="23-47表名11"/>
    <w:basedOn w:val="1"/>
    <w:autoRedefine/>
    <w:qFormat/>
    <w:uiPriority w:val="0"/>
    <w:pPr>
      <w:spacing w:afterLines="50" w:line="440" w:lineRule="exact"/>
      <w:jc w:val="center"/>
    </w:pPr>
    <w:rPr>
      <w:rFonts w:ascii="宋体" w:hAnsi="宋体"/>
      <w:b/>
      <w:sz w:val="24"/>
    </w:rPr>
  </w:style>
  <w:style w:type="paragraph" w:customStyle="1" w:styleId="3038">
    <w:name w:val="正文斜体2"/>
    <w:basedOn w:val="416"/>
    <w:next w:val="416"/>
    <w:autoRedefine/>
    <w:qFormat/>
    <w:uiPriority w:val="0"/>
    <w:rPr>
      <w:rFonts w:ascii="宋体" w:hAnsi="宋体"/>
      <w:b w:val="0"/>
      <w:i/>
      <w:iCs/>
      <w:spacing w:val="0"/>
      <w:sz w:val="24"/>
      <w:szCs w:val="24"/>
    </w:rPr>
  </w:style>
  <w:style w:type="paragraph" w:customStyle="1" w:styleId="3039">
    <w:name w:val="默认段落字体 Para Char32"/>
    <w:basedOn w:val="1"/>
    <w:autoRedefine/>
    <w:qFormat/>
    <w:uiPriority w:val="0"/>
    <w:pPr>
      <w:spacing w:line="360" w:lineRule="auto"/>
      <w:ind w:firstLine="200" w:firstLineChars="200"/>
    </w:pPr>
    <w:rPr>
      <w:rFonts w:ascii="宋体" w:hAnsi="宋体" w:cs="宋体"/>
      <w:sz w:val="24"/>
    </w:rPr>
  </w:style>
  <w:style w:type="paragraph" w:customStyle="1" w:styleId="3040">
    <w:name w:val="表格小四"/>
    <w:basedOn w:val="1"/>
    <w:autoRedefine/>
    <w:qFormat/>
    <w:uiPriority w:val="99"/>
    <w:pPr>
      <w:snapToGrid w:val="0"/>
      <w:jc w:val="center"/>
    </w:pPr>
    <w:rPr>
      <w:rFonts w:eastAsia="仿宋_GB2312"/>
      <w:spacing w:val="-10"/>
    </w:rPr>
  </w:style>
  <w:style w:type="paragraph" w:customStyle="1" w:styleId="3041">
    <w:name w:val="c2"/>
    <w:autoRedefine/>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3042">
    <w:name w:val="表内5中22"/>
    <w:basedOn w:val="1"/>
    <w:autoRedefine/>
    <w:qFormat/>
    <w:uiPriority w:val="0"/>
    <w:pPr>
      <w:adjustRightInd w:val="0"/>
      <w:snapToGrid w:val="0"/>
      <w:jc w:val="center"/>
    </w:pPr>
    <w:rPr>
      <w:rFonts w:ascii="宋体" w:hAnsi="宋体" w:cs="Arial"/>
      <w:snapToGrid w:val="0"/>
      <w:color w:val="000000"/>
      <w:szCs w:val="21"/>
    </w:rPr>
  </w:style>
  <w:style w:type="paragraph" w:customStyle="1" w:styleId="3043">
    <w:name w:val="表题92"/>
    <w:basedOn w:val="45"/>
    <w:autoRedefine/>
    <w:qFormat/>
    <w:uiPriority w:val="0"/>
    <w:pPr>
      <w:adjustRightInd w:val="0"/>
      <w:snapToGrid w:val="0"/>
      <w:spacing w:line="300" w:lineRule="auto"/>
      <w:jc w:val="center"/>
    </w:pPr>
    <w:rPr>
      <w:rFonts w:ascii="黑体" w:eastAsia="黑体"/>
      <w:sz w:val="24"/>
      <w:szCs w:val="20"/>
    </w:rPr>
  </w:style>
  <w:style w:type="paragraph" w:customStyle="1" w:styleId="3044">
    <w:name w:val="一标题"/>
    <w:basedOn w:val="3"/>
    <w:autoRedefine/>
    <w:qFormat/>
    <w:uiPriority w:val="99"/>
    <w:pPr>
      <w:keepLines/>
      <w:pageBreakBefore/>
      <w:overflowPunct/>
      <w:snapToGrid/>
      <w:spacing w:before="0" w:after="0" w:line="480" w:lineRule="auto"/>
      <w:ind w:left="720" w:firstLine="0"/>
    </w:pPr>
    <w:rPr>
      <w:rFonts w:eastAsia="宋体"/>
      <w:color w:val="auto"/>
      <w:sz w:val="32"/>
      <w:szCs w:val="44"/>
    </w:rPr>
  </w:style>
  <w:style w:type="paragraph" w:customStyle="1" w:styleId="3045">
    <w:name w:val="7表格(治)"/>
    <w:autoRedefine/>
    <w:qFormat/>
    <w:uiPriority w:val="0"/>
    <w:pPr>
      <w:spacing w:line="400" w:lineRule="atLeast"/>
      <w:jc w:val="center"/>
    </w:pPr>
    <w:rPr>
      <w:rFonts w:hint="eastAsia" w:ascii="宋体" w:hAnsi="宋体" w:eastAsia="宋体" w:cs="Times New Roman"/>
      <w:sz w:val="21"/>
      <w:lang w:val="en-US" w:eastAsia="zh-CN" w:bidi="ar-SA"/>
    </w:rPr>
  </w:style>
  <w:style w:type="paragraph" w:customStyle="1" w:styleId="3046">
    <w:name w:val="表内54152"/>
    <w:basedOn w:val="1"/>
    <w:autoRedefine/>
    <w:qFormat/>
    <w:uiPriority w:val="0"/>
    <w:pPr>
      <w:adjustRightInd w:val="0"/>
      <w:snapToGrid w:val="0"/>
      <w:spacing w:line="300" w:lineRule="auto"/>
      <w:jc w:val="center"/>
    </w:pPr>
    <w:rPr>
      <w:rFonts w:ascii="宋体" w:hAnsi="宋体" w:cs="宋体"/>
      <w:szCs w:val="20"/>
    </w:rPr>
  </w:style>
  <w:style w:type="paragraph" w:customStyle="1" w:styleId="3047">
    <w:name w:val="正文修改42"/>
    <w:basedOn w:val="192"/>
    <w:autoRedefine/>
    <w:qFormat/>
    <w:uiPriority w:val="0"/>
    <w:rPr>
      <w:rFonts w:hAnsi="宋体"/>
      <w:color w:val="000000"/>
    </w:rPr>
  </w:style>
  <w:style w:type="paragraph" w:customStyle="1" w:styleId="3048">
    <w:name w:val="5文章(治)"/>
    <w:basedOn w:val="1"/>
    <w:autoRedefine/>
    <w:qFormat/>
    <w:uiPriority w:val="99"/>
    <w:pPr>
      <w:spacing w:line="500" w:lineRule="atLeast"/>
      <w:ind w:firstLine="560" w:firstLineChars="200"/>
    </w:pPr>
    <w:rPr>
      <w:rFonts w:hint="eastAsia" w:ascii="宋体" w:hAnsi="宋体"/>
      <w:sz w:val="28"/>
      <w:szCs w:val="20"/>
    </w:rPr>
  </w:style>
  <w:style w:type="paragraph" w:customStyle="1" w:styleId="3049">
    <w:name w:val="样式 本正文 + 首行缩进:  2 字符"/>
    <w:basedOn w:val="1"/>
    <w:autoRedefine/>
    <w:qFormat/>
    <w:uiPriority w:val="99"/>
    <w:pPr>
      <w:spacing w:line="360" w:lineRule="auto"/>
      <w:ind w:firstLine="560" w:firstLineChars="200"/>
    </w:pPr>
    <w:rPr>
      <w:rFonts w:ascii="宋体" w:hAnsi="宋体" w:cs="宋体"/>
      <w:sz w:val="28"/>
      <w:szCs w:val="28"/>
    </w:rPr>
  </w:style>
  <w:style w:type="paragraph" w:customStyle="1" w:styleId="3050">
    <w:name w:val="二标题"/>
    <w:basedOn w:val="4"/>
    <w:autoRedefine/>
    <w:qFormat/>
    <w:uiPriority w:val="99"/>
    <w:pPr>
      <w:spacing w:before="120" w:after="120" w:line="360" w:lineRule="auto"/>
    </w:pPr>
    <w:rPr>
      <w:rFonts w:ascii="宋体" w:hAnsi="宋体"/>
      <w:sz w:val="30"/>
    </w:rPr>
  </w:style>
  <w:style w:type="paragraph" w:customStyle="1" w:styleId="3051">
    <w:name w:val="ZW Char Char Char"/>
    <w:basedOn w:val="1"/>
    <w:autoRedefine/>
    <w:qFormat/>
    <w:uiPriority w:val="99"/>
    <w:pPr>
      <w:spacing w:beforeLines="20"/>
      <w:ind w:firstLine="200" w:firstLineChars="200"/>
    </w:pPr>
    <w:rPr>
      <w:sz w:val="24"/>
    </w:rPr>
  </w:style>
  <w:style w:type="paragraph" w:customStyle="1" w:styleId="3052">
    <w:name w:val="本正文"/>
    <w:basedOn w:val="1"/>
    <w:autoRedefine/>
    <w:qFormat/>
    <w:uiPriority w:val="99"/>
    <w:pPr>
      <w:spacing w:line="360" w:lineRule="auto"/>
      <w:ind w:firstLine="200" w:firstLineChars="200"/>
    </w:pPr>
    <w:rPr>
      <w:sz w:val="28"/>
    </w:rPr>
  </w:style>
  <w:style w:type="paragraph" w:customStyle="1" w:styleId="3053">
    <w:name w:val="默认段落字体 Para Char4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054">
    <w:name w:val="样式 标题 1-*+章标题 11.标题 1h11st levelSection Headl1b1H1Head..."/>
    <w:basedOn w:val="3"/>
    <w:autoRedefine/>
    <w:qFormat/>
    <w:uiPriority w:val="99"/>
    <w:pPr>
      <w:keepLines/>
      <w:tabs>
        <w:tab w:val="left" w:pos="432"/>
      </w:tabs>
      <w:overflowPunct/>
      <w:snapToGrid/>
      <w:spacing w:before="0" w:after="0" w:line="360" w:lineRule="auto"/>
      <w:jc w:val="left"/>
    </w:pPr>
    <w:rPr>
      <w:rFonts w:ascii="宋体" w:hAnsi="宋体" w:eastAsia="宋体" w:cs="宋体"/>
      <w:kern w:val="0"/>
      <w:sz w:val="32"/>
      <w:szCs w:val="24"/>
    </w:rPr>
  </w:style>
  <w:style w:type="paragraph" w:customStyle="1" w:styleId="3055">
    <w:name w:val="表内容1"/>
    <w:basedOn w:val="1"/>
    <w:autoRedefine/>
    <w:qFormat/>
    <w:uiPriority w:val="99"/>
    <w:pPr>
      <w:widowControl/>
      <w:tabs>
        <w:tab w:val="left" w:pos="480"/>
      </w:tabs>
      <w:autoSpaceDE w:val="0"/>
      <w:autoSpaceDN w:val="0"/>
      <w:spacing w:after="200" w:line="264" w:lineRule="auto"/>
      <w:jc w:val="center"/>
      <w:textAlignment w:val="bottom"/>
    </w:pPr>
    <w:rPr>
      <w:rFonts w:ascii="宋体"/>
      <w:kern w:val="0"/>
      <w:sz w:val="24"/>
      <w:szCs w:val="22"/>
      <w:lang w:eastAsia="en-US" w:bidi="en-US"/>
    </w:rPr>
  </w:style>
  <w:style w:type="paragraph" w:customStyle="1" w:styleId="3056">
    <w:name w:val="燕山正文132"/>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3057">
    <w:name w:val="无间隔1"/>
    <w:autoRedefine/>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3058">
    <w:name w:val="样式4.1.1.1"/>
    <w:basedOn w:val="1"/>
    <w:autoRedefine/>
    <w:qFormat/>
    <w:uiPriority w:val="99"/>
    <w:pPr>
      <w:tabs>
        <w:tab w:val="left" w:pos="0"/>
        <w:tab w:val="left" w:pos="864"/>
      </w:tabs>
      <w:spacing w:beforeLines="50" w:line="360" w:lineRule="auto"/>
      <w:ind w:left="864" w:hanging="864"/>
      <w:outlineLvl w:val="3"/>
    </w:pPr>
    <w:rPr>
      <w:b/>
      <w:bCs/>
      <w:sz w:val="24"/>
    </w:rPr>
  </w:style>
  <w:style w:type="paragraph" w:customStyle="1" w:styleId="3059">
    <w:name w:val="正"/>
    <w:basedOn w:val="5"/>
    <w:autoRedefine/>
    <w:qFormat/>
    <w:uiPriority w:val="99"/>
    <w:pPr>
      <w:tabs>
        <w:tab w:val="left" w:pos="-720"/>
      </w:tabs>
      <w:snapToGrid w:val="0"/>
      <w:spacing w:before="0" w:after="0" w:line="336" w:lineRule="auto"/>
      <w:ind w:left="-720" w:firstLine="615"/>
    </w:pPr>
    <w:rPr>
      <w:rFonts w:ascii="宋体" w:cs="宋体"/>
      <w:kern w:val="0"/>
      <w:sz w:val="28"/>
      <w:szCs w:val="28"/>
      <w:lang w:val="en-US"/>
    </w:rPr>
  </w:style>
  <w:style w:type="paragraph" w:customStyle="1" w:styleId="3060">
    <w:name w:val="标准符号 行距1倍"/>
    <w:basedOn w:val="1"/>
    <w:autoRedefine/>
    <w:qFormat/>
    <w:uiPriority w:val="99"/>
    <w:pPr>
      <w:adjustRightInd w:val="0"/>
      <w:snapToGrid w:val="0"/>
      <w:spacing w:beforeLines="50"/>
      <w:jc w:val="center"/>
      <w:textAlignment w:val="center"/>
    </w:pPr>
    <w:rPr>
      <w:rFonts w:ascii="黑体" w:eastAsia="黑体" w:cs="宋体"/>
      <w:color w:val="000000"/>
      <w:kern w:val="0"/>
      <w:sz w:val="24"/>
    </w:rPr>
  </w:style>
  <w:style w:type="paragraph" w:customStyle="1" w:styleId="3061">
    <w:name w:val="表内5中412"/>
    <w:basedOn w:val="1"/>
    <w:autoRedefine/>
    <w:qFormat/>
    <w:uiPriority w:val="0"/>
    <w:pPr>
      <w:adjustRightInd w:val="0"/>
      <w:snapToGrid w:val="0"/>
      <w:jc w:val="center"/>
    </w:pPr>
    <w:rPr>
      <w:rFonts w:ascii="宋体"/>
      <w:bCs/>
      <w:szCs w:val="20"/>
    </w:rPr>
  </w:style>
  <w:style w:type="paragraph" w:customStyle="1" w:styleId="3062">
    <w:name w:val="样式 表内小5 + 黑体 加粗 倾斜 下划线2"/>
    <w:basedOn w:val="1"/>
    <w:autoRedefine/>
    <w:qFormat/>
    <w:uiPriority w:val="0"/>
    <w:pPr>
      <w:adjustRightInd w:val="0"/>
      <w:snapToGrid w:val="0"/>
      <w:spacing w:line="300" w:lineRule="auto"/>
      <w:jc w:val="left"/>
    </w:pPr>
    <w:rPr>
      <w:rFonts w:ascii="黑体" w:hAnsi="黑体" w:eastAsia="黑体"/>
      <w:b/>
      <w:bCs/>
      <w:i/>
      <w:iCs/>
      <w:sz w:val="18"/>
      <w:u w:val="single"/>
    </w:rPr>
  </w:style>
  <w:style w:type="paragraph" w:customStyle="1" w:styleId="3063">
    <w:name w:val="样式 标题 4 + 宋体 小四 非加粗"/>
    <w:basedOn w:val="6"/>
    <w:autoRedefine/>
    <w:qFormat/>
    <w:uiPriority w:val="99"/>
    <w:pPr>
      <w:tabs>
        <w:tab w:val="left" w:pos="0"/>
      </w:tabs>
      <w:adjustRightInd w:val="0"/>
      <w:spacing w:before="160" w:after="170" w:line="240" w:lineRule="auto"/>
      <w:ind w:left="100" w:leftChars="100" w:right="100" w:rightChars="100"/>
      <w:jc w:val="left"/>
      <w:textAlignment w:val="baseline"/>
    </w:pPr>
    <w:rPr>
      <w:rFonts w:ascii="宋体" w:hAnsi="宋体" w:eastAsia="宋体"/>
      <w:b w:val="0"/>
      <w:bCs w:val="0"/>
      <w:sz w:val="24"/>
      <w:szCs w:val="20"/>
    </w:rPr>
  </w:style>
  <w:style w:type="paragraph" w:customStyle="1" w:styleId="3064">
    <w:name w:val="样式 标题 2节第一章 标题 2Heading 2 HiddenHeading 2 CCBSheading 2H2..."/>
    <w:basedOn w:val="4"/>
    <w:autoRedefine/>
    <w:qFormat/>
    <w:uiPriority w:val="0"/>
    <w:pPr>
      <w:spacing w:before="0" w:after="0" w:line="360" w:lineRule="auto"/>
    </w:pPr>
    <w:rPr>
      <w:rFonts w:ascii="宋体" w:hAnsi="宋体" w:cs="宋体"/>
      <w:kern w:val="21"/>
      <w:sz w:val="30"/>
      <w:szCs w:val="20"/>
    </w:rPr>
  </w:style>
  <w:style w:type="paragraph" w:customStyle="1" w:styleId="3065">
    <w:name w:val="样式 标题 2节节标题 1.1H2（一）Underrubrik1prop2Heading 2 HiddenHea...1"/>
    <w:basedOn w:val="4"/>
    <w:autoRedefine/>
    <w:qFormat/>
    <w:uiPriority w:val="99"/>
    <w:pPr>
      <w:tabs>
        <w:tab w:val="left" w:pos="576"/>
      </w:tabs>
      <w:spacing w:beforeLines="50" w:after="0" w:line="360" w:lineRule="auto"/>
      <w:jc w:val="left"/>
    </w:pPr>
    <w:rPr>
      <w:rFonts w:ascii="宋体" w:hAnsi="Arial"/>
      <w:color w:val="000000"/>
      <w:sz w:val="30"/>
    </w:rPr>
  </w:style>
  <w:style w:type="paragraph" w:customStyle="1" w:styleId="3066">
    <w:name w:val="封面标准文稿编辑信息1"/>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067">
    <w:name w:val="附件14"/>
    <w:basedOn w:val="3"/>
    <w:next w:val="416"/>
    <w:autoRedefine/>
    <w:qFormat/>
    <w:uiPriority w:val="0"/>
    <w:pPr>
      <w:keepLines/>
      <w:tabs>
        <w:tab w:val="left" w:pos="1566"/>
      </w:tabs>
      <w:overflowPunct/>
      <w:snapToGrid/>
      <w:spacing w:before="0" w:after="210" w:line="360" w:lineRule="auto"/>
      <w:ind w:left="0" w:firstLine="0"/>
      <w:jc w:val="left"/>
    </w:pPr>
    <w:rPr>
      <w:rFonts w:ascii="黑体" w:hAnsi="宋体"/>
      <w:b w:val="0"/>
      <w:color w:val="auto"/>
      <w:sz w:val="32"/>
      <w:szCs w:val="32"/>
    </w:rPr>
  </w:style>
  <w:style w:type="paragraph" w:customStyle="1" w:styleId="3068">
    <w:name w:val="样式 标题 4无效格式无效格式1河石管道4H4H41小小节河石管道41H42H411小小节1河石管道42...22"/>
    <w:basedOn w:val="6"/>
    <w:autoRedefine/>
    <w:qFormat/>
    <w:uiPriority w:val="0"/>
    <w:pPr>
      <w:adjustRightInd w:val="0"/>
      <w:snapToGrid w:val="0"/>
      <w:spacing w:before="0" w:after="0" w:line="360" w:lineRule="auto"/>
      <w:ind w:left="664" w:hanging="864"/>
    </w:pPr>
    <w:rPr>
      <w:rFonts w:ascii="黑体"/>
      <w:b w:val="0"/>
      <w:bCs w:val="0"/>
      <w:sz w:val="24"/>
      <w:szCs w:val="24"/>
    </w:rPr>
  </w:style>
  <w:style w:type="paragraph" w:customStyle="1" w:styleId="3069">
    <w:name w:val="表内文字边3"/>
    <w:basedOn w:val="1"/>
    <w:autoRedefine/>
    <w:qFormat/>
    <w:uiPriority w:val="0"/>
    <w:pPr>
      <w:widowControl/>
      <w:adjustRightInd w:val="0"/>
      <w:snapToGrid w:val="0"/>
      <w:spacing w:line="240" w:lineRule="atLeast"/>
      <w:ind w:left="-21" w:leftChars="-10" w:right="-42" w:rightChars="-20"/>
    </w:pPr>
    <w:rPr>
      <w:rFonts w:ascii="宋体"/>
      <w:kern w:val="0"/>
      <w:szCs w:val="21"/>
    </w:rPr>
  </w:style>
  <w:style w:type="paragraph" w:customStyle="1" w:styleId="3070">
    <w:name w:val="表内文字边11"/>
    <w:basedOn w:val="1"/>
    <w:autoRedefine/>
    <w:qFormat/>
    <w:uiPriority w:val="0"/>
    <w:pPr>
      <w:widowControl/>
      <w:adjustRightInd w:val="0"/>
      <w:snapToGrid w:val="0"/>
      <w:spacing w:line="240" w:lineRule="atLeast"/>
      <w:ind w:left="-21" w:leftChars="-10" w:right="-42" w:rightChars="-20"/>
    </w:pPr>
    <w:rPr>
      <w:rFonts w:ascii="宋体"/>
      <w:kern w:val="0"/>
      <w:szCs w:val="21"/>
    </w:rPr>
  </w:style>
  <w:style w:type="paragraph" w:customStyle="1" w:styleId="3071">
    <w:name w:val="样式 样式3.1 + 段前: 0.5 行"/>
    <w:basedOn w:val="2318"/>
    <w:autoRedefine/>
    <w:qFormat/>
    <w:uiPriority w:val="99"/>
    <w:pPr>
      <w:spacing w:before="0"/>
    </w:pPr>
  </w:style>
  <w:style w:type="paragraph" w:customStyle="1" w:styleId="3072">
    <w:name w:val="表格内字体114"/>
    <w:basedOn w:val="416"/>
    <w:autoRedefine/>
    <w:qFormat/>
    <w:uiPriority w:val="0"/>
    <w:pPr>
      <w:spacing w:line="240" w:lineRule="auto"/>
      <w:ind w:firstLine="0"/>
      <w:jc w:val="center"/>
    </w:pPr>
    <w:rPr>
      <w:rFonts w:ascii="宋体" w:hAnsi="Times New Roman" w:cs="宋体"/>
      <w:b w:val="0"/>
      <w:spacing w:val="0"/>
    </w:rPr>
  </w:style>
  <w:style w:type="paragraph" w:customStyle="1" w:styleId="3073">
    <w:name w:val="样式 标题 3Char1 Char1Char1 Char CharChar1 Char条标题1.1.1h3H3l..."/>
    <w:basedOn w:val="5"/>
    <w:autoRedefine/>
    <w:qFormat/>
    <w:uiPriority w:val="99"/>
    <w:pPr>
      <w:keepLines w:val="0"/>
      <w:spacing w:before="0" w:after="0" w:line="500" w:lineRule="atLeast"/>
      <w:ind w:hanging="420"/>
    </w:pPr>
    <w:rPr>
      <w:rFonts w:cs="宋体"/>
      <w:b w:val="0"/>
      <w:bCs w:val="0"/>
      <w:kern w:val="0"/>
      <w:sz w:val="28"/>
      <w:szCs w:val="20"/>
      <w:lang w:val="en-US"/>
    </w:rPr>
  </w:style>
  <w:style w:type="paragraph" w:customStyle="1" w:styleId="3074">
    <w:name w:val="默认段落字体 Para Char13"/>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075">
    <w:name w:val="正文格式112"/>
    <w:basedOn w:val="1"/>
    <w:autoRedefine/>
    <w:qFormat/>
    <w:uiPriority w:val="0"/>
    <w:pPr>
      <w:spacing w:line="360" w:lineRule="auto"/>
      <w:ind w:firstLine="482"/>
    </w:pPr>
    <w:rPr>
      <w:rFonts w:ascii="宋体" w:hAnsi="宋体"/>
      <w:sz w:val="24"/>
    </w:rPr>
  </w:style>
  <w:style w:type="paragraph" w:customStyle="1" w:styleId="3076">
    <w:name w:val="样式 标题 2 Char节标题 1.1节Char节标题 1.1 Char Char节标题 1.1 Char Char..."/>
    <w:basedOn w:val="4"/>
    <w:autoRedefine/>
    <w:qFormat/>
    <w:uiPriority w:val="99"/>
    <w:pPr>
      <w:spacing w:before="0" w:after="0" w:line="500" w:lineRule="atLeast"/>
      <w:ind w:left="840" w:hanging="420"/>
    </w:pPr>
    <w:rPr>
      <w:rFonts w:ascii="Times New Roman" w:hAnsi="Times New Roman"/>
      <w:sz w:val="28"/>
      <w:szCs w:val="28"/>
    </w:rPr>
  </w:style>
  <w:style w:type="paragraph" w:customStyle="1" w:styleId="3077">
    <w:name w:val="首行缩进:  0.99 厘米 + 首行缩进:  2 字符12"/>
    <w:basedOn w:val="1"/>
    <w:autoRedefine/>
    <w:qFormat/>
    <w:uiPriority w:val="0"/>
    <w:pPr>
      <w:widowControl/>
      <w:topLinePunct/>
      <w:spacing w:line="480" w:lineRule="exact"/>
      <w:ind w:firstLine="420" w:firstLineChars="200"/>
      <w:jc w:val="center"/>
    </w:pPr>
    <w:rPr>
      <w:rFonts w:ascii="宋体" w:cs="宋体"/>
      <w:snapToGrid w:val="0"/>
      <w:color w:val="FF0000"/>
      <w:kern w:val="0"/>
      <w:szCs w:val="21"/>
    </w:rPr>
  </w:style>
  <w:style w:type="paragraph" w:customStyle="1" w:styleId="3078">
    <w:name w:val="表内宋5中211"/>
    <w:basedOn w:val="1"/>
    <w:autoRedefine/>
    <w:qFormat/>
    <w:uiPriority w:val="0"/>
    <w:pPr>
      <w:adjustRightInd w:val="0"/>
      <w:snapToGrid w:val="0"/>
      <w:jc w:val="center"/>
      <w:textAlignment w:val="baseline"/>
    </w:pPr>
    <w:rPr>
      <w:rFonts w:ascii="宋体" w:hAnsi="宋体"/>
      <w:kern w:val="0"/>
      <w:szCs w:val="20"/>
    </w:rPr>
  </w:style>
  <w:style w:type="paragraph" w:customStyle="1" w:styleId="3079">
    <w:name w:val="样式 样式 左侧:  2 字符 + 首行缩进:  2 字符 Char"/>
    <w:basedOn w:val="1"/>
    <w:autoRedefine/>
    <w:qFormat/>
    <w:uiPriority w:val="99"/>
    <w:pPr>
      <w:tabs>
        <w:tab w:val="left" w:pos="540"/>
      </w:tabs>
      <w:spacing w:line="360" w:lineRule="auto"/>
      <w:ind w:firstLine="478" w:firstLineChars="199"/>
    </w:pPr>
    <w:rPr>
      <w:rFonts w:ascii="宋体" w:hAnsi="宋体"/>
      <w:bCs/>
      <w:sz w:val="24"/>
    </w:rPr>
  </w:style>
  <w:style w:type="paragraph" w:customStyle="1" w:styleId="3080">
    <w:name w:val="Char1411"/>
    <w:basedOn w:val="1"/>
    <w:autoRedefine/>
    <w:qFormat/>
    <w:uiPriority w:val="0"/>
    <w:pPr>
      <w:ind w:left="-48"/>
    </w:pPr>
  </w:style>
  <w:style w:type="paragraph" w:customStyle="1" w:styleId="3081">
    <w:name w:val="表内宋513"/>
    <w:basedOn w:val="1718"/>
    <w:autoRedefine/>
    <w:qFormat/>
    <w:uiPriority w:val="0"/>
    <w:pPr>
      <w:widowControl/>
      <w:autoSpaceDE w:val="0"/>
      <w:autoSpaceDN w:val="0"/>
      <w:jc w:val="left"/>
      <w:textAlignment w:val="auto"/>
    </w:pPr>
    <w:rPr>
      <w:color w:val="auto"/>
      <w:w w:val="90"/>
    </w:rPr>
  </w:style>
  <w:style w:type="paragraph" w:customStyle="1" w:styleId="3082">
    <w:name w:val="Char Char Char1 Char Char Char Char Char Char2"/>
    <w:basedOn w:val="1"/>
    <w:autoRedefine/>
    <w:qFormat/>
    <w:uiPriority w:val="99"/>
    <w:rPr>
      <w:sz w:val="24"/>
    </w:rPr>
  </w:style>
  <w:style w:type="paragraph" w:customStyle="1" w:styleId="3083">
    <w:name w:val="表中文字311"/>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084">
    <w:name w:val="Char Char Char Char Char Char Char16"/>
    <w:basedOn w:val="1"/>
    <w:autoRedefine/>
    <w:qFormat/>
    <w:uiPriority w:val="0"/>
  </w:style>
  <w:style w:type="paragraph" w:customStyle="1" w:styleId="3085">
    <w:name w:val="正文修改33"/>
    <w:basedOn w:val="192"/>
    <w:autoRedefine/>
    <w:qFormat/>
    <w:uiPriority w:val="0"/>
    <w:rPr>
      <w:rFonts w:hAnsi="宋体"/>
      <w:color w:val="000000"/>
    </w:rPr>
  </w:style>
  <w:style w:type="paragraph" w:customStyle="1" w:styleId="3086">
    <w:name w:val="表题1122"/>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3087">
    <w:name w:val="表格内字体72"/>
    <w:basedOn w:val="416"/>
    <w:next w:val="416"/>
    <w:autoRedefine/>
    <w:qFormat/>
    <w:uiPriority w:val="0"/>
    <w:pPr>
      <w:spacing w:line="240" w:lineRule="auto"/>
      <w:ind w:firstLine="0"/>
      <w:jc w:val="center"/>
    </w:pPr>
    <w:rPr>
      <w:rFonts w:ascii="宋体" w:hAnsi="宋体"/>
      <w:b w:val="0"/>
      <w:spacing w:val="0"/>
      <w:szCs w:val="24"/>
    </w:rPr>
  </w:style>
  <w:style w:type="paragraph" w:customStyle="1" w:styleId="3088">
    <w:name w:val="图题12"/>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3089">
    <w:name w:val="Char Char Char1 Char Char Char Char Char Char Char Char Char Char Char Char Char Char Char Char Char Char Char Char Char Char2"/>
    <w:basedOn w:val="1"/>
    <w:autoRedefine/>
    <w:qFormat/>
    <w:uiPriority w:val="39"/>
    <w:rPr>
      <w:szCs w:val="20"/>
    </w:rPr>
  </w:style>
  <w:style w:type="paragraph" w:customStyle="1" w:styleId="3090">
    <w:name w:val="Char Char Char1 Char Char Char Char Char Char Char"/>
    <w:basedOn w:val="1"/>
    <w:autoRedefine/>
    <w:qFormat/>
    <w:uiPriority w:val="99"/>
    <w:rPr>
      <w:rFonts w:ascii="Tahoma" w:hAnsi="Tahoma"/>
      <w:sz w:val="24"/>
      <w:szCs w:val="20"/>
    </w:rPr>
  </w:style>
  <w:style w:type="paragraph" w:customStyle="1" w:styleId="3091">
    <w:name w:val="燕山正文311"/>
    <w:basedOn w:val="1"/>
    <w:autoRedefine/>
    <w:qFormat/>
    <w:uiPriority w:val="0"/>
    <w:pPr>
      <w:tabs>
        <w:tab w:val="left" w:pos="4680"/>
      </w:tabs>
      <w:adjustRightInd w:val="0"/>
      <w:snapToGrid w:val="0"/>
      <w:spacing w:line="480" w:lineRule="exact"/>
    </w:pPr>
    <w:rPr>
      <w:rFonts w:ascii="宋体" w:cs="宋体"/>
      <w:sz w:val="24"/>
    </w:rPr>
  </w:style>
  <w:style w:type="paragraph" w:customStyle="1" w:styleId="3092">
    <w:name w:val="封面标准文稿编辑信息2"/>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093">
    <w:name w:val="表题3112"/>
    <w:basedOn w:val="35"/>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3094">
    <w:name w:val="Char45"/>
    <w:basedOn w:val="1"/>
    <w:autoRedefine/>
    <w:qFormat/>
    <w:uiPriority w:val="0"/>
    <w:pPr>
      <w:ind w:left="-48"/>
    </w:pPr>
  </w:style>
  <w:style w:type="paragraph" w:customStyle="1" w:styleId="3095">
    <w:name w:val="首行缩进:  0.99 厘米 + 首行缩进:  2 字符2"/>
    <w:basedOn w:val="1"/>
    <w:autoRedefine/>
    <w:qFormat/>
    <w:uiPriority w:val="0"/>
    <w:pPr>
      <w:widowControl/>
      <w:topLinePunct/>
      <w:spacing w:line="480" w:lineRule="exact"/>
      <w:ind w:firstLine="420" w:firstLineChars="200"/>
      <w:jc w:val="center"/>
    </w:pPr>
    <w:rPr>
      <w:rFonts w:ascii="宋体" w:cs="宋体"/>
      <w:snapToGrid w:val="0"/>
      <w:color w:val="FF0000"/>
      <w:kern w:val="0"/>
      <w:szCs w:val="21"/>
    </w:rPr>
  </w:style>
  <w:style w:type="paragraph" w:customStyle="1" w:styleId="3096">
    <w:name w:val="样式 样式2.4.1 + 段前: 0.5 行"/>
    <w:basedOn w:val="1825"/>
    <w:autoRedefine/>
    <w:qFormat/>
    <w:uiPriority w:val="99"/>
    <w:pPr>
      <w:tabs>
        <w:tab w:val="left" w:pos="0"/>
        <w:tab w:val="left" w:pos="360"/>
      </w:tabs>
      <w:ind w:left="360" w:hanging="360"/>
    </w:pPr>
    <w:rPr>
      <w:rFonts w:cs="宋体"/>
      <w:szCs w:val="20"/>
    </w:rPr>
  </w:style>
  <w:style w:type="paragraph" w:customStyle="1" w:styleId="3097">
    <w:name w:val="样式 表格内字体 +4"/>
    <w:basedOn w:val="415"/>
    <w:autoRedefine/>
    <w:qFormat/>
    <w:uiPriority w:val="0"/>
    <w:pPr>
      <w:spacing w:line="280" w:lineRule="exact"/>
      <w:ind w:firstLine="36"/>
      <w:jc w:val="both"/>
    </w:pPr>
  </w:style>
  <w:style w:type="paragraph" w:customStyle="1" w:styleId="3098">
    <w:name w:val="表题4112"/>
    <w:basedOn w:val="35"/>
    <w:autoRedefine/>
    <w:qFormat/>
    <w:uiPriority w:val="0"/>
    <w:pPr>
      <w:tabs>
        <w:tab w:val="left" w:pos="4305"/>
      </w:tabs>
      <w:adjustRightInd w:val="0"/>
      <w:snapToGrid w:val="0"/>
      <w:spacing w:after="0"/>
      <w:ind w:left="0" w:leftChars="0"/>
      <w:jc w:val="center"/>
    </w:pPr>
    <w:rPr>
      <w:rFonts w:ascii="宋体" w:hAnsi="宋体" w:cs="宋体"/>
      <w:color w:val="000000"/>
      <w:szCs w:val="24"/>
      <w:lang w:val="en-US"/>
    </w:rPr>
  </w:style>
  <w:style w:type="paragraph" w:customStyle="1" w:styleId="3099">
    <w:name w:val="Char410"/>
    <w:basedOn w:val="1"/>
    <w:autoRedefine/>
    <w:qFormat/>
    <w:uiPriority w:val="0"/>
    <w:pPr>
      <w:ind w:left="-48"/>
    </w:pPr>
  </w:style>
  <w:style w:type="paragraph" w:customStyle="1" w:styleId="3100">
    <w:name w:val="图表题11"/>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3101">
    <w:name w:val="默认段落字体 Para Char Char Char Char511"/>
    <w:basedOn w:val="1"/>
    <w:autoRedefine/>
    <w:qFormat/>
    <w:uiPriority w:val="0"/>
  </w:style>
  <w:style w:type="paragraph" w:customStyle="1" w:styleId="3102">
    <w:name w:val="表内5314"/>
    <w:basedOn w:val="1"/>
    <w:autoRedefine/>
    <w:qFormat/>
    <w:uiPriority w:val="0"/>
    <w:pPr>
      <w:adjustRightInd w:val="0"/>
      <w:snapToGrid w:val="0"/>
      <w:spacing w:line="300" w:lineRule="auto"/>
      <w:jc w:val="left"/>
    </w:pPr>
    <w:rPr>
      <w:rFonts w:ascii="宋体"/>
      <w:szCs w:val="20"/>
    </w:rPr>
  </w:style>
  <w:style w:type="paragraph" w:customStyle="1" w:styleId="3103">
    <w:name w:val="表内文字小21112"/>
    <w:basedOn w:val="1"/>
    <w:autoRedefine/>
    <w:qFormat/>
    <w:uiPriority w:val="0"/>
    <w:pPr>
      <w:adjustRightInd w:val="0"/>
      <w:snapToGrid w:val="0"/>
      <w:jc w:val="center"/>
    </w:pPr>
    <w:rPr>
      <w:rFonts w:ascii="宋体" w:hAnsi="Times"/>
      <w:bCs/>
      <w:color w:val="000000"/>
      <w:szCs w:val="20"/>
    </w:rPr>
  </w:style>
  <w:style w:type="paragraph" w:customStyle="1" w:styleId="3104">
    <w:name w:val="表中文字62"/>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105">
    <w:name w:val="默认段落字体 Para Char11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106">
    <w:name w:val="正文格式＝12"/>
    <w:basedOn w:val="416"/>
    <w:next w:val="416"/>
    <w:autoRedefine/>
    <w:qFormat/>
    <w:uiPriority w:val="0"/>
    <w:rPr>
      <w:rFonts w:ascii="宋体" w:hAnsi="宋体"/>
      <w:b w:val="0"/>
      <w:spacing w:val="0"/>
      <w:sz w:val="24"/>
      <w:szCs w:val="24"/>
    </w:rPr>
  </w:style>
  <w:style w:type="paragraph" w:customStyle="1" w:styleId="3107">
    <w:name w:val="Char4 Char Char Char Char Char Char Char Char Char Char Char Char Char Char Char Char Char1 Char Char Char Char Char Char1 Char Char Char Char Char Char Char Char Char Char Char Char Char Char Char Char2"/>
    <w:basedOn w:val="1"/>
    <w:autoRedefine/>
    <w:qFormat/>
    <w:uiPriority w:val="39"/>
    <w:pPr>
      <w:spacing w:line="240" w:lineRule="exact"/>
      <w:ind w:firstLine="200" w:firstLineChars="200"/>
    </w:pPr>
    <w:rPr>
      <w:sz w:val="28"/>
      <w:szCs w:val="28"/>
    </w:rPr>
  </w:style>
  <w:style w:type="paragraph" w:customStyle="1" w:styleId="3108">
    <w:name w:val="表内宋51114"/>
    <w:basedOn w:val="81"/>
    <w:autoRedefine/>
    <w:qFormat/>
    <w:uiPriority w:val="0"/>
    <w:pPr>
      <w:adjustRightInd w:val="0"/>
      <w:snapToGrid w:val="0"/>
      <w:spacing w:before="0" w:beforeAutospacing="0" w:after="0" w:afterAutospacing="0"/>
      <w:jc w:val="both"/>
    </w:pPr>
    <w:rPr>
      <w:rFonts w:cs="宋体"/>
      <w:color w:val="000000"/>
      <w:sz w:val="21"/>
      <w:szCs w:val="24"/>
      <w:lang w:val="en-US"/>
    </w:rPr>
  </w:style>
  <w:style w:type="paragraph" w:customStyle="1" w:styleId="3109">
    <w:name w:val="福建正文缩进12"/>
    <w:basedOn w:val="9"/>
    <w:autoRedefine/>
    <w:qFormat/>
    <w:uiPriority w:val="0"/>
    <w:pPr>
      <w:adjustRightInd w:val="0"/>
      <w:snapToGrid w:val="0"/>
      <w:spacing w:line="360" w:lineRule="auto"/>
      <w:ind w:firstLine="567" w:firstLineChars="0"/>
    </w:pPr>
    <w:rPr>
      <w:rFonts w:ascii="宋体"/>
      <w:kern w:val="0"/>
      <w:sz w:val="24"/>
      <w:lang w:val="en-US"/>
    </w:rPr>
  </w:style>
  <w:style w:type="paragraph" w:customStyle="1" w:styleId="3110">
    <w:name w:val="Char36"/>
    <w:basedOn w:val="1"/>
    <w:autoRedefine/>
    <w:qFormat/>
    <w:uiPriority w:val="0"/>
    <w:pPr>
      <w:ind w:left="-48"/>
    </w:pPr>
  </w:style>
  <w:style w:type="paragraph" w:customStyle="1" w:styleId="3111">
    <w:name w:val="样式411"/>
    <w:basedOn w:val="34"/>
    <w:autoRedefine/>
    <w:qFormat/>
    <w:uiPriority w:val="0"/>
    <w:pPr>
      <w:widowControl w:val="0"/>
      <w:tabs>
        <w:tab w:val="left" w:pos="1820"/>
      </w:tabs>
      <w:spacing w:before="0" w:after="0" w:line="240" w:lineRule="atLeast"/>
      <w:ind w:right="0"/>
      <w:jc w:val="center"/>
    </w:pPr>
    <w:rPr>
      <w:rFonts w:eastAsia="幼圆"/>
      <w:sz w:val="20"/>
      <w:lang w:val="en-US"/>
    </w:rPr>
  </w:style>
  <w:style w:type="paragraph" w:customStyle="1" w:styleId="3112">
    <w:name w:val="Char Char2 Char Char Char Char12"/>
    <w:basedOn w:val="1"/>
    <w:autoRedefine/>
    <w:qFormat/>
    <w:uiPriority w:val="0"/>
  </w:style>
  <w:style w:type="paragraph" w:customStyle="1" w:styleId="3113">
    <w:name w:val="表中文字411"/>
    <w:basedOn w:val="1"/>
    <w:autoRedefine/>
    <w:qFormat/>
    <w:uiPriority w:val="0"/>
    <w:pPr>
      <w:snapToGrid w:val="0"/>
      <w:spacing w:line="340" w:lineRule="exact"/>
      <w:ind w:firstLine="480" w:firstLineChars="200"/>
      <w:jc w:val="center"/>
    </w:pPr>
    <w:rPr>
      <w:rFonts w:ascii="Arial" w:hAnsi="Arial"/>
      <w:kern w:val="0"/>
      <w:sz w:val="20"/>
      <w:lang w:eastAsia="zh-TW"/>
    </w:rPr>
  </w:style>
  <w:style w:type="paragraph" w:customStyle="1" w:styleId="3114">
    <w:name w:val="默认段落字体 Para Char Char Char Char8"/>
    <w:basedOn w:val="1"/>
    <w:autoRedefine/>
    <w:qFormat/>
    <w:uiPriority w:val="0"/>
  </w:style>
  <w:style w:type="paragraph" w:customStyle="1" w:styleId="3115">
    <w:name w:val="正文格式312"/>
    <w:basedOn w:val="1"/>
    <w:autoRedefine/>
    <w:qFormat/>
    <w:uiPriority w:val="0"/>
    <w:pPr>
      <w:spacing w:line="360" w:lineRule="auto"/>
      <w:ind w:firstLine="482"/>
    </w:pPr>
    <w:rPr>
      <w:rFonts w:ascii="宋体" w:hAnsi="宋体"/>
      <w:sz w:val="24"/>
    </w:rPr>
  </w:style>
  <w:style w:type="paragraph" w:customStyle="1" w:styleId="3116">
    <w:name w:val="样式 样式  小四 黑色 居中 首行缩进:  2 字符 行距: 固定值 18 磅 + 首行缩进:  0.85 厘米"/>
    <w:basedOn w:val="1"/>
    <w:autoRedefine/>
    <w:qFormat/>
    <w:uiPriority w:val="99"/>
    <w:pPr>
      <w:spacing w:after="156" w:line="360" w:lineRule="exact"/>
      <w:jc w:val="center"/>
    </w:pPr>
    <w:rPr>
      <w:rFonts w:ascii="仿宋_GB2312" w:hAnsi="仿宋_GB2312" w:cs="宋体"/>
      <w:b/>
      <w:bCs/>
      <w:sz w:val="24"/>
      <w:szCs w:val="20"/>
    </w:rPr>
  </w:style>
  <w:style w:type="paragraph" w:customStyle="1" w:styleId="3117">
    <w:name w:val="Char3311"/>
    <w:basedOn w:val="1"/>
    <w:autoRedefine/>
    <w:qFormat/>
    <w:uiPriority w:val="0"/>
    <w:pPr>
      <w:ind w:left="-48"/>
    </w:pPr>
  </w:style>
  <w:style w:type="paragraph" w:customStyle="1" w:styleId="3118">
    <w:name w:val="Char Char Char Char5"/>
    <w:basedOn w:val="26"/>
    <w:autoRedefine/>
    <w:qFormat/>
    <w:uiPriority w:val="99"/>
    <w:pPr>
      <w:widowControl/>
      <w:adjustRightInd w:val="0"/>
      <w:snapToGrid w:val="0"/>
      <w:spacing w:line="360" w:lineRule="auto"/>
      <w:jc w:val="left"/>
    </w:pPr>
    <w:rPr>
      <w:rFonts w:ascii="Tahoma" w:hAnsi="Tahoma" w:cs="宋体"/>
      <w:sz w:val="24"/>
      <w:szCs w:val="24"/>
    </w:rPr>
  </w:style>
  <w:style w:type="paragraph" w:customStyle="1" w:styleId="3119">
    <w:name w:val="标题415"/>
    <w:basedOn w:val="6"/>
    <w:next w:val="1"/>
    <w:autoRedefine/>
    <w:qFormat/>
    <w:uiPriority w:val="0"/>
    <w:pPr>
      <w:spacing w:before="160" w:after="170" w:line="360" w:lineRule="auto"/>
      <w:ind w:left="0" w:firstLine="0"/>
    </w:pPr>
    <w:rPr>
      <w:rFonts w:ascii="黑体"/>
      <w:sz w:val="24"/>
    </w:rPr>
  </w:style>
  <w:style w:type="paragraph" w:customStyle="1" w:styleId="3120">
    <w:name w:val="Char Char Char Char Char Char Char27"/>
    <w:basedOn w:val="1"/>
    <w:autoRedefine/>
    <w:qFormat/>
    <w:uiPriority w:val="0"/>
  </w:style>
  <w:style w:type="paragraph" w:customStyle="1" w:styleId="3121">
    <w:name w:val="公用工程"/>
    <w:basedOn w:val="6"/>
    <w:autoRedefine/>
    <w:qFormat/>
    <w:uiPriority w:val="99"/>
    <w:pPr>
      <w:tabs>
        <w:tab w:val="left" w:pos="0"/>
        <w:tab w:val="left" w:pos="286"/>
      </w:tabs>
      <w:spacing w:before="0" w:after="0" w:line="360" w:lineRule="auto"/>
      <w:ind w:left="2102" w:hanging="420"/>
      <w:jc w:val="left"/>
    </w:pPr>
    <w:rPr>
      <w:rFonts w:ascii="宋体" w:eastAsia="宋体"/>
      <w:b w:val="0"/>
      <w:color w:val="000000"/>
      <w:sz w:val="24"/>
    </w:rPr>
  </w:style>
  <w:style w:type="paragraph" w:customStyle="1" w:styleId="3122">
    <w:name w:val="样式 表格内字体 +3"/>
    <w:basedOn w:val="415"/>
    <w:autoRedefine/>
    <w:qFormat/>
    <w:uiPriority w:val="0"/>
    <w:pPr>
      <w:spacing w:line="280" w:lineRule="exact"/>
      <w:ind w:firstLine="36"/>
      <w:jc w:val="both"/>
    </w:pPr>
  </w:style>
  <w:style w:type="paragraph" w:customStyle="1" w:styleId="3123">
    <w:name w:val="表文字5122"/>
    <w:basedOn w:val="1"/>
    <w:autoRedefine/>
    <w:qFormat/>
    <w:uiPriority w:val="0"/>
    <w:pPr>
      <w:adjustRightInd w:val="0"/>
      <w:jc w:val="left"/>
      <w:textAlignment w:val="baseline"/>
    </w:pPr>
    <w:rPr>
      <w:rFonts w:ascii="宋体"/>
      <w:kern w:val="0"/>
      <w:szCs w:val="20"/>
    </w:rPr>
  </w:style>
  <w:style w:type="paragraph" w:customStyle="1" w:styleId="3124">
    <w:name w:val="表格内字体411"/>
    <w:basedOn w:val="416"/>
    <w:next w:val="416"/>
    <w:autoRedefine/>
    <w:qFormat/>
    <w:uiPriority w:val="0"/>
    <w:pPr>
      <w:spacing w:line="240" w:lineRule="auto"/>
      <w:ind w:firstLine="0"/>
      <w:jc w:val="center"/>
    </w:pPr>
    <w:rPr>
      <w:rFonts w:ascii="宋体" w:hAnsi="宋体"/>
      <w:b w:val="0"/>
      <w:spacing w:val="0"/>
      <w:szCs w:val="24"/>
    </w:rPr>
  </w:style>
  <w:style w:type="paragraph" w:customStyle="1" w:styleId="3125">
    <w:name w:val="表内514"/>
    <w:basedOn w:val="1"/>
    <w:autoRedefine/>
    <w:qFormat/>
    <w:uiPriority w:val="0"/>
    <w:pPr>
      <w:adjustRightInd w:val="0"/>
      <w:snapToGrid w:val="0"/>
      <w:jc w:val="center"/>
    </w:pPr>
    <w:rPr>
      <w:rFonts w:ascii="宋体" w:hAnsi="宋体"/>
      <w:kern w:val="0"/>
      <w:sz w:val="20"/>
      <w:szCs w:val="20"/>
    </w:rPr>
  </w:style>
  <w:style w:type="paragraph" w:customStyle="1" w:styleId="3126">
    <w:name w:val="表题31211"/>
    <w:basedOn w:val="35"/>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3127">
    <w:name w:val="附件34"/>
    <w:basedOn w:val="3"/>
    <w:next w:val="416"/>
    <w:autoRedefine/>
    <w:qFormat/>
    <w:uiPriority w:val="0"/>
    <w:pPr>
      <w:keepLines/>
      <w:tabs>
        <w:tab w:val="left" w:pos="1566"/>
      </w:tabs>
      <w:overflowPunct/>
      <w:adjustRightInd w:val="0"/>
      <w:spacing w:before="0" w:after="120" w:line="360" w:lineRule="auto"/>
      <w:ind w:left="0" w:firstLine="0"/>
      <w:jc w:val="left"/>
    </w:pPr>
    <w:rPr>
      <w:rFonts w:ascii="黑体" w:hAnsi="宋体"/>
      <w:b w:val="0"/>
      <w:color w:val="auto"/>
      <w:sz w:val="32"/>
      <w:szCs w:val="32"/>
    </w:rPr>
  </w:style>
  <w:style w:type="paragraph" w:customStyle="1" w:styleId="3128">
    <w:name w:val="表内54142"/>
    <w:basedOn w:val="1"/>
    <w:autoRedefine/>
    <w:qFormat/>
    <w:uiPriority w:val="0"/>
    <w:pPr>
      <w:adjustRightInd w:val="0"/>
      <w:snapToGrid w:val="0"/>
      <w:spacing w:line="300" w:lineRule="auto"/>
      <w:jc w:val="center"/>
    </w:pPr>
    <w:rPr>
      <w:rFonts w:ascii="宋体" w:hAnsi="宋体" w:cs="宋体"/>
      <w:szCs w:val="20"/>
    </w:rPr>
  </w:style>
  <w:style w:type="paragraph" w:customStyle="1" w:styleId="3129">
    <w:name w:val="字元 字元"/>
    <w:basedOn w:val="1"/>
    <w:autoRedefine/>
    <w:qFormat/>
    <w:uiPriority w:val="0"/>
    <w:rPr>
      <w:szCs w:val="21"/>
    </w:rPr>
  </w:style>
  <w:style w:type="paragraph" w:customStyle="1" w:styleId="3130">
    <w:name w:val="表内54122"/>
    <w:basedOn w:val="1"/>
    <w:autoRedefine/>
    <w:qFormat/>
    <w:uiPriority w:val="0"/>
    <w:pPr>
      <w:adjustRightInd w:val="0"/>
      <w:snapToGrid w:val="0"/>
      <w:spacing w:line="300" w:lineRule="auto"/>
      <w:jc w:val="center"/>
    </w:pPr>
    <w:rPr>
      <w:rFonts w:ascii="宋体" w:hAnsi="宋体" w:cs="宋体"/>
      <w:szCs w:val="20"/>
    </w:rPr>
  </w:style>
  <w:style w:type="paragraph" w:customStyle="1" w:styleId="3131">
    <w:name w:val="报告书正文段落"/>
    <w:basedOn w:val="1"/>
    <w:autoRedefine/>
    <w:qFormat/>
    <w:uiPriority w:val="99"/>
    <w:pPr>
      <w:spacing w:line="520" w:lineRule="exact"/>
      <w:ind w:firstLine="480" w:firstLineChars="200"/>
      <w:jc w:val="left"/>
    </w:pPr>
    <w:rPr>
      <w:rFonts w:cs="宋体"/>
      <w:kern w:val="0"/>
      <w:sz w:val="24"/>
      <w:lang w:val="zh-CN"/>
    </w:rPr>
  </w:style>
  <w:style w:type="paragraph" w:customStyle="1" w:styleId="3132">
    <w:name w:val="首行缩进:  0.99 厘米 + 首行缩进:  2 字符3"/>
    <w:basedOn w:val="1"/>
    <w:autoRedefine/>
    <w:qFormat/>
    <w:uiPriority w:val="0"/>
    <w:pPr>
      <w:widowControl/>
      <w:topLinePunct/>
      <w:spacing w:line="480" w:lineRule="exact"/>
      <w:ind w:firstLine="420" w:firstLineChars="200"/>
      <w:jc w:val="center"/>
    </w:pPr>
    <w:rPr>
      <w:rFonts w:ascii="宋体" w:cs="宋体"/>
      <w:snapToGrid w:val="0"/>
      <w:color w:val="FF0000"/>
      <w:kern w:val="0"/>
      <w:szCs w:val="21"/>
    </w:rPr>
  </w:style>
  <w:style w:type="paragraph" w:customStyle="1" w:styleId="3133">
    <w:name w:val="表内文字小2122"/>
    <w:basedOn w:val="1"/>
    <w:autoRedefine/>
    <w:qFormat/>
    <w:uiPriority w:val="0"/>
    <w:pPr>
      <w:adjustRightInd w:val="0"/>
      <w:snapToGrid w:val="0"/>
      <w:jc w:val="center"/>
    </w:pPr>
    <w:rPr>
      <w:rFonts w:ascii="宋体" w:hAnsi="Times"/>
      <w:bCs/>
      <w:color w:val="000000"/>
      <w:szCs w:val="20"/>
    </w:rPr>
  </w:style>
  <w:style w:type="paragraph" w:customStyle="1" w:styleId="3134">
    <w:name w:val="默认段落字体 Para Char Char Char Char62"/>
    <w:basedOn w:val="1"/>
    <w:autoRedefine/>
    <w:qFormat/>
    <w:uiPriority w:val="0"/>
  </w:style>
  <w:style w:type="paragraph" w:customStyle="1" w:styleId="3135">
    <w:name w:val="表格内字体113"/>
    <w:basedOn w:val="416"/>
    <w:autoRedefine/>
    <w:qFormat/>
    <w:uiPriority w:val="0"/>
    <w:pPr>
      <w:spacing w:line="240" w:lineRule="auto"/>
      <w:ind w:firstLine="0"/>
      <w:jc w:val="center"/>
    </w:pPr>
    <w:rPr>
      <w:rFonts w:ascii="宋体" w:hAnsi="Times New Roman" w:cs="宋体"/>
      <w:b w:val="0"/>
      <w:spacing w:val="0"/>
    </w:rPr>
  </w:style>
  <w:style w:type="paragraph" w:customStyle="1" w:styleId="3136">
    <w:name w:val="表题122"/>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3137">
    <w:name w:val="样式 标题 4"/>
    <w:basedOn w:val="6"/>
    <w:autoRedefine/>
    <w:qFormat/>
    <w:uiPriority w:val="99"/>
    <w:pPr>
      <w:tabs>
        <w:tab w:val="left" w:pos="-480"/>
        <w:tab w:val="left" w:pos="0"/>
        <w:tab w:val="left" w:pos="2240"/>
      </w:tabs>
      <w:spacing w:before="0" w:after="0" w:line="360" w:lineRule="auto"/>
      <w:ind w:left="2240" w:hanging="420"/>
      <w:jc w:val="left"/>
    </w:pPr>
    <w:rPr>
      <w:rFonts w:ascii="宋体" w:eastAsia="宋体"/>
      <w:b w:val="0"/>
      <w:bCs w:val="0"/>
      <w:color w:val="000000"/>
      <w:sz w:val="24"/>
    </w:rPr>
  </w:style>
  <w:style w:type="paragraph" w:customStyle="1" w:styleId="3138">
    <w:name w:val="表中文字53"/>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139">
    <w:name w:val="Fax Header11"/>
    <w:basedOn w:val="1"/>
    <w:autoRedefine/>
    <w:qFormat/>
    <w:uiPriority w:val="0"/>
    <w:pPr>
      <w:widowControl/>
      <w:spacing w:before="240" w:after="60"/>
      <w:jc w:val="left"/>
    </w:pPr>
    <w:rPr>
      <w:kern w:val="0"/>
      <w:sz w:val="20"/>
      <w:szCs w:val="20"/>
    </w:rPr>
  </w:style>
  <w:style w:type="paragraph" w:customStyle="1" w:styleId="3140">
    <w:name w:val="表格内字体81"/>
    <w:basedOn w:val="416"/>
    <w:next w:val="416"/>
    <w:autoRedefine/>
    <w:qFormat/>
    <w:uiPriority w:val="0"/>
    <w:pPr>
      <w:spacing w:line="240" w:lineRule="auto"/>
      <w:ind w:firstLine="0"/>
      <w:jc w:val="center"/>
    </w:pPr>
    <w:rPr>
      <w:rFonts w:ascii="宋体" w:hAnsi="宋体"/>
      <w:b w:val="0"/>
      <w:spacing w:val="0"/>
      <w:szCs w:val="24"/>
    </w:rPr>
  </w:style>
  <w:style w:type="paragraph" w:customStyle="1" w:styleId="3141">
    <w:name w:val="Char Char Char1 Char Char Char Char Char Char Char Char Char Char Char Char Char Char Char1 Char Char Char Char Char Char Char Char Char Char Char Char Char Char Char Char Char Char Char Char Char Char Char Char Char Char Char Char Char Char2"/>
    <w:basedOn w:val="1"/>
    <w:autoRedefine/>
    <w:qFormat/>
    <w:uiPriority w:val="39"/>
    <w:pPr>
      <w:spacing w:line="240" w:lineRule="exact"/>
      <w:ind w:firstLine="200" w:firstLineChars="200"/>
    </w:pPr>
    <w:rPr>
      <w:sz w:val="28"/>
      <w:szCs w:val="28"/>
    </w:rPr>
  </w:style>
  <w:style w:type="paragraph" w:customStyle="1" w:styleId="3142">
    <w:name w:val="xl6311"/>
    <w:basedOn w:val="1"/>
    <w:autoRedefine/>
    <w:qFormat/>
    <w:uiPriority w:val="0"/>
    <w:pPr>
      <w:widowControl/>
      <w:spacing w:before="100" w:beforeAutospacing="1" w:after="100" w:afterAutospacing="1"/>
      <w:jc w:val="center"/>
      <w:textAlignment w:val="center"/>
    </w:pPr>
    <w:rPr>
      <w:rFonts w:hint="eastAsia" w:ascii="黑体" w:hAnsi="宋体" w:eastAsia="黑体"/>
      <w:kern w:val="0"/>
      <w:sz w:val="24"/>
    </w:rPr>
  </w:style>
  <w:style w:type="paragraph" w:customStyle="1" w:styleId="3143">
    <w:name w:val="正文格式311"/>
    <w:basedOn w:val="1"/>
    <w:autoRedefine/>
    <w:qFormat/>
    <w:uiPriority w:val="0"/>
    <w:pPr>
      <w:spacing w:line="360" w:lineRule="auto"/>
      <w:ind w:firstLine="482"/>
    </w:pPr>
    <w:rPr>
      <w:rFonts w:ascii="宋体" w:hAnsi="宋体"/>
      <w:sz w:val="24"/>
    </w:rPr>
  </w:style>
  <w:style w:type="paragraph" w:customStyle="1" w:styleId="3144">
    <w:name w:val="黑体三号212"/>
    <w:basedOn w:val="416"/>
    <w:autoRedefine/>
    <w:qFormat/>
    <w:uiPriority w:val="0"/>
    <w:pPr>
      <w:jc w:val="center"/>
    </w:pPr>
    <w:rPr>
      <w:rFonts w:ascii="黑体" w:hAnsi="宋体" w:eastAsia="黑体" w:cs="宋体"/>
      <w:bCs/>
      <w:spacing w:val="0"/>
      <w:sz w:val="32"/>
    </w:rPr>
  </w:style>
  <w:style w:type="paragraph" w:customStyle="1" w:styleId="3145">
    <w:name w:val="Char1 Char Char Char Char Char Char Char Char Char1 Char Char Char Char Char Char2"/>
    <w:basedOn w:val="1"/>
    <w:autoRedefine/>
    <w:qFormat/>
    <w:uiPriority w:val="39"/>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paragraph" w:customStyle="1" w:styleId="3146">
    <w:name w:val="表内宋5中113"/>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3147">
    <w:name w:val="Char Char2 Char Char Char Char311"/>
    <w:basedOn w:val="1"/>
    <w:autoRedefine/>
    <w:qFormat/>
    <w:uiPriority w:val="0"/>
  </w:style>
  <w:style w:type="paragraph" w:customStyle="1" w:styleId="3148">
    <w:name w:val="Char28"/>
    <w:basedOn w:val="1"/>
    <w:autoRedefine/>
    <w:qFormat/>
    <w:uiPriority w:val="0"/>
    <w:pPr>
      <w:ind w:left="-48"/>
    </w:pPr>
  </w:style>
  <w:style w:type="paragraph" w:customStyle="1" w:styleId="3149">
    <w:name w:val="表内5322"/>
    <w:basedOn w:val="1"/>
    <w:autoRedefine/>
    <w:qFormat/>
    <w:uiPriority w:val="0"/>
    <w:pPr>
      <w:adjustRightInd w:val="0"/>
      <w:snapToGrid w:val="0"/>
      <w:spacing w:line="300" w:lineRule="auto"/>
      <w:jc w:val="left"/>
    </w:pPr>
    <w:rPr>
      <w:rFonts w:ascii="宋体"/>
      <w:szCs w:val="20"/>
    </w:rPr>
  </w:style>
  <w:style w:type="paragraph" w:customStyle="1" w:styleId="3150">
    <w:name w:val="表格内字体711"/>
    <w:basedOn w:val="416"/>
    <w:next w:val="416"/>
    <w:autoRedefine/>
    <w:qFormat/>
    <w:uiPriority w:val="0"/>
    <w:pPr>
      <w:spacing w:line="240" w:lineRule="auto"/>
      <w:ind w:firstLine="0"/>
      <w:jc w:val="center"/>
    </w:pPr>
    <w:rPr>
      <w:rFonts w:ascii="宋体" w:hAnsi="宋体"/>
      <w:b w:val="0"/>
      <w:spacing w:val="0"/>
      <w:szCs w:val="24"/>
    </w:rPr>
  </w:style>
  <w:style w:type="paragraph" w:customStyle="1" w:styleId="3151">
    <w:name w:val="表内文字小3122"/>
    <w:basedOn w:val="1"/>
    <w:autoRedefine/>
    <w:qFormat/>
    <w:uiPriority w:val="0"/>
    <w:pPr>
      <w:adjustRightInd w:val="0"/>
      <w:snapToGrid w:val="0"/>
      <w:jc w:val="center"/>
    </w:pPr>
    <w:rPr>
      <w:rFonts w:ascii="宋体" w:hAnsi="Times" w:cs="宋体"/>
      <w:bCs/>
      <w:color w:val="003366"/>
      <w:szCs w:val="20"/>
    </w:rPr>
  </w:style>
  <w:style w:type="paragraph" w:customStyle="1" w:styleId="3152">
    <w:name w:val="BBBBBBBBBB"/>
    <w:basedOn w:val="1"/>
    <w:autoRedefine/>
    <w:qFormat/>
    <w:uiPriority w:val="99"/>
    <w:pPr>
      <w:spacing w:line="324" w:lineRule="auto"/>
      <w:jc w:val="center"/>
    </w:pPr>
    <w:rPr>
      <w:rFonts w:hAnsi="宋体"/>
      <w:b/>
      <w:bCs/>
      <w:szCs w:val="21"/>
    </w:rPr>
  </w:style>
  <w:style w:type="paragraph" w:customStyle="1" w:styleId="3153">
    <w:name w:val="正文文本缩进 35"/>
    <w:basedOn w:val="1"/>
    <w:autoRedefine/>
    <w:qFormat/>
    <w:uiPriority w:val="34"/>
    <w:pPr>
      <w:spacing w:after="120"/>
      <w:ind w:left="420" w:leftChars="200"/>
    </w:pPr>
    <w:rPr>
      <w:rFonts w:eastAsia="仿宋_GB2312"/>
      <w:sz w:val="16"/>
      <w:szCs w:val="16"/>
    </w:rPr>
  </w:style>
  <w:style w:type="paragraph" w:customStyle="1" w:styleId="3154">
    <w:name w:val="表内522"/>
    <w:basedOn w:val="1"/>
    <w:autoRedefine/>
    <w:qFormat/>
    <w:uiPriority w:val="0"/>
    <w:pPr>
      <w:adjustRightInd w:val="0"/>
      <w:snapToGrid w:val="0"/>
      <w:spacing w:line="300" w:lineRule="auto"/>
      <w:jc w:val="left"/>
    </w:pPr>
    <w:rPr>
      <w:rFonts w:ascii="宋体"/>
      <w:sz w:val="18"/>
      <w:szCs w:val="20"/>
    </w:rPr>
  </w:style>
  <w:style w:type="paragraph" w:customStyle="1" w:styleId="3155">
    <w:name w:val="样式 样式 宋体 + 首行缩进:  2 字符13"/>
    <w:basedOn w:val="1"/>
    <w:autoRedefine/>
    <w:qFormat/>
    <w:uiPriority w:val="0"/>
    <w:pPr>
      <w:spacing w:line="360" w:lineRule="auto"/>
      <w:ind w:firstLine="480" w:firstLineChars="200"/>
      <w:jc w:val="left"/>
    </w:pPr>
    <w:rPr>
      <w:rFonts w:ascii="宋体" w:cs="宋体"/>
      <w:sz w:val="24"/>
    </w:rPr>
  </w:style>
  <w:style w:type="paragraph" w:customStyle="1" w:styleId="3156">
    <w:name w:val="样式 标题 2节节标题 1.1H2（一）Underrubrik1prop2Heading 2 HiddenHea...2"/>
    <w:basedOn w:val="4"/>
    <w:autoRedefine/>
    <w:qFormat/>
    <w:uiPriority w:val="99"/>
    <w:pPr>
      <w:tabs>
        <w:tab w:val="left" w:pos="576"/>
      </w:tabs>
      <w:spacing w:beforeLines="50" w:after="0" w:line="360" w:lineRule="auto"/>
      <w:jc w:val="left"/>
    </w:pPr>
    <w:rPr>
      <w:rFonts w:ascii="宋体" w:hAnsi="Arial"/>
      <w:color w:val="000000"/>
      <w:sz w:val="30"/>
    </w:rPr>
  </w:style>
  <w:style w:type="paragraph" w:customStyle="1" w:styleId="3157">
    <w:name w:val="c3"/>
    <w:autoRedefine/>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3158">
    <w:name w:val="正文格式63"/>
    <w:basedOn w:val="1"/>
    <w:autoRedefine/>
    <w:qFormat/>
    <w:uiPriority w:val="0"/>
    <w:pPr>
      <w:spacing w:line="360" w:lineRule="auto"/>
      <w:ind w:firstLine="482"/>
    </w:pPr>
    <w:rPr>
      <w:rFonts w:ascii="宋体" w:hAnsi="宋体"/>
      <w:sz w:val="24"/>
    </w:rPr>
  </w:style>
  <w:style w:type="paragraph" w:customStyle="1" w:styleId="3159">
    <w:name w:val="表212"/>
    <w:basedOn w:val="1"/>
    <w:autoRedefine/>
    <w:qFormat/>
    <w:uiPriority w:val="0"/>
    <w:pPr>
      <w:adjustRightInd w:val="0"/>
      <w:snapToGrid w:val="0"/>
      <w:jc w:val="center"/>
    </w:pPr>
    <w:rPr>
      <w:rFonts w:eastAsia="仿宋_GB2312"/>
      <w:sz w:val="24"/>
    </w:rPr>
  </w:style>
  <w:style w:type="paragraph" w:customStyle="1" w:styleId="3160">
    <w:name w:val="Char Char Char Char Char Char Char17"/>
    <w:basedOn w:val="1"/>
    <w:autoRedefine/>
    <w:qFormat/>
    <w:uiPriority w:val="0"/>
  </w:style>
  <w:style w:type="paragraph" w:customStyle="1" w:styleId="3161">
    <w:name w:val="附件212"/>
    <w:basedOn w:val="3"/>
    <w:next w:val="416"/>
    <w:autoRedefine/>
    <w:qFormat/>
    <w:uiPriority w:val="0"/>
    <w:pPr>
      <w:keepLines/>
      <w:tabs>
        <w:tab w:val="left" w:pos="1566"/>
      </w:tabs>
      <w:overflowPunct/>
      <w:snapToGrid/>
      <w:spacing w:before="0" w:after="210" w:line="360" w:lineRule="auto"/>
      <w:ind w:left="0" w:firstLine="0"/>
      <w:jc w:val="left"/>
    </w:pPr>
    <w:rPr>
      <w:rFonts w:ascii="黑体" w:hAnsi="宋体"/>
      <w:b w:val="0"/>
      <w:color w:val="auto"/>
      <w:sz w:val="32"/>
      <w:szCs w:val="32"/>
    </w:rPr>
  </w:style>
  <w:style w:type="paragraph" w:customStyle="1" w:styleId="3162">
    <w:name w:val="表内5中42"/>
    <w:basedOn w:val="1"/>
    <w:autoRedefine/>
    <w:qFormat/>
    <w:uiPriority w:val="0"/>
    <w:pPr>
      <w:adjustRightInd w:val="0"/>
      <w:snapToGrid w:val="0"/>
      <w:jc w:val="center"/>
    </w:pPr>
    <w:rPr>
      <w:rFonts w:ascii="宋体"/>
      <w:bCs/>
      <w:szCs w:val="20"/>
    </w:rPr>
  </w:style>
  <w:style w:type="paragraph" w:customStyle="1" w:styleId="3163">
    <w:name w:val="表内文字小3134"/>
    <w:basedOn w:val="1"/>
    <w:autoRedefine/>
    <w:qFormat/>
    <w:uiPriority w:val="0"/>
    <w:pPr>
      <w:adjustRightInd w:val="0"/>
      <w:snapToGrid w:val="0"/>
      <w:jc w:val="center"/>
    </w:pPr>
    <w:rPr>
      <w:rFonts w:ascii="宋体" w:hAnsi="Times" w:cs="宋体"/>
      <w:bCs/>
      <w:color w:val="003366"/>
      <w:szCs w:val="20"/>
    </w:rPr>
  </w:style>
  <w:style w:type="paragraph" w:customStyle="1" w:styleId="3164">
    <w:name w:val="图题711"/>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3165">
    <w:name w:val="样式122"/>
    <w:basedOn w:val="1604"/>
    <w:autoRedefine/>
    <w:qFormat/>
    <w:uiPriority w:val="0"/>
    <w:pPr>
      <w:spacing w:line="240" w:lineRule="auto"/>
      <w:ind w:firstLine="0"/>
      <w:jc w:val="center"/>
    </w:pPr>
    <w:rPr>
      <w:rFonts w:cs="Times New Roman"/>
      <w:b/>
      <w:color w:val="auto"/>
      <w:szCs w:val="20"/>
    </w:rPr>
  </w:style>
  <w:style w:type="paragraph" w:customStyle="1" w:styleId="3166">
    <w:name w:val="日期5"/>
    <w:basedOn w:val="1"/>
    <w:next w:val="1"/>
    <w:autoRedefine/>
    <w:qFormat/>
    <w:uiPriority w:val="39"/>
    <w:rPr>
      <w:rFonts w:eastAsia="仿宋_GB2312"/>
      <w:sz w:val="30"/>
      <w:szCs w:val="20"/>
    </w:rPr>
  </w:style>
  <w:style w:type="paragraph" w:customStyle="1" w:styleId="3167">
    <w:name w:val="Char Char2 Char Char Char Char13"/>
    <w:basedOn w:val="1"/>
    <w:autoRedefine/>
    <w:qFormat/>
    <w:uiPriority w:val="0"/>
  </w:style>
  <w:style w:type="paragraph" w:customStyle="1" w:styleId="3168">
    <w:name w:val="燕山正文1122"/>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169">
    <w:name w:val="默认段落字体 Para Char41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170">
    <w:name w:val="文本框14"/>
    <w:basedOn w:val="1"/>
    <w:autoRedefine/>
    <w:qFormat/>
    <w:uiPriority w:val="0"/>
    <w:pPr>
      <w:adjustRightInd w:val="0"/>
      <w:snapToGrid w:val="0"/>
      <w:spacing w:after="6"/>
      <w:jc w:val="center"/>
    </w:pPr>
    <w:rPr>
      <w:rFonts w:eastAsia="仿宋_GB2312"/>
    </w:rPr>
  </w:style>
  <w:style w:type="paragraph" w:customStyle="1" w:styleId="3171">
    <w:name w:val="正文修改7"/>
    <w:basedOn w:val="192"/>
    <w:autoRedefine/>
    <w:qFormat/>
    <w:uiPriority w:val="0"/>
    <w:rPr>
      <w:rFonts w:hAnsi="宋体"/>
      <w:color w:val="000000"/>
    </w:rPr>
  </w:style>
  <w:style w:type="paragraph" w:customStyle="1" w:styleId="3172">
    <w:name w:val="表题93"/>
    <w:basedOn w:val="45"/>
    <w:autoRedefine/>
    <w:qFormat/>
    <w:uiPriority w:val="0"/>
    <w:pPr>
      <w:adjustRightInd w:val="0"/>
      <w:snapToGrid w:val="0"/>
      <w:spacing w:line="300" w:lineRule="auto"/>
      <w:jc w:val="center"/>
    </w:pPr>
    <w:rPr>
      <w:rFonts w:ascii="黑体" w:eastAsia="黑体"/>
      <w:sz w:val="24"/>
      <w:szCs w:val="20"/>
    </w:rPr>
  </w:style>
  <w:style w:type="paragraph" w:customStyle="1" w:styleId="3173">
    <w:name w:val="样式1111"/>
    <w:basedOn w:val="1604"/>
    <w:autoRedefine/>
    <w:qFormat/>
    <w:uiPriority w:val="0"/>
    <w:pPr>
      <w:spacing w:line="240" w:lineRule="auto"/>
      <w:ind w:firstLine="0"/>
      <w:jc w:val="center"/>
    </w:pPr>
    <w:rPr>
      <w:rFonts w:cs="Times New Roman"/>
      <w:b/>
      <w:color w:val="auto"/>
      <w:szCs w:val="20"/>
    </w:rPr>
  </w:style>
  <w:style w:type="paragraph" w:customStyle="1" w:styleId="3174">
    <w:name w:val="标题414"/>
    <w:basedOn w:val="6"/>
    <w:next w:val="1"/>
    <w:autoRedefine/>
    <w:qFormat/>
    <w:uiPriority w:val="0"/>
    <w:pPr>
      <w:spacing w:before="160" w:after="170" w:line="360" w:lineRule="auto"/>
      <w:ind w:left="0" w:firstLine="0"/>
    </w:pPr>
    <w:rPr>
      <w:rFonts w:ascii="黑体"/>
      <w:sz w:val="24"/>
    </w:rPr>
  </w:style>
  <w:style w:type="paragraph" w:customStyle="1" w:styleId="3175">
    <w:name w:val="Char46"/>
    <w:basedOn w:val="1"/>
    <w:autoRedefine/>
    <w:qFormat/>
    <w:uiPriority w:val="0"/>
    <w:pPr>
      <w:ind w:left="-48"/>
    </w:pPr>
  </w:style>
  <w:style w:type="paragraph" w:customStyle="1" w:styleId="3176">
    <w:name w:val="表内5312"/>
    <w:basedOn w:val="1"/>
    <w:autoRedefine/>
    <w:qFormat/>
    <w:uiPriority w:val="0"/>
    <w:pPr>
      <w:adjustRightInd w:val="0"/>
      <w:snapToGrid w:val="0"/>
      <w:spacing w:line="300" w:lineRule="auto"/>
      <w:jc w:val="left"/>
    </w:pPr>
    <w:rPr>
      <w:rFonts w:ascii="宋体"/>
      <w:szCs w:val="20"/>
    </w:rPr>
  </w:style>
  <w:style w:type="paragraph" w:customStyle="1" w:styleId="3177">
    <w:name w:val="Char34"/>
    <w:basedOn w:val="1"/>
    <w:autoRedefine/>
    <w:qFormat/>
    <w:uiPriority w:val="0"/>
    <w:pPr>
      <w:ind w:left="-48"/>
    </w:pPr>
  </w:style>
  <w:style w:type="paragraph" w:customStyle="1" w:styleId="3178">
    <w:name w:val="表格内字体82"/>
    <w:basedOn w:val="416"/>
    <w:next w:val="416"/>
    <w:autoRedefine/>
    <w:qFormat/>
    <w:uiPriority w:val="0"/>
    <w:pPr>
      <w:spacing w:line="240" w:lineRule="auto"/>
      <w:ind w:firstLine="0"/>
      <w:jc w:val="center"/>
    </w:pPr>
    <w:rPr>
      <w:rFonts w:ascii="宋体" w:hAnsi="宋体"/>
      <w:b w:val="0"/>
      <w:spacing w:val="0"/>
      <w:szCs w:val="24"/>
    </w:rPr>
  </w:style>
  <w:style w:type="paragraph" w:customStyle="1" w:styleId="3179">
    <w:name w:val="纯文本5"/>
    <w:basedOn w:val="1"/>
    <w:autoRedefine/>
    <w:qFormat/>
    <w:uiPriority w:val="39"/>
    <w:pPr>
      <w:adjustRightInd w:val="0"/>
      <w:textAlignment w:val="baseline"/>
    </w:pPr>
    <w:rPr>
      <w:rFonts w:ascii="宋体" w:hAnsi="Courier New"/>
      <w:szCs w:val="20"/>
    </w:rPr>
  </w:style>
  <w:style w:type="paragraph" w:customStyle="1" w:styleId="3180">
    <w:name w:val="AAAAAAAAAAAA"/>
    <w:basedOn w:val="1"/>
    <w:autoRedefine/>
    <w:qFormat/>
    <w:uiPriority w:val="99"/>
    <w:pPr>
      <w:jc w:val="center"/>
    </w:pPr>
    <w:rPr>
      <w:rFonts w:hAnsi="宋体"/>
      <w:bCs/>
      <w:szCs w:val="21"/>
    </w:rPr>
  </w:style>
  <w:style w:type="paragraph" w:customStyle="1" w:styleId="3181">
    <w:name w:val="表42"/>
    <w:basedOn w:val="1"/>
    <w:autoRedefine/>
    <w:qFormat/>
    <w:uiPriority w:val="0"/>
    <w:pPr>
      <w:adjustRightInd w:val="0"/>
      <w:snapToGrid w:val="0"/>
      <w:jc w:val="center"/>
    </w:pPr>
    <w:rPr>
      <w:rFonts w:eastAsia="仿宋_GB2312"/>
      <w:sz w:val="24"/>
    </w:rPr>
  </w:style>
  <w:style w:type="paragraph" w:customStyle="1" w:styleId="3182">
    <w:name w:val="图题64"/>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3183">
    <w:name w:val="封面标准文稿编辑信息3"/>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184">
    <w:name w:val="Char Char Char Char Char Char Char32"/>
    <w:basedOn w:val="1"/>
    <w:autoRedefine/>
    <w:qFormat/>
    <w:uiPriority w:val="0"/>
  </w:style>
  <w:style w:type="paragraph" w:customStyle="1" w:styleId="3185">
    <w:name w:val="默认段落字体 Para Char Char Char Char44"/>
    <w:basedOn w:val="1"/>
    <w:autoRedefine/>
    <w:qFormat/>
    <w:uiPriority w:val="0"/>
  </w:style>
  <w:style w:type="paragraph" w:customStyle="1" w:styleId="3186">
    <w:name w:val="Char Char Char Char Char Char Char122"/>
    <w:basedOn w:val="1"/>
    <w:autoRedefine/>
    <w:qFormat/>
    <w:uiPriority w:val="0"/>
    <w:rPr>
      <w:szCs w:val="20"/>
    </w:rPr>
  </w:style>
  <w:style w:type="paragraph" w:customStyle="1" w:styleId="3187">
    <w:name w:val="表内文字小222"/>
    <w:basedOn w:val="1"/>
    <w:autoRedefine/>
    <w:qFormat/>
    <w:uiPriority w:val="0"/>
    <w:pPr>
      <w:adjustRightInd w:val="0"/>
      <w:snapToGrid w:val="0"/>
      <w:jc w:val="center"/>
    </w:pPr>
    <w:rPr>
      <w:rFonts w:ascii="宋体" w:hAnsi="Times"/>
      <w:bCs/>
      <w:color w:val="000000"/>
      <w:szCs w:val="20"/>
    </w:rPr>
  </w:style>
  <w:style w:type="paragraph" w:customStyle="1" w:styleId="3188">
    <w:name w:val="表内54134"/>
    <w:basedOn w:val="1"/>
    <w:autoRedefine/>
    <w:qFormat/>
    <w:uiPriority w:val="0"/>
    <w:pPr>
      <w:adjustRightInd w:val="0"/>
      <w:snapToGrid w:val="0"/>
      <w:spacing w:line="300" w:lineRule="auto"/>
      <w:jc w:val="center"/>
    </w:pPr>
    <w:rPr>
      <w:rFonts w:ascii="宋体" w:hAnsi="宋体" w:cs="宋体"/>
      <w:szCs w:val="20"/>
    </w:rPr>
  </w:style>
  <w:style w:type="paragraph" w:customStyle="1" w:styleId="3189">
    <w:name w:val="表中文字22"/>
    <w:basedOn w:val="1"/>
    <w:autoRedefine/>
    <w:qFormat/>
    <w:uiPriority w:val="0"/>
    <w:pPr>
      <w:widowControl/>
      <w:adjustRightInd w:val="0"/>
      <w:spacing w:line="240" w:lineRule="atLeast"/>
      <w:ind w:right="-42" w:rightChars="-20"/>
      <w:jc w:val="center"/>
      <w:textAlignment w:val="baseline"/>
    </w:pPr>
    <w:rPr>
      <w:rFonts w:ascii="宋体"/>
      <w:kern w:val="0"/>
      <w:szCs w:val="21"/>
    </w:rPr>
  </w:style>
  <w:style w:type="paragraph" w:customStyle="1" w:styleId="3190">
    <w:name w:val="Char Char1 Char2"/>
    <w:basedOn w:val="1"/>
    <w:autoRedefine/>
    <w:qFormat/>
    <w:uiPriority w:val="0"/>
    <w:rPr>
      <w:szCs w:val="21"/>
    </w:rPr>
  </w:style>
  <w:style w:type="paragraph" w:customStyle="1" w:styleId="3191">
    <w:name w:val="正文缩进5"/>
    <w:basedOn w:val="1"/>
    <w:autoRedefine/>
    <w:qFormat/>
    <w:uiPriority w:val="99"/>
    <w:pPr>
      <w:adjustRightInd w:val="0"/>
      <w:ind w:firstLine="420" w:firstLineChars="200"/>
      <w:textAlignment w:val="baseline"/>
    </w:pPr>
    <w:rPr>
      <w:rFonts w:hint="eastAsia" w:hAnsi="宋体"/>
      <w:sz w:val="24"/>
      <w:szCs w:val="20"/>
    </w:rPr>
  </w:style>
  <w:style w:type="paragraph" w:customStyle="1" w:styleId="3192">
    <w:name w:val="正文修改22"/>
    <w:basedOn w:val="192"/>
    <w:autoRedefine/>
    <w:qFormat/>
    <w:uiPriority w:val="0"/>
    <w:rPr>
      <w:rFonts w:hAnsi="宋体"/>
      <w:color w:val="000000"/>
    </w:rPr>
  </w:style>
  <w:style w:type="paragraph" w:customStyle="1" w:styleId="3193">
    <w:name w:val="Char Char Char Char Char Char Char Char Char Char Char Char Char Char Char Char Char Char Char Char Char Char2"/>
    <w:basedOn w:val="1"/>
    <w:autoRedefine/>
    <w:qFormat/>
    <w:uiPriority w:val="39"/>
    <w:rPr>
      <w:sz w:val="24"/>
    </w:rPr>
  </w:style>
  <w:style w:type="paragraph" w:customStyle="1" w:styleId="3194">
    <w:name w:val="表内5中111"/>
    <w:basedOn w:val="1"/>
    <w:autoRedefine/>
    <w:qFormat/>
    <w:uiPriority w:val="0"/>
    <w:pPr>
      <w:adjustRightInd w:val="0"/>
      <w:snapToGrid w:val="0"/>
      <w:jc w:val="center"/>
    </w:pPr>
    <w:rPr>
      <w:rFonts w:ascii="宋体" w:hAnsi="宋体" w:cs="Arial"/>
      <w:snapToGrid w:val="0"/>
      <w:color w:val="000000"/>
      <w:szCs w:val="21"/>
    </w:rPr>
  </w:style>
  <w:style w:type="paragraph" w:customStyle="1" w:styleId="3195">
    <w:name w:val="正文格式101"/>
    <w:basedOn w:val="1"/>
    <w:autoRedefine/>
    <w:qFormat/>
    <w:uiPriority w:val="0"/>
    <w:pPr>
      <w:spacing w:line="360" w:lineRule="auto"/>
      <w:ind w:firstLine="482"/>
    </w:pPr>
    <w:rPr>
      <w:rFonts w:ascii="宋体" w:hAnsi="宋体"/>
      <w:sz w:val="24"/>
    </w:rPr>
  </w:style>
  <w:style w:type="paragraph" w:customStyle="1" w:styleId="3196">
    <w:name w:val="表题162"/>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3197">
    <w:name w:val="Char Char Char Char Char Char Char25"/>
    <w:basedOn w:val="1"/>
    <w:autoRedefine/>
    <w:qFormat/>
    <w:uiPriority w:val="0"/>
  </w:style>
  <w:style w:type="paragraph" w:customStyle="1" w:styleId="3198">
    <w:name w:val="Char Char2 Char Char Char Char1111"/>
    <w:basedOn w:val="1"/>
    <w:autoRedefine/>
    <w:qFormat/>
    <w:uiPriority w:val="0"/>
  </w:style>
  <w:style w:type="paragraph" w:customStyle="1" w:styleId="3199">
    <w:name w:val="表内5912"/>
    <w:basedOn w:val="1"/>
    <w:autoRedefine/>
    <w:qFormat/>
    <w:uiPriority w:val="0"/>
    <w:pPr>
      <w:adjustRightInd w:val="0"/>
      <w:snapToGrid w:val="0"/>
      <w:spacing w:line="300" w:lineRule="auto"/>
      <w:jc w:val="center"/>
    </w:pPr>
    <w:rPr>
      <w:rFonts w:ascii="宋体"/>
      <w:snapToGrid w:val="0"/>
      <w:szCs w:val="21"/>
    </w:rPr>
  </w:style>
  <w:style w:type="paragraph" w:customStyle="1" w:styleId="3200">
    <w:name w:val="默认段落字体 Para Char Char Char Char212"/>
    <w:basedOn w:val="1"/>
    <w:autoRedefine/>
    <w:qFormat/>
    <w:uiPriority w:val="0"/>
  </w:style>
  <w:style w:type="paragraph" w:customStyle="1" w:styleId="3201">
    <w:name w:val="表内宋53"/>
    <w:basedOn w:val="1718"/>
    <w:autoRedefine/>
    <w:qFormat/>
    <w:uiPriority w:val="0"/>
    <w:pPr>
      <w:widowControl/>
      <w:autoSpaceDE w:val="0"/>
      <w:autoSpaceDN w:val="0"/>
      <w:jc w:val="left"/>
      <w:textAlignment w:val="auto"/>
    </w:pPr>
    <w:rPr>
      <w:color w:val="auto"/>
      <w:w w:val="90"/>
    </w:rPr>
  </w:style>
  <w:style w:type="paragraph" w:customStyle="1" w:styleId="3202">
    <w:name w:val="正文斜体11"/>
    <w:basedOn w:val="416"/>
    <w:next w:val="416"/>
    <w:autoRedefine/>
    <w:qFormat/>
    <w:uiPriority w:val="0"/>
    <w:rPr>
      <w:rFonts w:ascii="宋体" w:hAnsi="宋体"/>
      <w:b w:val="0"/>
      <w:i/>
      <w:iCs/>
      <w:spacing w:val="0"/>
      <w:sz w:val="24"/>
      <w:szCs w:val="24"/>
    </w:rPr>
  </w:style>
  <w:style w:type="paragraph" w:customStyle="1" w:styleId="3203">
    <w:name w:val="图题412"/>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3204">
    <w:name w:val="表格内容2"/>
    <w:autoRedefine/>
    <w:qFormat/>
    <w:uiPriority w:val="0"/>
    <w:pPr>
      <w:jc w:val="center"/>
    </w:pPr>
    <w:rPr>
      <w:rFonts w:ascii="Times New Roman" w:hAnsi="Times New Roman" w:eastAsia="宋体" w:cs="Times New Roman"/>
      <w:kern w:val="2"/>
      <w:sz w:val="21"/>
      <w:szCs w:val="21"/>
      <w:lang w:val="en-US" w:eastAsia="zh-CN" w:bidi="ar-SA"/>
    </w:rPr>
  </w:style>
  <w:style w:type="paragraph" w:customStyle="1" w:styleId="3205">
    <w:name w:val="表内文字小31112"/>
    <w:basedOn w:val="1"/>
    <w:autoRedefine/>
    <w:qFormat/>
    <w:uiPriority w:val="0"/>
    <w:pPr>
      <w:adjustRightInd w:val="0"/>
      <w:snapToGrid w:val="0"/>
      <w:jc w:val="center"/>
    </w:pPr>
    <w:rPr>
      <w:rFonts w:ascii="宋体" w:hAnsi="Times" w:cs="宋体"/>
      <w:bCs/>
      <w:color w:val="003366"/>
      <w:szCs w:val="20"/>
    </w:rPr>
  </w:style>
  <w:style w:type="paragraph" w:customStyle="1" w:styleId="3206">
    <w:name w:val="Char Char Char Char Char Char Char Char Char Char Char Char Char Char Char Char Char Char Char Char Char Char Char Char Char Char Char Char2"/>
    <w:basedOn w:val="1"/>
    <w:autoRedefine/>
    <w:qFormat/>
    <w:uiPriority w:val="39"/>
    <w:rPr>
      <w:sz w:val="24"/>
    </w:rPr>
  </w:style>
  <w:style w:type="paragraph" w:customStyle="1" w:styleId="3207">
    <w:name w:val="标题43111"/>
    <w:basedOn w:val="1"/>
    <w:autoRedefine/>
    <w:qFormat/>
    <w:uiPriority w:val="0"/>
    <w:pPr>
      <w:adjustRightInd w:val="0"/>
      <w:snapToGrid w:val="0"/>
      <w:spacing w:line="480" w:lineRule="exact"/>
      <w:jc w:val="center"/>
    </w:pPr>
    <w:rPr>
      <w:rFonts w:ascii="宋体" w:hAnsi="宋体" w:cs="宋体"/>
      <w:sz w:val="24"/>
    </w:rPr>
  </w:style>
  <w:style w:type="paragraph" w:customStyle="1" w:styleId="3208">
    <w:name w:val="黑体三号44"/>
    <w:basedOn w:val="416"/>
    <w:autoRedefine/>
    <w:qFormat/>
    <w:uiPriority w:val="0"/>
    <w:pPr>
      <w:jc w:val="center"/>
    </w:pPr>
    <w:rPr>
      <w:rFonts w:ascii="黑体" w:hAnsi="宋体" w:eastAsia="黑体" w:cs="宋体"/>
      <w:bCs/>
      <w:spacing w:val="0"/>
      <w:sz w:val="32"/>
    </w:rPr>
  </w:style>
  <w:style w:type="paragraph" w:customStyle="1" w:styleId="3209">
    <w:name w:val="默认段落字体 Para Char1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210">
    <w:name w:val="Char434"/>
    <w:basedOn w:val="1"/>
    <w:autoRedefine/>
    <w:qFormat/>
    <w:uiPriority w:val="0"/>
    <w:rPr>
      <w:sz w:val="24"/>
    </w:rPr>
  </w:style>
  <w:style w:type="paragraph" w:customStyle="1" w:styleId="3211">
    <w:name w:val="表内文字小2212"/>
    <w:basedOn w:val="1"/>
    <w:autoRedefine/>
    <w:qFormat/>
    <w:uiPriority w:val="0"/>
    <w:pPr>
      <w:adjustRightInd w:val="0"/>
      <w:snapToGrid w:val="0"/>
      <w:jc w:val="center"/>
    </w:pPr>
    <w:rPr>
      <w:rFonts w:ascii="宋体" w:hAnsi="Times"/>
      <w:bCs/>
      <w:color w:val="000000"/>
      <w:szCs w:val="20"/>
    </w:rPr>
  </w:style>
  <w:style w:type="paragraph" w:customStyle="1" w:styleId="3212">
    <w:name w:val="Char Char Char Char Char Char Char15"/>
    <w:basedOn w:val="1"/>
    <w:autoRedefine/>
    <w:qFormat/>
    <w:uiPriority w:val="0"/>
    <w:rPr>
      <w:szCs w:val="20"/>
    </w:rPr>
  </w:style>
  <w:style w:type="paragraph" w:customStyle="1" w:styleId="3213">
    <w:name w:val="正文文本缩进 22"/>
    <w:basedOn w:val="1"/>
    <w:autoRedefine/>
    <w:qFormat/>
    <w:uiPriority w:val="39"/>
    <w:pPr>
      <w:adjustRightInd w:val="0"/>
      <w:spacing w:line="480" w:lineRule="atLeast"/>
      <w:ind w:firstLine="630"/>
      <w:textAlignment w:val="baseline"/>
    </w:pPr>
    <w:rPr>
      <w:rFonts w:ascii="宋体"/>
      <w:sz w:val="28"/>
      <w:szCs w:val="20"/>
    </w:rPr>
  </w:style>
  <w:style w:type="paragraph" w:customStyle="1" w:styleId="3214">
    <w:name w:val="Char112"/>
    <w:basedOn w:val="1"/>
    <w:autoRedefine/>
    <w:qFormat/>
    <w:uiPriority w:val="0"/>
    <w:pPr>
      <w:ind w:left="-48"/>
    </w:pPr>
  </w:style>
  <w:style w:type="paragraph" w:customStyle="1" w:styleId="3215">
    <w:name w:val="图题212"/>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3216">
    <w:name w:val="默认段落字体 Para Char Char Char Char Char3"/>
    <w:basedOn w:val="1"/>
    <w:autoRedefine/>
    <w:qFormat/>
    <w:uiPriority w:val="0"/>
  </w:style>
  <w:style w:type="paragraph" w:customStyle="1" w:styleId="3217">
    <w:name w:val="正文格式＝71"/>
    <w:basedOn w:val="416"/>
    <w:next w:val="416"/>
    <w:autoRedefine/>
    <w:qFormat/>
    <w:uiPriority w:val="0"/>
    <w:rPr>
      <w:rFonts w:ascii="宋体" w:hAnsi="宋体"/>
      <w:b w:val="0"/>
      <w:spacing w:val="0"/>
      <w:sz w:val="24"/>
      <w:szCs w:val="24"/>
    </w:rPr>
  </w:style>
  <w:style w:type="paragraph" w:customStyle="1" w:styleId="3218">
    <w:name w:val="reader-word-layer reader-word-s3-7"/>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3219">
    <w:name w:val="正文格式＝212"/>
    <w:basedOn w:val="416"/>
    <w:next w:val="416"/>
    <w:autoRedefine/>
    <w:qFormat/>
    <w:uiPriority w:val="0"/>
    <w:rPr>
      <w:rFonts w:ascii="宋体" w:hAnsi="宋体"/>
      <w:b w:val="0"/>
      <w:spacing w:val="0"/>
      <w:sz w:val="24"/>
      <w:szCs w:val="24"/>
    </w:rPr>
  </w:style>
  <w:style w:type="paragraph" w:customStyle="1" w:styleId="3220">
    <w:name w:val="reader-word-layer reader-word-s3-9"/>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3221">
    <w:name w:val="表格内字体64"/>
    <w:basedOn w:val="416"/>
    <w:next w:val="416"/>
    <w:autoRedefine/>
    <w:qFormat/>
    <w:uiPriority w:val="0"/>
    <w:pPr>
      <w:spacing w:line="240" w:lineRule="auto"/>
      <w:ind w:firstLine="0"/>
      <w:jc w:val="center"/>
    </w:pPr>
    <w:rPr>
      <w:rFonts w:ascii="宋体" w:hAnsi="宋体"/>
      <w:b w:val="0"/>
      <w:spacing w:val="0"/>
      <w:szCs w:val="24"/>
    </w:rPr>
  </w:style>
  <w:style w:type="paragraph" w:customStyle="1" w:styleId="3222">
    <w:name w:val="表题1112"/>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3223">
    <w:name w:val="表文字542"/>
    <w:basedOn w:val="1"/>
    <w:autoRedefine/>
    <w:qFormat/>
    <w:uiPriority w:val="0"/>
    <w:pPr>
      <w:adjustRightInd w:val="0"/>
      <w:jc w:val="left"/>
      <w:textAlignment w:val="baseline"/>
    </w:pPr>
    <w:rPr>
      <w:rFonts w:ascii="宋体"/>
      <w:kern w:val="0"/>
      <w:szCs w:val="20"/>
    </w:rPr>
  </w:style>
  <w:style w:type="paragraph" w:customStyle="1" w:styleId="3224">
    <w:name w:val="Char512"/>
    <w:basedOn w:val="1"/>
    <w:autoRedefine/>
    <w:qFormat/>
    <w:uiPriority w:val="0"/>
    <w:pPr>
      <w:adjustRightInd w:val="0"/>
      <w:snapToGrid w:val="0"/>
      <w:ind w:left="-45"/>
    </w:pPr>
  </w:style>
  <w:style w:type="paragraph" w:customStyle="1" w:styleId="3225">
    <w:name w:val="表题18"/>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3226">
    <w:name w:val="表内541411"/>
    <w:basedOn w:val="1"/>
    <w:autoRedefine/>
    <w:qFormat/>
    <w:uiPriority w:val="0"/>
    <w:pPr>
      <w:adjustRightInd w:val="0"/>
      <w:snapToGrid w:val="0"/>
      <w:spacing w:line="300" w:lineRule="auto"/>
      <w:jc w:val="center"/>
    </w:pPr>
    <w:rPr>
      <w:rFonts w:ascii="宋体" w:hAnsi="宋体" w:cs="宋体"/>
      <w:szCs w:val="20"/>
    </w:rPr>
  </w:style>
  <w:style w:type="paragraph" w:customStyle="1" w:styleId="3227">
    <w:name w:val="表题11112"/>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3228">
    <w:name w:val="正文文本缩进5"/>
    <w:basedOn w:val="1"/>
    <w:autoRedefine/>
    <w:qFormat/>
    <w:uiPriority w:val="39"/>
    <w:pPr>
      <w:spacing w:after="120" w:line="360" w:lineRule="auto"/>
      <w:ind w:left="420" w:leftChars="200" w:firstLine="200" w:firstLineChars="200"/>
    </w:pPr>
    <w:rPr>
      <w:sz w:val="24"/>
    </w:rPr>
  </w:style>
  <w:style w:type="paragraph" w:customStyle="1" w:styleId="3229">
    <w:name w:val="表312"/>
    <w:basedOn w:val="1"/>
    <w:autoRedefine/>
    <w:qFormat/>
    <w:uiPriority w:val="0"/>
    <w:pPr>
      <w:adjustRightInd w:val="0"/>
      <w:snapToGrid w:val="0"/>
      <w:jc w:val="center"/>
    </w:pPr>
    <w:rPr>
      <w:rFonts w:eastAsia="仿宋_GB2312"/>
      <w:sz w:val="24"/>
    </w:rPr>
  </w:style>
  <w:style w:type="paragraph" w:customStyle="1" w:styleId="3230">
    <w:name w:val="layer4"/>
    <w:basedOn w:val="9"/>
    <w:next w:val="9"/>
    <w:autoRedefine/>
    <w:qFormat/>
    <w:uiPriority w:val="99"/>
    <w:pPr>
      <w:tabs>
        <w:tab w:val="left" w:pos="1440"/>
      </w:tabs>
      <w:spacing w:before="120" w:after="120" w:line="300" w:lineRule="auto"/>
      <w:ind w:left="851" w:hanging="851" w:firstLineChars="0"/>
    </w:pPr>
    <w:rPr>
      <w:rFonts w:ascii="Arial" w:hAnsi="Arial" w:eastAsia="楷体_GB2312"/>
      <w:kern w:val="0"/>
      <w:sz w:val="30"/>
      <w:lang w:val="en-US"/>
    </w:rPr>
  </w:style>
  <w:style w:type="paragraph" w:customStyle="1" w:styleId="3231">
    <w:name w:val="表112"/>
    <w:basedOn w:val="1"/>
    <w:autoRedefine/>
    <w:qFormat/>
    <w:uiPriority w:val="0"/>
    <w:pPr>
      <w:adjustRightInd w:val="0"/>
      <w:snapToGrid w:val="0"/>
      <w:jc w:val="center"/>
    </w:pPr>
    <w:rPr>
      <w:rFonts w:eastAsia="仿宋_GB2312"/>
      <w:sz w:val="24"/>
    </w:rPr>
  </w:style>
  <w:style w:type="paragraph" w:customStyle="1" w:styleId="3232">
    <w:name w:val="表内541211"/>
    <w:basedOn w:val="1"/>
    <w:autoRedefine/>
    <w:qFormat/>
    <w:uiPriority w:val="0"/>
    <w:pPr>
      <w:adjustRightInd w:val="0"/>
      <w:snapToGrid w:val="0"/>
      <w:spacing w:line="300" w:lineRule="auto"/>
      <w:jc w:val="center"/>
    </w:pPr>
    <w:rPr>
      <w:rFonts w:ascii="宋体" w:hAnsi="宋体" w:cs="宋体"/>
      <w:szCs w:val="20"/>
    </w:rPr>
  </w:style>
  <w:style w:type="paragraph" w:customStyle="1" w:styleId="3233">
    <w:name w:val="正文修改212"/>
    <w:basedOn w:val="192"/>
    <w:autoRedefine/>
    <w:qFormat/>
    <w:uiPriority w:val="0"/>
    <w:rPr>
      <w:rFonts w:hAnsi="宋体"/>
      <w:color w:val="000000"/>
    </w:rPr>
  </w:style>
  <w:style w:type="paragraph" w:customStyle="1" w:styleId="3234">
    <w:name w:val="正文修改312"/>
    <w:basedOn w:val="192"/>
    <w:autoRedefine/>
    <w:qFormat/>
    <w:uiPriority w:val="0"/>
    <w:rPr>
      <w:rFonts w:hAnsi="宋体"/>
      <w:color w:val="000000"/>
    </w:rPr>
  </w:style>
  <w:style w:type="paragraph" w:customStyle="1" w:styleId="3235">
    <w:name w:val="样式 样式 题注 + 两端对齐 + 宋体"/>
    <w:basedOn w:val="1"/>
    <w:autoRedefine/>
    <w:qFormat/>
    <w:uiPriority w:val="0"/>
    <w:pPr>
      <w:keepNext/>
      <w:spacing w:line="360" w:lineRule="auto"/>
      <w:jc w:val="center"/>
    </w:pPr>
    <w:rPr>
      <w:rFonts w:ascii="宋体" w:hAnsi="宋体" w:eastAsia="仿宋_GB2312"/>
      <w:snapToGrid w:val="0"/>
      <w:kern w:val="0"/>
      <w:sz w:val="28"/>
      <w:szCs w:val="20"/>
    </w:rPr>
  </w:style>
  <w:style w:type="paragraph" w:customStyle="1" w:styleId="3236">
    <w:name w:val="文本框112"/>
    <w:basedOn w:val="1"/>
    <w:autoRedefine/>
    <w:qFormat/>
    <w:uiPriority w:val="0"/>
    <w:pPr>
      <w:adjustRightInd w:val="0"/>
      <w:snapToGrid w:val="0"/>
      <w:spacing w:after="6"/>
      <w:jc w:val="center"/>
    </w:pPr>
    <w:rPr>
      <w:rFonts w:eastAsia="仿宋_GB2312"/>
    </w:rPr>
  </w:style>
  <w:style w:type="paragraph" w:customStyle="1" w:styleId="3237">
    <w:name w:val="Char1011"/>
    <w:basedOn w:val="1"/>
    <w:autoRedefine/>
    <w:qFormat/>
    <w:uiPriority w:val="0"/>
    <w:pPr>
      <w:adjustRightInd w:val="0"/>
      <w:snapToGrid w:val="0"/>
      <w:spacing w:line="360" w:lineRule="auto"/>
    </w:pPr>
  </w:style>
  <w:style w:type="paragraph" w:customStyle="1" w:styleId="3238">
    <w:name w:val="图题81"/>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3239">
    <w:name w:val="23"/>
    <w:basedOn w:val="1"/>
    <w:next w:val="35"/>
    <w:autoRedefine/>
    <w:qFormat/>
    <w:uiPriority w:val="0"/>
    <w:pPr>
      <w:spacing w:line="500" w:lineRule="exact"/>
      <w:ind w:firstLine="560" w:firstLineChars="200"/>
    </w:pPr>
    <w:rPr>
      <w:rFonts w:ascii="仿宋_GB2312" w:eastAsia="仿宋_GB2312"/>
      <w:color w:val="FF0000"/>
      <w:sz w:val="28"/>
      <w:szCs w:val="20"/>
    </w:rPr>
  </w:style>
  <w:style w:type="paragraph" w:customStyle="1" w:styleId="3240">
    <w:name w:val="Char Char Char1 Char4"/>
    <w:basedOn w:val="1"/>
    <w:autoRedefine/>
    <w:qFormat/>
    <w:uiPriority w:val="39"/>
    <w:rPr>
      <w:szCs w:val="20"/>
    </w:rPr>
  </w:style>
  <w:style w:type="paragraph" w:customStyle="1" w:styleId="3241">
    <w:name w:val="表内文字小32"/>
    <w:basedOn w:val="1"/>
    <w:autoRedefine/>
    <w:qFormat/>
    <w:uiPriority w:val="0"/>
    <w:pPr>
      <w:adjustRightInd w:val="0"/>
      <w:snapToGrid w:val="0"/>
      <w:jc w:val="center"/>
    </w:pPr>
    <w:rPr>
      <w:rFonts w:ascii="宋体" w:hAnsi="Times"/>
      <w:szCs w:val="20"/>
    </w:rPr>
  </w:style>
  <w:style w:type="paragraph" w:customStyle="1" w:styleId="3242">
    <w:name w:val="正文格式＝312"/>
    <w:basedOn w:val="416"/>
    <w:next w:val="416"/>
    <w:autoRedefine/>
    <w:qFormat/>
    <w:uiPriority w:val="0"/>
    <w:rPr>
      <w:rFonts w:ascii="宋体" w:hAnsi="宋体"/>
      <w:b w:val="0"/>
      <w:spacing w:val="0"/>
      <w:sz w:val="24"/>
      <w:szCs w:val="24"/>
    </w:rPr>
  </w:style>
  <w:style w:type="paragraph" w:customStyle="1" w:styleId="3243">
    <w:name w:val="正文斜体3"/>
    <w:basedOn w:val="416"/>
    <w:next w:val="416"/>
    <w:autoRedefine/>
    <w:qFormat/>
    <w:uiPriority w:val="0"/>
    <w:rPr>
      <w:rFonts w:ascii="宋体" w:hAnsi="宋体"/>
      <w:b w:val="0"/>
      <w:i/>
      <w:iCs/>
      <w:spacing w:val="0"/>
      <w:sz w:val="24"/>
      <w:szCs w:val="24"/>
    </w:rPr>
  </w:style>
  <w:style w:type="paragraph" w:customStyle="1" w:styleId="3244">
    <w:name w:val="正文格式＝13"/>
    <w:basedOn w:val="416"/>
    <w:next w:val="416"/>
    <w:autoRedefine/>
    <w:qFormat/>
    <w:uiPriority w:val="0"/>
    <w:rPr>
      <w:rFonts w:ascii="宋体" w:hAnsi="宋体"/>
      <w:b w:val="0"/>
      <w:spacing w:val="0"/>
      <w:sz w:val="24"/>
      <w:szCs w:val="24"/>
    </w:rPr>
  </w:style>
  <w:style w:type="paragraph" w:customStyle="1" w:styleId="3245">
    <w:name w:val="表中文字212"/>
    <w:basedOn w:val="1"/>
    <w:autoRedefine/>
    <w:qFormat/>
    <w:uiPriority w:val="0"/>
    <w:pPr>
      <w:widowControl/>
      <w:adjustRightInd w:val="0"/>
      <w:spacing w:line="240" w:lineRule="atLeast"/>
      <w:ind w:right="-42" w:rightChars="-20"/>
      <w:jc w:val="center"/>
      <w:textAlignment w:val="baseline"/>
    </w:pPr>
    <w:rPr>
      <w:rFonts w:ascii="宋体"/>
      <w:kern w:val="0"/>
      <w:szCs w:val="21"/>
    </w:rPr>
  </w:style>
  <w:style w:type="paragraph" w:customStyle="1" w:styleId="3246">
    <w:name w:val="燕山正文43"/>
    <w:basedOn w:val="1"/>
    <w:autoRedefine/>
    <w:qFormat/>
    <w:uiPriority w:val="0"/>
    <w:pPr>
      <w:tabs>
        <w:tab w:val="left" w:pos="4680"/>
      </w:tabs>
      <w:adjustRightInd w:val="0"/>
      <w:snapToGrid w:val="0"/>
      <w:spacing w:line="480" w:lineRule="exact"/>
    </w:pPr>
    <w:rPr>
      <w:rFonts w:ascii="宋体" w:cs="宋体"/>
      <w:sz w:val="24"/>
    </w:rPr>
  </w:style>
  <w:style w:type="paragraph" w:customStyle="1" w:styleId="3247">
    <w:name w:val="proposal"/>
    <w:basedOn w:val="1"/>
    <w:autoRedefine/>
    <w:qFormat/>
    <w:uiPriority w:val="0"/>
    <w:pPr>
      <w:widowControl/>
      <w:autoSpaceDE w:val="0"/>
      <w:autoSpaceDN w:val="0"/>
      <w:spacing w:line="300" w:lineRule="auto"/>
      <w:ind w:left="1440" w:hanging="1440"/>
    </w:pPr>
    <w:rPr>
      <w:rFonts w:eastAsia="仿宋_GB2312"/>
      <w:kern w:val="0"/>
      <w:sz w:val="24"/>
      <w:lang w:val="en-GB" w:eastAsia="en-GB"/>
    </w:rPr>
  </w:style>
  <w:style w:type="paragraph" w:customStyle="1" w:styleId="3248">
    <w:name w:val="燕山正文11212"/>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249">
    <w:name w:val="正文格式52"/>
    <w:basedOn w:val="1"/>
    <w:autoRedefine/>
    <w:qFormat/>
    <w:uiPriority w:val="0"/>
    <w:pPr>
      <w:spacing w:line="360" w:lineRule="auto"/>
      <w:ind w:firstLine="482"/>
    </w:pPr>
    <w:rPr>
      <w:rFonts w:ascii="宋体" w:hAnsi="宋体"/>
      <w:sz w:val="24"/>
    </w:rPr>
  </w:style>
  <w:style w:type="paragraph" w:customStyle="1" w:styleId="3250">
    <w:name w:val="表中文字112"/>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251">
    <w:name w:val="样式 样式 宋体 + 首行缩进:  2 字符112"/>
    <w:basedOn w:val="1"/>
    <w:autoRedefine/>
    <w:qFormat/>
    <w:uiPriority w:val="0"/>
    <w:pPr>
      <w:spacing w:line="360" w:lineRule="auto"/>
      <w:ind w:firstLine="480" w:firstLineChars="200"/>
      <w:jc w:val="left"/>
    </w:pPr>
    <w:rPr>
      <w:rFonts w:ascii="宋体" w:cs="宋体"/>
      <w:sz w:val="24"/>
    </w:rPr>
  </w:style>
  <w:style w:type="paragraph" w:customStyle="1" w:styleId="3252">
    <w:name w:val="列出段落6"/>
    <w:basedOn w:val="1"/>
    <w:autoRedefine/>
    <w:qFormat/>
    <w:uiPriority w:val="39"/>
    <w:pPr>
      <w:ind w:firstLine="420" w:firstLineChars="200"/>
    </w:pPr>
    <w:rPr>
      <w:szCs w:val="22"/>
    </w:rPr>
  </w:style>
  <w:style w:type="paragraph" w:customStyle="1" w:styleId="3253">
    <w:name w:val="居中正文"/>
    <w:basedOn w:val="86"/>
    <w:autoRedefine/>
    <w:qFormat/>
    <w:uiPriority w:val="99"/>
    <w:pPr>
      <w:adjustRightInd w:val="0"/>
      <w:spacing w:before="120" w:after="0" w:line="360" w:lineRule="auto"/>
      <w:ind w:firstLine="0" w:firstLineChars="0"/>
      <w:jc w:val="center"/>
    </w:pPr>
    <w:rPr>
      <w:rFonts w:ascii="宋体" w:hAnsi="Calibri"/>
      <w:kern w:val="28"/>
      <w:sz w:val="24"/>
      <w:szCs w:val="22"/>
    </w:rPr>
  </w:style>
  <w:style w:type="paragraph" w:customStyle="1" w:styleId="3254">
    <w:name w:val="正文2112"/>
    <w:autoRedefine/>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255">
    <w:name w:val="Char115"/>
    <w:basedOn w:val="1"/>
    <w:autoRedefine/>
    <w:qFormat/>
    <w:uiPriority w:val="0"/>
    <w:pPr>
      <w:ind w:left="-48"/>
    </w:pPr>
  </w:style>
  <w:style w:type="paragraph" w:customStyle="1" w:styleId="3256">
    <w:name w:val="燕山正文1132"/>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3257">
    <w:name w:val="表格内字体311"/>
    <w:basedOn w:val="416"/>
    <w:next w:val="416"/>
    <w:autoRedefine/>
    <w:qFormat/>
    <w:uiPriority w:val="0"/>
    <w:pPr>
      <w:spacing w:line="240" w:lineRule="auto"/>
      <w:ind w:firstLine="0"/>
      <w:jc w:val="center"/>
    </w:pPr>
    <w:rPr>
      <w:rFonts w:ascii="宋体" w:hAnsi="宋体"/>
      <w:b w:val="0"/>
      <w:spacing w:val="0"/>
      <w:szCs w:val="24"/>
    </w:rPr>
  </w:style>
  <w:style w:type="paragraph" w:customStyle="1" w:styleId="3258">
    <w:name w:val="33333333333333"/>
    <w:basedOn w:val="5"/>
    <w:next w:val="1"/>
    <w:autoRedefine/>
    <w:qFormat/>
    <w:uiPriority w:val="99"/>
    <w:pPr>
      <w:adjustRightInd w:val="0"/>
      <w:snapToGrid w:val="0"/>
      <w:spacing w:beforeLines="50" w:afterLines="50" w:line="500" w:lineRule="exact"/>
    </w:pPr>
    <w:rPr>
      <w:rFonts w:ascii="仿宋_GB2312" w:eastAsia="仿宋_GB2312"/>
      <w:b w:val="0"/>
      <w:bCs w:val="0"/>
      <w:kern w:val="0"/>
      <w:sz w:val="28"/>
      <w:szCs w:val="28"/>
      <w:lang w:val="en-US"/>
    </w:rPr>
  </w:style>
  <w:style w:type="paragraph" w:customStyle="1" w:styleId="3259">
    <w:name w:val="样式44"/>
    <w:basedOn w:val="34"/>
    <w:autoRedefine/>
    <w:qFormat/>
    <w:uiPriority w:val="0"/>
    <w:pPr>
      <w:widowControl w:val="0"/>
      <w:snapToGrid/>
      <w:spacing w:before="0" w:after="120" w:line="240" w:lineRule="auto"/>
      <w:ind w:right="0"/>
    </w:pPr>
    <w:rPr>
      <w:sz w:val="20"/>
      <w:szCs w:val="24"/>
      <w:lang w:val="en-US"/>
    </w:rPr>
  </w:style>
  <w:style w:type="paragraph" w:customStyle="1" w:styleId="3260">
    <w:name w:val="表内宋5中5"/>
    <w:basedOn w:val="1"/>
    <w:autoRedefine/>
    <w:qFormat/>
    <w:uiPriority w:val="0"/>
    <w:pPr>
      <w:adjustRightInd w:val="0"/>
      <w:snapToGrid w:val="0"/>
      <w:textAlignment w:val="baseline"/>
    </w:pPr>
    <w:rPr>
      <w:color w:val="000000"/>
      <w:kern w:val="0"/>
      <w:szCs w:val="20"/>
    </w:rPr>
  </w:style>
  <w:style w:type="paragraph" w:customStyle="1" w:styleId="3261">
    <w:name w:val="Char Char Char Char Char Char Char Char Char1 Char Char Char1 Char2"/>
    <w:basedOn w:val="1"/>
    <w:autoRedefine/>
    <w:qFormat/>
    <w:uiPriority w:val="39"/>
    <w:pPr>
      <w:spacing w:line="360" w:lineRule="auto"/>
      <w:ind w:firstLine="200" w:firstLineChars="200"/>
    </w:pPr>
    <w:rPr>
      <w:rFonts w:ascii="宋体" w:hAnsi="宋体" w:cs="宋体"/>
      <w:sz w:val="24"/>
    </w:rPr>
  </w:style>
  <w:style w:type="paragraph" w:customStyle="1" w:styleId="3262">
    <w:name w:val="Char1 Char Char Char4"/>
    <w:basedOn w:val="1"/>
    <w:autoRedefine/>
    <w:qFormat/>
    <w:uiPriority w:val="39"/>
  </w:style>
  <w:style w:type="paragraph" w:customStyle="1" w:styleId="3263">
    <w:name w:val="表中文字9"/>
    <w:basedOn w:val="1"/>
    <w:autoRedefine/>
    <w:qFormat/>
    <w:uiPriority w:val="0"/>
    <w:pPr>
      <w:widowControl/>
      <w:adjustRightInd w:val="0"/>
      <w:spacing w:line="240" w:lineRule="atLeast"/>
      <w:ind w:right="-42" w:rightChars="-20"/>
      <w:jc w:val="center"/>
      <w:textAlignment w:val="baseline"/>
    </w:pPr>
    <w:rPr>
      <w:rFonts w:ascii="宋体"/>
      <w:kern w:val="0"/>
      <w:szCs w:val="21"/>
    </w:rPr>
  </w:style>
  <w:style w:type="paragraph" w:customStyle="1" w:styleId="3264">
    <w:name w:val="表内5112"/>
    <w:basedOn w:val="1"/>
    <w:autoRedefine/>
    <w:qFormat/>
    <w:uiPriority w:val="0"/>
    <w:pPr>
      <w:adjustRightInd w:val="0"/>
      <w:snapToGrid w:val="0"/>
      <w:jc w:val="center"/>
    </w:pPr>
    <w:rPr>
      <w:rFonts w:ascii="宋体" w:hAnsi="宋体"/>
      <w:kern w:val="0"/>
      <w:sz w:val="20"/>
      <w:szCs w:val="20"/>
    </w:rPr>
  </w:style>
  <w:style w:type="paragraph" w:customStyle="1" w:styleId="3265">
    <w:name w:val="Fax Header3"/>
    <w:basedOn w:val="1"/>
    <w:autoRedefine/>
    <w:qFormat/>
    <w:uiPriority w:val="0"/>
    <w:pPr>
      <w:widowControl/>
      <w:spacing w:before="240" w:after="60"/>
      <w:jc w:val="left"/>
    </w:pPr>
    <w:rPr>
      <w:kern w:val="0"/>
      <w:sz w:val="20"/>
      <w:szCs w:val="20"/>
    </w:rPr>
  </w:style>
  <w:style w:type="paragraph" w:customStyle="1" w:styleId="3266">
    <w:name w:val="Char712"/>
    <w:basedOn w:val="1"/>
    <w:autoRedefine/>
    <w:qFormat/>
    <w:uiPriority w:val="0"/>
    <w:pPr>
      <w:ind w:left="-48"/>
    </w:pPr>
  </w:style>
  <w:style w:type="paragraph" w:customStyle="1" w:styleId="3267">
    <w:name w:val="样式23"/>
    <w:basedOn w:val="1"/>
    <w:autoRedefine/>
    <w:qFormat/>
    <w:uiPriority w:val="0"/>
    <w:pPr>
      <w:adjustRightInd w:val="0"/>
      <w:spacing w:line="360" w:lineRule="auto"/>
      <w:jc w:val="center"/>
      <w:textAlignment w:val="baseline"/>
      <w:outlineLvl w:val="0"/>
    </w:pPr>
    <w:rPr>
      <w:kern w:val="0"/>
      <w:szCs w:val="20"/>
    </w:rPr>
  </w:style>
  <w:style w:type="paragraph" w:customStyle="1" w:styleId="3268">
    <w:name w:val="表内541312"/>
    <w:basedOn w:val="1"/>
    <w:autoRedefine/>
    <w:qFormat/>
    <w:uiPriority w:val="0"/>
    <w:pPr>
      <w:adjustRightInd w:val="0"/>
      <w:snapToGrid w:val="0"/>
      <w:spacing w:line="300" w:lineRule="auto"/>
      <w:jc w:val="center"/>
    </w:pPr>
    <w:rPr>
      <w:rFonts w:ascii="宋体" w:hAnsi="宋体" w:cs="宋体"/>
      <w:szCs w:val="20"/>
    </w:rPr>
  </w:style>
  <w:style w:type="paragraph" w:customStyle="1" w:styleId="3269">
    <w:name w:val="Char4311"/>
    <w:basedOn w:val="1"/>
    <w:autoRedefine/>
    <w:qFormat/>
    <w:uiPriority w:val="0"/>
    <w:pPr>
      <w:ind w:left="-48"/>
    </w:pPr>
  </w:style>
  <w:style w:type="paragraph" w:customStyle="1" w:styleId="3270">
    <w:name w:val="表中文字121"/>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271">
    <w:name w:val="正文格式＝10"/>
    <w:basedOn w:val="416"/>
    <w:next w:val="416"/>
    <w:autoRedefine/>
    <w:qFormat/>
    <w:uiPriority w:val="0"/>
    <w:rPr>
      <w:rFonts w:ascii="宋体" w:hAnsi="宋体"/>
      <w:b w:val="0"/>
      <w:spacing w:val="0"/>
      <w:sz w:val="24"/>
      <w:szCs w:val="24"/>
    </w:rPr>
  </w:style>
  <w:style w:type="paragraph" w:customStyle="1" w:styleId="3272">
    <w:name w:val="正文格式821"/>
    <w:basedOn w:val="1"/>
    <w:autoRedefine/>
    <w:qFormat/>
    <w:uiPriority w:val="0"/>
    <w:pPr>
      <w:spacing w:line="360" w:lineRule="auto"/>
      <w:ind w:firstLine="482"/>
    </w:pPr>
    <w:rPr>
      <w:rFonts w:ascii="宋体" w:hAnsi="宋体"/>
      <w:sz w:val="24"/>
    </w:rPr>
  </w:style>
  <w:style w:type="paragraph" w:customStyle="1" w:styleId="3273">
    <w:name w:val="表题161"/>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3274">
    <w:name w:val="Char Char2 Char Char Char Char9"/>
    <w:basedOn w:val="1"/>
    <w:autoRedefine/>
    <w:qFormat/>
    <w:uiPriority w:val="0"/>
  </w:style>
  <w:style w:type="paragraph" w:customStyle="1" w:styleId="3275">
    <w:name w:val="Char162"/>
    <w:basedOn w:val="1"/>
    <w:autoRedefine/>
    <w:qFormat/>
    <w:uiPriority w:val="0"/>
    <w:pPr>
      <w:ind w:left="-48"/>
    </w:pPr>
  </w:style>
  <w:style w:type="paragraph" w:customStyle="1" w:styleId="3276">
    <w:name w:val="表格内字体1112"/>
    <w:basedOn w:val="416"/>
    <w:autoRedefine/>
    <w:qFormat/>
    <w:uiPriority w:val="0"/>
    <w:pPr>
      <w:spacing w:line="240" w:lineRule="auto"/>
      <w:ind w:firstLine="0"/>
      <w:jc w:val="center"/>
    </w:pPr>
    <w:rPr>
      <w:rFonts w:ascii="宋体" w:hAnsi="Times New Roman" w:cs="宋体"/>
      <w:b w:val="0"/>
      <w:spacing w:val="0"/>
    </w:rPr>
  </w:style>
  <w:style w:type="paragraph" w:customStyle="1" w:styleId="3277">
    <w:name w:val="22"/>
    <w:basedOn w:val="1"/>
    <w:next w:val="35"/>
    <w:autoRedefine/>
    <w:qFormat/>
    <w:uiPriority w:val="0"/>
    <w:pPr>
      <w:spacing w:line="500" w:lineRule="exact"/>
      <w:ind w:firstLine="560" w:firstLineChars="200"/>
    </w:pPr>
    <w:rPr>
      <w:rFonts w:ascii="仿宋_GB2312" w:eastAsia="仿宋_GB2312"/>
      <w:color w:val="FF0000"/>
      <w:sz w:val="28"/>
      <w:szCs w:val="20"/>
    </w:rPr>
  </w:style>
  <w:style w:type="paragraph" w:customStyle="1" w:styleId="3278">
    <w:name w:val="Char612"/>
    <w:basedOn w:val="1"/>
    <w:autoRedefine/>
    <w:qFormat/>
    <w:uiPriority w:val="0"/>
    <w:pPr>
      <w:adjustRightInd w:val="0"/>
      <w:snapToGrid w:val="0"/>
      <w:spacing w:beforeLines="50" w:line="360" w:lineRule="auto"/>
    </w:pPr>
    <w:rPr>
      <w:rFonts w:ascii="黑体" w:eastAsia="黑体"/>
      <w:sz w:val="32"/>
      <w:szCs w:val="32"/>
    </w:rPr>
  </w:style>
  <w:style w:type="paragraph" w:customStyle="1" w:styleId="3279">
    <w:name w:val="表内文字小21312"/>
    <w:basedOn w:val="1"/>
    <w:autoRedefine/>
    <w:qFormat/>
    <w:uiPriority w:val="0"/>
    <w:pPr>
      <w:adjustRightInd w:val="0"/>
      <w:snapToGrid w:val="0"/>
      <w:jc w:val="center"/>
      <w:textAlignment w:val="baseline"/>
    </w:pPr>
    <w:rPr>
      <w:rFonts w:ascii="宋体" w:hAnsi="Times"/>
      <w:bCs/>
      <w:color w:val="000000"/>
      <w:szCs w:val="20"/>
    </w:rPr>
  </w:style>
  <w:style w:type="paragraph" w:customStyle="1" w:styleId="3280">
    <w:name w:val="Char314"/>
    <w:basedOn w:val="1"/>
    <w:autoRedefine/>
    <w:qFormat/>
    <w:uiPriority w:val="0"/>
    <w:rPr>
      <w:sz w:val="24"/>
    </w:rPr>
  </w:style>
  <w:style w:type="paragraph" w:customStyle="1" w:styleId="3281">
    <w:name w:val="默认段落字体 Para Char5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282">
    <w:name w:val="表格内字体612"/>
    <w:basedOn w:val="416"/>
    <w:next w:val="416"/>
    <w:autoRedefine/>
    <w:qFormat/>
    <w:uiPriority w:val="0"/>
    <w:pPr>
      <w:spacing w:line="240" w:lineRule="auto"/>
      <w:ind w:firstLine="0"/>
      <w:jc w:val="center"/>
    </w:pPr>
    <w:rPr>
      <w:rFonts w:ascii="宋体" w:hAnsi="宋体"/>
      <w:b w:val="0"/>
      <w:spacing w:val="0"/>
      <w:szCs w:val="24"/>
    </w:rPr>
  </w:style>
  <w:style w:type="paragraph" w:customStyle="1" w:styleId="3283">
    <w:name w:val="表格内字体52"/>
    <w:basedOn w:val="416"/>
    <w:next w:val="416"/>
    <w:autoRedefine/>
    <w:qFormat/>
    <w:uiPriority w:val="0"/>
    <w:pPr>
      <w:adjustRightInd w:val="0"/>
      <w:snapToGrid w:val="0"/>
      <w:spacing w:line="240" w:lineRule="auto"/>
      <w:ind w:firstLine="0"/>
    </w:pPr>
    <w:rPr>
      <w:rFonts w:ascii="宋体" w:hAnsi="宋体"/>
      <w:b w:val="0"/>
      <w:spacing w:val="0"/>
      <w:szCs w:val="24"/>
    </w:rPr>
  </w:style>
  <w:style w:type="paragraph" w:customStyle="1" w:styleId="3284">
    <w:name w:val="表内5321"/>
    <w:basedOn w:val="1"/>
    <w:autoRedefine/>
    <w:qFormat/>
    <w:uiPriority w:val="0"/>
    <w:pPr>
      <w:adjustRightInd w:val="0"/>
      <w:snapToGrid w:val="0"/>
      <w:spacing w:line="300" w:lineRule="auto"/>
      <w:jc w:val="left"/>
    </w:pPr>
    <w:rPr>
      <w:rFonts w:ascii="宋体"/>
      <w:szCs w:val="20"/>
    </w:rPr>
  </w:style>
  <w:style w:type="paragraph" w:customStyle="1" w:styleId="3285">
    <w:name w:val="Char35"/>
    <w:basedOn w:val="1"/>
    <w:autoRedefine/>
    <w:qFormat/>
    <w:uiPriority w:val="0"/>
    <w:pPr>
      <w:ind w:left="-48"/>
    </w:pPr>
  </w:style>
  <w:style w:type="paragraph" w:customStyle="1" w:styleId="3286">
    <w:name w:val="附件211"/>
    <w:basedOn w:val="3"/>
    <w:next w:val="416"/>
    <w:autoRedefine/>
    <w:qFormat/>
    <w:uiPriority w:val="0"/>
    <w:pPr>
      <w:keepLines/>
      <w:tabs>
        <w:tab w:val="left" w:pos="1566"/>
      </w:tabs>
      <w:overflowPunct/>
      <w:snapToGrid/>
      <w:spacing w:before="0" w:after="210" w:line="360" w:lineRule="auto"/>
      <w:ind w:left="0" w:firstLine="0"/>
      <w:jc w:val="left"/>
    </w:pPr>
    <w:rPr>
      <w:rFonts w:ascii="黑体" w:hAnsi="宋体"/>
      <w:b w:val="0"/>
      <w:color w:val="auto"/>
      <w:sz w:val="32"/>
      <w:szCs w:val="32"/>
    </w:rPr>
  </w:style>
  <w:style w:type="paragraph" w:customStyle="1" w:styleId="3287">
    <w:name w:val="表格111"/>
    <w:basedOn w:val="1"/>
    <w:autoRedefine/>
    <w:qFormat/>
    <w:uiPriority w:val="0"/>
    <w:pPr>
      <w:adjustRightInd w:val="0"/>
      <w:jc w:val="center"/>
      <w:textAlignment w:val="baseline"/>
    </w:pPr>
    <w:rPr>
      <w:rFonts w:ascii="宋体"/>
      <w:kern w:val="0"/>
      <w:sz w:val="24"/>
      <w:szCs w:val="20"/>
    </w:rPr>
  </w:style>
  <w:style w:type="paragraph" w:customStyle="1" w:styleId="3288">
    <w:name w:val="文本居中"/>
    <w:basedOn w:val="1"/>
    <w:autoRedefine/>
    <w:qFormat/>
    <w:uiPriority w:val="0"/>
    <w:pPr>
      <w:adjustRightInd w:val="0"/>
      <w:spacing w:line="360" w:lineRule="auto"/>
      <w:jc w:val="center"/>
    </w:pPr>
    <w:rPr>
      <w:sz w:val="28"/>
    </w:rPr>
  </w:style>
  <w:style w:type="paragraph" w:customStyle="1" w:styleId="3289">
    <w:name w:val="图题512"/>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3290">
    <w:name w:val="正文212"/>
    <w:autoRedefine/>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291">
    <w:name w:val="正文文本缩进 36"/>
    <w:basedOn w:val="1"/>
    <w:autoRedefine/>
    <w:qFormat/>
    <w:uiPriority w:val="99"/>
    <w:pPr>
      <w:spacing w:after="120"/>
      <w:ind w:left="420" w:leftChars="200"/>
    </w:pPr>
    <w:rPr>
      <w:rFonts w:eastAsia="仿宋_GB2312"/>
      <w:sz w:val="16"/>
      <w:szCs w:val="16"/>
    </w:rPr>
  </w:style>
  <w:style w:type="paragraph" w:customStyle="1" w:styleId="3292">
    <w:name w:val="表内文字边4"/>
    <w:basedOn w:val="1"/>
    <w:autoRedefine/>
    <w:qFormat/>
    <w:uiPriority w:val="0"/>
    <w:pPr>
      <w:widowControl/>
      <w:adjustRightInd w:val="0"/>
      <w:snapToGrid w:val="0"/>
      <w:spacing w:line="240" w:lineRule="atLeast"/>
      <w:ind w:left="-21" w:leftChars="-10" w:right="-42" w:rightChars="-20"/>
    </w:pPr>
    <w:rPr>
      <w:rFonts w:ascii="宋体"/>
      <w:kern w:val="0"/>
      <w:szCs w:val="21"/>
    </w:rPr>
  </w:style>
  <w:style w:type="paragraph" w:customStyle="1" w:styleId="3293">
    <w:name w:val="表中文字14"/>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294">
    <w:name w:val="燕山正文32"/>
    <w:basedOn w:val="1"/>
    <w:autoRedefine/>
    <w:qFormat/>
    <w:uiPriority w:val="0"/>
    <w:pPr>
      <w:tabs>
        <w:tab w:val="left" w:pos="4680"/>
      </w:tabs>
      <w:adjustRightInd w:val="0"/>
      <w:snapToGrid w:val="0"/>
      <w:spacing w:line="480" w:lineRule="exact"/>
    </w:pPr>
    <w:rPr>
      <w:rFonts w:ascii="宋体" w:cs="宋体"/>
      <w:sz w:val="24"/>
    </w:rPr>
  </w:style>
  <w:style w:type="paragraph" w:customStyle="1" w:styleId="3295">
    <w:name w:val="正文格式811"/>
    <w:basedOn w:val="1"/>
    <w:autoRedefine/>
    <w:qFormat/>
    <w:uiPriority w:val="0"/>
    <w:pPr>
      <w:spacing w:line="360" w:lineRule="auto"/>
      <w:ind w:firstLine="482"/>
    </w:pPr>
    <w:rPr>
      <w:rFonts w:ascii="宋体" w:hAnsi="宋体"/>
      <w:sz w:val="24"/>
    </w:rPr>
  </w:style>
  <w:style w:type="paragraph" w:customStyle="1" w:styleId="3296">
    <w:name w:val="表格内字体16"/>
    <w:basedOn w:val="416"/>
    <w:next w:val="416"/>
    <w:autoRedefine/>
    <w:qFormat/>
    <w:uiPriority w:val="0"/>
    <w:pPr>
      <w:spacing w:line="240" w:lineRule="auto"/>
      <w:ind w:firstLine="0"/>
      <w:jc w:val="center"/>
    </w:pPr>
    <w:rPr>
      <w:rFonts w:ascii="宋体" w:hAnsi="宋体"/>
      <w:b w:val="0"/>
      <w:spacing w:val="0"/>
      <w:szCs w:val="24"/>
    </w:rPr>
  </w:style>
  <w:style w:type="paragraph" w:customStyle="1" w:styleId="3297">
    <w:name w:val="表内文字小21211"/>
    <w:basedOn w:val="1"/>
    <w:autoRedefine/>
    <w:qFormat/>
    <w:uiPriority w:val="0"/>
    <w:pPr>
      <w:adjustRightInd w:val="0"/>
      <w:snapToGrid w:val="0"/>
      <w:jc w:val="center"/>
    </w:pPr>
    <w:rPr>
      <w:rFonts w:ascii="宋体" w:hAnsi="Times"/>
      <w:bCs/>
      <w:color w:val="000000"/>
      <w:szCs w:val="20"/>
    </w:rPr>
  </w:style>
  <w:style w:type="paragraph" w:customStyle="1" w:styleId="3298">
    <w:name w:val="14"/>
    <w:basedOn w:val="1"/>
    <w:next w:val="35"/>
    <w:autoRedefine/>
    <w:qFormat/>
    <w:uiPriority w:val="0"/>
    <w:pPr>
      <w:spacing w:line="500" w:lineRule="exact"/>
      <w:ind w:firstLine="560" w:firstLineChars="200"/>
    </w:pPr>
    <w:rPr>
      <w:rFonts w:ascii="仿宋_GB2312" w:eastAsia="仿宋_GB2312"/>
      <w:color w:val="FF0000"/>
      <w:sz w:val="28"/>
      <w:szCs w:val="20"/>
    </w:rPr>
  </w:style>
  <w:style w:type="paragraph" w:customStyle="1" w:styleId="3299">
    <w:name w:val="日期6"/>
    <w:basedOn w:val="1"/>
    <w:next w:val="1"/>
    <w:autoRedefine/>
    <w:qFormat/>
    <w:uiPriority w:val="39"/>
    <w:rPr>
      <w:rFonts w:eastAsia="仿宋_GB2312"/>
      <w:sz w:val="30"/>
      <w:szCs w:val="20"/>
    </w:rPr>
  </w:style>
  <w:style w:type="paragraph" w:customStyle="1" w:styleId="3300">
    <w:name w:val="正文格式15"/>
    <w:basedOn w:val="1"/>
    <w:autoRedefine/>
    <w:qFormat/>
    <w:uiPriority w:val="0"/>
    <w:pPr>
      <w:spacing w:line="360" w:lineRule="auto"/>
      <w:ind w:firstLine="482"/>
    </w:pPr>
    <w:rPr>
      <w:rFonts w:ascii="宋体" w:hAnsi="宋体"/>
      <w:sz w:val="24"/>
    </w:rPr>
  </w:style>
  <w:style w:type="paragraph" w:customStyle="1" w:styleId="3301">
    <w:name w:val="表内592"/>
    <w:basedOn w:val="1"/>
    <w:autoRedefine/>
    <w:qFormat/>
    <w:uiPriority w:val="0"/>
    <w:pPr>
      <w:adjustRightInd w:val="0"/>
      <w:snapToGrid w:val="0"/>
      <w:spacing w:line="300" w:lineRule="auto"/>
      <w:jc w:val="center"/>
    </w:pPr>
    <w:rPr>
      <w:rFonts w:ascii="宋体"/>
      <w:snapToGrid w:val="0"/>
      <w:szCs w:val="21"/>
    </w:rPr>
  </w:style>
  <w:style w:type="paragraph" w:customStyle="1" w:styleId="3302">
    <w:name w:val="正文格式＝211"/>
    <w:basedOn w:val="416"/>
    <w:next w:val="416"/>
    <w:autoRedefine/>
    <w:qFormat/>
    <w:uiPriority w:val="0"/>
    <w:rPr>
      <w:rFonts w:ascii="宋体" w:hAnsi="宋体"/>
      <w:b w:val="0"/>
      <w:spacing w:val="0"/>
      <w:sz w:val="24"/>
      <w:szCs w:val="24"/>
    </w:rPr>
  </w:style>
  <w:style w:type="paragraph" w:customStyle="1" w:styleId="3303">
    <w:name w:val="表题414"/>
    <w:basedOn w:val="35"/>
    <w:autoRedefine/>
    <w:qFormat/>
    <w:uiPriority w:val="0"/>
    <w:pPr>
      <w:tabs>
        <w:tab w:val="left" w:pos="4305"/>
      </w:tabs>
      <w:adjustRightInd w:val="0"/>
      <w:snapToGrid w:val="0"/>
      <w:spacing w:after="0"/>
      <w:ind w:left="0" w:leftChars="0"/>
      <w:jc w:val="center"/>
    </w:pPr>
    <w:rPr>
      <w:rFonts w:ascii="宋体" w:hAnsi="宋体" w:cs="宋体"/>
      <w:color w:val="000000"/>
      <w:szCs w:val="24"/>
      <w:lang w:val="en-US"/>
    </w:rPr>
  </w:style>
  <w:style w:type="paragraph" w:customStyle="1" w:styleId="3304">
    <w:name w:val="Char119"/>
    <w:basedOn w:val="1"/>
    <w:autoRedefine/>
    <w:qFormat/>
    <w:uiPriority w:val="0"/>
  </w:style>
  <w:style w:type="paragraph" w:customStyle="1" w:styleId="3305">
    <w:name w:val="标题43113"/>
    <w:basedOn w:val="1"/>
    <w:autoRedefine/>
    <w:qFormat/>
    <w:uiPriority w:val="0"/>
    <w:pPr>
      <w:adjustRightInd w:val="0"/>
      <w:snapToGrid w:val="0"/>
      <w:spacing w:line="480" w:lineRule="exact"/>
      <w:jc w:val="center"/>
    </w:pPr>
    <w:rPr>
      <w:rFonts w:ascii="宋体" w:hAnsi="宋体" w:cs="宋体"/>
      <w:sz w:val="24"/>
    </w:rPr>
  </w:style>
  <w:style w:type="paragraph" w:customStyle="1" w:styleId="3306">
    <w:name w:val="表内5417"/>
    <w:basedOn w:val="1"/>
    <w:autoRedefine/>
    <w:qFormat/>
    <w:uiPriority w:val="0"/>
    <w:pPr>
      <w:adjustRightInd w:val="0"/>
      <w:snapToGrid w:val="0"/>
      <w:spacing w:line="300" w:lineRule="auto"/>
      <w:jc w:val="center"/>
    </w:pPr>
    <w:rPr>
      <w:rFonts w:ascii="宋体" w:hAnsi="宋体" w:cs="宋体"/>
      <w:szCs w:val="20"/>
    </w:rPr>
  </w:style>
  <w:style w:type="paragraph" w:customStyle="1" w:styleId="3307">
    <w:name w:val="表格内字体14"/>
    <w:basedOn w:val="416"/>
    <w:next w:val="416"/>
    <w:autoRedefine/>
    <w:qFormat/>
    <w:uiPriority w:val="0"/>
    <w:pPr>
      <w:spacing w:line="240" w:lineRule="auto"/>
      <w:ind w:firstLine="0"/>
      <w:jc w:val="center"/>
    </w:pPr>
    <w:rPr>
      <w:rFonts w:ascii="宋体" w:hAnsi="宋体"/>
      <w:b w:val="0"/>
      <w:spacing w:val="0"/>
      <w:szCs w:val="24"/>
    </w:rPr>
  </w:style>
  <w:style w:type="paragraph" w:customStyle="1" w:styleId="3308">
    <w:name w:val="正文修改51"/>
    <w:basedOn w:val="192"/>
    <w:autoRedefine/>
    <w:qFormat/>
    <w:uiPriority w:val="0"/>
    <w:rPr>
      <w:rFonts w:hAnsi="宋体"/>
      <w:color w:val="000000"/>
    </w:rPr>
  </w:style>
  <w:style w:type="paragraph" w:customStyle="1" w:styleId="3309">
    <w:name w:val="11"/>
    <w:basedOn w:val="1"/>
    <w:next w:val="63"/>
    <w:autoRedefine/>
    <w:qFormat/>
    <w:uiPriority w:val="0"/>
    <w:pPr>
      <w:spacing w:line="500" w:lineRule="exact"/>
    </w:pPr>
    <w:rPr>
      <w:rFonts w:ascii="仿宋_GB2312" w:eastAsia="仿宋_GB2312"/>
      <w:sz w:val="28"/>
      <w:szCs w:val="20"/>
    </w:rPr>
  </w:style>
  <w:style w:type="paragraph" w:customStyle="1" w:styleId="3310">
    <w:name w:val="表格内字体212"/>
    <w:basedOn w:val="416"/>
    <w:next w:val="416"/>
    <w:autoRedefine/>
    <w:qFormat/>
    <w:uiPriority w:val="0"/>
    <w:pPr>
      <w:spacing w:line="240" w:lineRule="auto"/>
      <w:ind w:firstLine="0"/>
      <w:jc w:val="center"/>
    </w:pPr>
    <w:rPr>
      <w:rFonts w:ascii="宋体" w:hAnsi="宋体"/>
      <w:b w:val="0"/>
      <w:spacing w:val="0"/>
      <w:szCs w:val="24"/>
    </w:rPr>
  </w:style>
  <w:style w:type="paragraph" w:customStyle="1" w:styleId="3311">
    <w:name w:val="表内5中12"/>
    <w:basedOn w:val="1"/>
    <w:autoRedefine/>
    <w:qFormat/>
    <w:uiPriority w:val="0"/>
    <w:pPr>
      <w:adjustRightInd w:val="0"/>
      <w:snapToGrid w:val="0"/>
      <w:jc w:val="center"/>
    </w:pPr>
    <w:rPr>
      <w:rFonts w:ascii="宋体" w:hAnsi="宋体" w:cs="Arial"/>
      <w:snapToGrid w:val="0"/>
      <w:color w:val="000000"/>
      <w:szCs w:val="21"/>
    </w:rPr>
  </w:style>
  <w:style w:type="paragraph" w:customStyle="1" w:styleId="3312">
    <w:name w:val="Char Char Char Char Char Char1 Char Char Char Char2"/>
    <w:basedOn w:val="1"/>
    <w:autoRedefine/>
    <w:qFormat/>
    <w:uiPriority w:val="39"/>
    <w:rPr>
      <w:sz w:val="24"/>
    </w:rPr>
  </w:style>
  <w:style w:type="paragraph" w:customStyle="1" w:styleId="3313">
    <w:name w:val="MFS正文 Char Char"/>
    <w:basedOn w:val="86"/>
    <w:autoRedefine/>
    <w:qFormat/>
    <w:uiPriority w:val="99"/>
    <w:pPr>
      <w:adjustRightInd w:val="0"/>
      <w:snapToGrid w:val="0"/>
      <w:spacing w:before="93" w:line="360" w:lineRule="auto"/>
      <w:ind w:firstLine="487" w:firstLineChars="200"/>
    </w:pPr>
    <w:rPr>
      <w:rFonts w:hAnsi="Calibri" w:eastAsia="楷体_GB2312"/>
      <w:sz w:val="24"/>
      <w:szCs w:val="22"/>
    </w:rPr>
  </w:style>
  <w:style w:type="paragraph" w:customStyle="1" w:styleId="3314">
    <w:name w:val="黑体三号211"/>
    <w:basedOn w:val="416"/>
    <w:autoRedefine/>
    <w:qFormat/>
    <w:uiPriority w:val="0"/>
    <w:pPr>
      <w:jc w:val="center"/>
    </w:pPr>
    <w:rPr>
      <w:rFonts w:ascii="黑体" w:hAnsi="宋体" w:eastAsia="黑体" w:cs="宋体"/>
      <w:bCs/>
      <w:spacing w:val="0"/>
      <w:sz w:val="32"/>
    </w:rPr>
  </w:style>
  <w:style w:type="paragraph" w:customStyle="1" w:styleId="3315">
    <w:name w:val="正文格式＝32"/>
    <w:basedOn w:val="416"/>
    <w:next w:val="416"/>
    <w:autoRedefine/>
    <w:qFormat/>
    <w:uiPriority w:val="0"/>
    <w:rPr>
      <w:rFonts w:ascii="宋体" w:hAnsi="宋体"/>
      <w:b w:val="0"/>
      <w:spacing w:val="0"/>
      <w:sz w:val="24"/>
      <w:szCs w:val="24"/>
    </w:rPr>
  </w:style>
  <w:style w:type="paragraph" w:customStyle="1" w:styleId="3316">
    <w:name w:val="样式 标题 2节标题 1.1H2（一）Underrubrik1prop2Heading 2 HiddenHeadi..."/>
    <w:basedOn w:val="4"/>
    <w:autoRedefine/>
    <w:qFormat/>
    <w:uiPriority w:val="0"/>
    <w:pPr>
      <w:adjustRightInd w:val="0"/>
      <w:snapToGrid w:val="0"/>
      <w:spacing w:before="120" w:after="120" w:line="240" w:lineRule="auto"/>
    </w:pPr>
    <w:rPr>
      <w:rFonts w:ascii="宋体" w:hAnsi="宋体" w:cs="宋体"/>
      <w:snapToGrid w:val="0"/>
      <w:sz w:val="28"/>
      <w:szCs w:val="20"/>
    </w:rPr>
  </w:style>
  <w:style w:type="paragraph" w:customStyle="1" w:styleId="3317">
    <w:name w:val="Char Char Char6"/>
    <w:basedOn w:val="1"/>
    <w:autoRedefine/>
    <w:qFormat/>
    <w:uiPriority w:val="39"/>
    <w:rPr>
      <w:sz w:val="24"/>
    </w:rPr>
  </w:style>
  <w:style w:type="paragraph" w:customStyle="1" w:styleId="3318">
    <w:name w:val="Char Char Char Char1 Char Char Char6"/>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319">
    <w:name w:val="封面标准文稿编辑信息11"/>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320">
    <w:name w:val="正文格式＝411"/>
    <w:basedOn w:val="416"/>
    <w:next w:val="416"/>
    <w:autoRedefine/>
    <w:qFormat/>
    <w:uiPriority w:val="0"/>
    <w:rPr>
      <w:rFonts w:ascii="宋体" w:hAnsi="宋体"/>
      <w:b w:val="0"/>
      <w:spacing w:val="0"/>
      <w:sz w:val="24"/>
      <w:szCs w:val="24"/>
    </w:rPr>
  </w:style>
  <w:style w:type="paragraph" w:customStyle="1" w:styleId="3321">
    <w:name w:val="表内文字小5"/>
    <w:basedOn w:val="1"/>
    <w:autoRedefine/>
    <w:qFormat/>
    <w:uiPriority w:val="0"/>
    <w:pPr>
      <w:adjustRightInd w:val="0"/>
      <w:snapToGrid w:val="0"/>
      <w:jc w:val="center"/>
    </w:pPr>
    <w:rPr>
      <w:rFonts w:ascii="宋体" w:hAnsi="Times"/>
      <w:szCs w:val="20"/>
    </w:rPr>
  </w:style>
  <w:style w:type="paragraph" w:customStyle="1" w:styleId="3322">
    <w:name w:val="19"/>
    <w:basedOn w:val="1"/>
    <w:next w:val="35"/>
    <w:autoRedefine/>
    <w:qFormat/>
    <w:uiPriority w:val="0"/>
    <w:pPr>
      <w:spacing w:line="500" w:lineRule="exact"/>
      <w:ind w:firstLine="560" w:firstLineChars="200"/>
    </w:pPr>
    <w:rPr>
      <w:rFonts w:ascii="仿宋_GB2312" w:eastAsia="仿宋_GB2312"/>
      <w:color w:val="FF0000"/>
      <w:sz w:val="28"/>
      <w:szCs w:val="20"/>
    </w:rPr>
  </w:style>
  <w:style w:type="paragraph" w:customStyle="1" w:styleId="3323">
    <w:name w:val="样式 正文文本缩进正文文字缩进 + 行距: 单倍行距"/>
    <w:basedOn w:val="35"/>
    <w:autoRedefine/>
    <w:qFormat/>
    <w:uiPriority w:val="0"/>
    <w:pPr>
      <w:spacing w:after="0"/>
      <w:ind w:left="0" w:leftChars="0" w:firstLine="480" w:firstLineChars="200"/>
    </w:pPr>
    <w:rPr>
      <w:rFonts w:cs="宋体"/>
      <w:sz w:val="28"/>
      <w:lang w:val="en-US"/>
    </w:rPr>
  </w:style>
  <w:style w:type="paragraph" w:customStyle="1" w:styleId="3324">
    <w:name w:val="Char3 Char Char Char2"/>
    <w:basedOn w:val="1"/>
    <w:autoRedefine/>
    <w:qFormat/>
    <w:uiPriority w:val="39"/>
    <w:rPr>
      <w:sz w:val="28"/>
    </w:rPr>
  </w:style>
  <w:style w:type="paragraph" w:customStyle="1" w:styleId="3325">
    <w:name w:val="表题114"/>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3326">
    <w:name w:val="样式 样式 样式4.1.2.1 + 段前: 0.5 行 + 段前: 0.5 行"/>
    <w:basedOn w:val="3327"/>
    <w:autoRedefine/>
    <w:qFormat/>
    <w:uiPriority w:val="99"/>
    <w:pPr>
      <w:tabs>
        <w:tab w:val="left" w:pos="-962"/>
        <w:tab w:val="left" w:pos="-480"/>
        <w:tab w:val="left" w:pos="0"/>
        <w:tab w:val="left" w:pos="840"/>
        <w:tab w:val="left" w:pos="2160"/>
      </w:tabs>
      <w:spacing w:beforeLines="0"/>
      <w:ind w:left="-962"/>
    </w:pPr>
    <w:rPr>
      <w:bCs/>
    </w:rPr>
  </w:style>
  <w:style w:type="paragraph" w:customStyle="1" w:styleId="3327">
    <w:name w:val="样式 样式4.1.2.1 + 段前: 0.5 行"/>
    <w:basedOn w:val="2132"/>
    <w:autoRedefine/>
    <w:qFormat/>
    <w:uiPriority w:val="99"/>
    <w:pPr>
      <w:tabs>
        <w:tab w:val="left" w:pos="-480"/>
        <w:tab w:val="left" w:pos="0"/>
        <w:tab w:val="left" w:pos="840"/>
      </w:tabs>
      <w:ind w:left="-480"/>
      <w:outlineLvl w:val="3"/>
    </w:pPr>
    <w:rPr>
      <w:rFonts w:cs="宋体"/>
      <w:b/>
      <w:szCs w:val="20"/>
    </w:rPr>
  </w:style>
  <w:style w:type="paragraph" w:customStyle="1" w:styleId="3328">
    <w:name w:val="Char Char Char Char Char Char Char411"/>
    <w:basedOn w:val="1"/>
    <w:autoRedefine/>
    <w:qFormat/>
    <w:uiPriority w:val="0"/>
  </w:style>
  <w:style w:type="paragraph" w:customStyle="1" w:styleId="3329">
    <w:name w:val="表内宋5中31"/>
    <w:basedOn w:val="1"/>
    <w:autoRedefine/>
    <w:qFormat/>
    <w:uiPriority w:val="0"/>
    <w:pPr>
      <w:adjustRightInd w:val="0"/>
      <w:snapToGrid w:val="0"/>
      <w:textAlignment w:val="baseline"/>
    </w:pPr>
    <w:rPr>
      <w:color w:val="000000"/>
      <w:kern w:val="0"/>
      <w:szCs w:val="20"/>
    </w:rPr>
  </w:style>
  <w:style w:type="paragraph" w:customStyle="1" w:styleId="3330">
    <w:name w:val="17"/>
    <w:basedOn w:val="1"/>
    <w:next w:val="70"/>
    <w:autoRedefine/>
    <w:qFormat/>
    <w:uiPriority w:val="0"/>
    <w:pPr>
      <w:spacing w:line="500" w:lineRule="exact"/>
      <w:ind w:firstLine="560" w:firstLineChars="200"/>
    </w:pPr>
    <w:rPr>
      <w:rFonts w:ascii="仿宋_GB2312" w:eastAsia="仿宋_GB2312"/>
      <w:sz w:val="28"/>
      <w:szCs w:val="20"/>
    </w:rPr>
  </w:style>
  <w:style w:type="paragraph" w:customStyle="1" w:styleId="3331">
    <w:name w:val="正文格式2111"/>
    <w:basedOn w:val="1"/>
    <w:autoRedefine/>
    <w:qFormat/>
    <w:uiPriority w:val="0"/>
    <w:pPr>
      <w:spacing w:line="360" w:lineRule="auto"/>
      <w:ind w:firstLine="482"/>
    </w:pPr>
    <w:rPr>
      <w:rFonts w:ascii="宋体" w:hAnsi="宋体"/>
      <w:sz w:val="24"/>
    </w:rPr>
  </w:style>
  <w:style w:type="paragraph" w:customStyle="1" w:styleId="3332">
    <w:name w:val="样式 标题 1 + (符号) 宋体 居中"/>
    <w:basedOn w:val="3"/>
    <w:autoRedefine/>
    <w:qFormat/>
    <w:uiPriority w:val="99"/>
    <w:pPr>
      <w:keepLines/>
      <w:overflowPunct/>
      <w:snapToGrid/>
      <w:spacing w:before="0" w:after="0" w:line="360" w:lineRule="auto"/>
      <w:ind w:left="425" w:hanging="425"/>
      <w:jc w:val="center"/>
    </w:pPr>
    <w:rPr>
      <w:rFonts w:ascii="宋体" w:hAnsi="宋体" w:eastAsia="宋体" w:cs="宋体"/>
      <w:color w:val="auto"/>
      <w:kern w:val="0"/>
      <w:sz w:val="24"/>
      <w:szCs w:val="24"/>
    </w:rPr>
  </w:style>
  <w:style w:type="paragraph" w:customStyle="1" w:styleId="3333">
    <w:name w:val="正文221"/>
    <w:autoRedefine/>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334">
    <w:name w:val="样式 标题 1h1H1PIM 1标书11.标题 1Section HeadHeader11st levell1..."/>
    <w:basedOn w:val="3"/>
    <w:autoRedefine/>
    <w:qFormat/>
    <w:uiPriority w:val="0"/>
    <w:pPr>
      <w:keepLines/>
      <w:overflowPunct/>
      <w:snapToGrid/>
      <w:spacing w:before="240" w:after="240" w:line="500" w:lineRule="exact"/>
      <w:ind w:left="0" w:right="210" w:firstLine="0"/>
    </w:pPr>
    <w:rPr>
      <w:rFonts w:cs="宋体"/>
      <w:szCs w:val="20"/>
    </w:rPr>
  </w:style>
  <w:style w:type="paragraph" w:customStyle="1" w:styleId="3335">
    <w:name w:val="Char2311"/>
    <w:basedOn w:val="1"/>
    <w:autoRedefine/>
    <w:qFormat/>
    <w:uiPriority w:val="0"/>
    <w:pPr>
      <w:ind w:left="-48"/>
    </w:pPr>
  </w:style>
  <w:style w:type="paragraph" w:customStyle="1" w:styleId="3336">
    <w:name w:val="表内文字小2123"/>
    <w:basedOn w:val="1"/>
    <w:autoRedefine/>
    <w:qFormat/>
    <w:uiPriority w:val="0"/>
    <w:pPr>
      <w:adjustRightInd w:val="0"/>
      <w:snapToGrid w:val="0"/>
      <w:jc w:val="center"/>
    </w:pPr>
    <w:rPr>
      <w:rFonts w:ascii="宋体" w:hAnsi="Times"/>
      <w:bCs/>
      <w:color w:val="000000"/>
      <w:szCs w:val="20"/>
    </w:rPr>
  </w:style>
  <w:style w:type="paragraph" w:customStyle="1" w:styleId="3337">
    <w:name w:val="表内文字小216"/>
    <w:basedOn w:val="1"/>
    <w:autoRedefine/>
    <w:qFormat/>
    <w:uiPriority w:val="0"/>
    <w:pPr>
      <w:adjustRightInd w:val="0"/>
      <w:snapToGrid w:val="0"/>
      <w:jc w:val="center"/>
    </w:pPr>
    <w:rPr>
      <w:rFonts w:ascii="宋体" w:hAnsi="Times"/>
      <w:bCs/>
      <w:color w:val="000000"/>
      <w:szCs w:val="20"/>
    </w:rPr>
  </w:style>
  <w:style w:type="paragraph" w:customStyle="1" w:styleId="3338">
    <w:name w:val="正文7"/>
    <w:autoRedefine/>
    <w:qFormat/>
    <w:uiPriority w:val="39"/>
    <w:pPr>
      <w:widowControl w:val="0"/>
      <w:tabs>
        <w:tab w:val="left" w:pos="567"/>
      </w:tabs>
      <w:adjustRightInd w:val="0"/>
      <w:spacing w:line="360" w:lineRule="atLeast"/>
      <w:jc w:val="both"/>
      <w:textAlignment w:val="baseline"/>
    </w:pPr>
    <w:rPr>
      <w:rFonts w:ascii="Times New Roman" w:hAnsi="Courier" w:eastAsia="PMingLiU" w:cs="Times New Roman"/>
      <w:sz w:val="24"/>
      <w:lang w:val="en-US" w:eastAsia="zh-TW" w:bidi="ar-SA"/>
    </w:rPr>
  </w:style>
  <w:style w:type="paragraph" w:customStyle="1" w:styleId="3339">
    <w:name w:val="表题3113"/>
    <w:basedOn w:val="35"/>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3340">
    <w:name w:val="文本框21"/>
    <w:basedOn w:val="1"/>
    <w:autoRedefine/>
    <w:qFormat/>
    <w:uiPriority w:val="0"/>
    <w:pPr>
      <w:adjustRightInd w:val="0"/>
      <w:snapToGrid w:val="0"/>
      <w:spacing w:after="6"/>
      <w:jc w:val="center"/>
    </w:pPr>
    <w:rPr>
      <w:rFonts w:eastAsia="仿宋_GB2312"/>
    </w:rPr>
  </w:style>
  <w:style w:type="paragraph" w:customStyle="1" w:styleId="3341">
    <w:name w:val="图题10"/>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3342">
    <w:name w:val="燕山正文1311"/>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3343">
    <w:name w:val="正文文本缩进 23"/>
    <w:basedOn w:val="1"/>
    <w:autoRedefine/>
    <w:qFormat/>
    <w:uiPriority w:val="39"/>
    <w:pPr>
      <w:adjustRightInd w:val="0"/>
      <w:spacing w:line="480" w:lineRule="atLeast"/>
      <w:ind w:firstLine="630"/>
      <w:textAlignment w:val="baseline"/>
    </w:pPr>
    <w:rPr>
      <w:rFonts w:ascii="宋体"/>
      <w:sz w:val="28"/>
      <w:szCs w:val="20"/>
    </w:rPr>
  </w:style>
  <w:style w:type="paragraph" w:customStyle="1" w:styleId="3344">
    <w:name w:val="图题24"/>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3345">
    <w:name w:val="表题3123"/>
    <w:basedOn w:val="35"/>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3346">
    <w:name w:val="正文 居中"/>
    <w:basedOn w:val="1"/>
    <w:autoRedefine/>
    <w:qFormat/>
    <w:uiPriority w:val="0"/>
    <w:pPr>
      <w:spacing w:before="48" w:after="48" w:line="360" w:lineRule="auto"/>
      <w:jc w:val="center"/>
    </w:pPr>
    <w:rPr>
      <w:rFonts w:ascii="宋体" w:hAnsi="宋体"/>
      <w:bCs/>
      <w:snapToGrid w:val="0"/>
      <w:kern w:val="0"/>
      <w:sz w:val="24"/>
      <w:szCs w:val="20"/>
    </w:rPr>
  </w:style>
  <w:style w:type="paragraph" w:customStyle="1" w:styleId="3347">
    <w:name w:val="Char Char Char Char Char Char Char Char Char Char3"/>
    <w:basedOn w:val="1"/>
    <w:autoRedefine/>
    <w:qFormat/>
    <w:uiPriority w:val="39"/>
    <w:rPr>
      <w:sz w:val="24"/>
    </w:rPr>
  </w:style>
  <w:style w:type="paragraph" w:customStyle="1" w:styleId="3348">
    <w:name w:val="表内文字小3113"/>
    <w:basedOn w:val="1"/>
    <w:autoRedefine/>
    <w:qFormat/>
    <w:uiPriority w:val="0"/>
    <w:pPr>
      <w:adjustRightInd w:val="0"/>
      <w:snapToGrid w:val="0"/>
      <w:jc w:val="center"/>
    </w:pPr>
    <w:rPr>
      <w:rFonts w:ascii="宋体" w:hAnsi="Times" w:cs="宋体"/>
      <w:bCs/>
      <w:color w:val="003366"/>
      <w:szCs w:val="20"/>
    </w:rPr>
  </w:style>
  <w:style w:type="paragraph" w:customStyle="1" w:styleId="3349">
    <w:name w:val="表题1311"/>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3350">
    <w:name w:val="正文修改311"/>
    <w:basedOn w:val="192"/>
    <w:autoRedefine/>
    <w:qFormat/>
    <w:uiPriority w:val="0"/>
    <w:rPr>
      <w:rFonts w:hAnsi="宋体"/>
      <w:color w:val="000000"/>
    </w:rPr>
  </w:style>
  <w:style w:type="paragraph" w:customStyle="1" w:styleId="3351">
    <w:name w:val="Char Char Char Char Char Char Char Char Char Char Char1 Char Char Char Char Char Char Char Char Char Char Char Char Char Char Char Char3"/>
    <w:basedOn w:val="1"/>
    <w:autoRedefine/>
    <w:qFormat/>
    <w:uiPriority w:val="39"/>
    <w:rPr>
      <w:sz w:val="24"/>
    </w:rPr>
  </w:style>
  <w:style w:type="paragraph" w:customStyle="1" w:styleId="3352">
    <w:name w:val="表格内字体33"/>
    <w:basedOn w:val="416"/>
    <w:next w:val="416"/>
    <w:autoRedefine/>
    <w:qFormat/>
    <w:uiPriority w:val="0"/>
    <w:pPr>
      <w:spacing w:line="240" w:lineRule="auto"/>
      <w:ind w:firstLine="0"/>
      <w:jc w:val="center"/>
    </w:pPr>
    <w:rPr>
      <w:rFonts w:ascii="宋体" w:hAnsi="宋体"/>
      <w:b w:val="0"/>
      <w:spacing w:val="0"/>
      <w:szCs w:val="24"/>
    </w:rPr>
  </w:style>
  <w:style w:type="paragraph" w:customStyle="1" w:styleId="3353">
    <w:name w:val="表内文字小3141"/>
    <w:basedOn w:val="1"/>
    <w:autoRedefine/>
    <w:qFormat/>
    <w:uiPriority w:val="0"/>
    <w:pPr>
      <w:adjustRightInd w:val="0"/>
      <w:snapToGrid w:val="0"/>
      <w:jc w:val="center"/>
    </w:pPr>
    <w:rPr>
      <w:rFonts w:ascii="宋体" w:hAnsi="Times" w:cs="宋体"/>
      <w:bCs/>
      <w:color w:val="003366"/>
      <w:szCs w:val="20"/>
    </w:rPr>
  </w:style>
  <w:style w:type="paragraph" w:customStyle="1" w:styleId="3354">
    <w:name w:val="BGWZ2"/>
    <w:basedOn w:val="1"/>
    <w:autoRedefine/>
    <w:qFormat/>
    <w:uiPriority w:val="99"/>
    <w:pPr>
      <w:snapToGrid w:val="0"/>
      <w:spacing w:line="300" w:lineRule="exact"/>
      <w:jc w:val="center"/>
    </w:pPr>
    <w:rPr>
      <w:snapToGrid w:val="0"/>
      <w:kern w:val="0"/>
      <w:sz w:val="18"/>
      <w:szCs w:val="21"/>
      <w:lang w:eastAsia="zh-TW"/>
    </w:rPr>
  </w:style>
  <w:style w:type="paragraph" w:customStyle="1" w:styleId="3355">
    <w:name w:val="Char Char Char Char Char Char Char Char1 Char Char Char Char Char Char Char Char Char Char2"/>
    <w:basedOn w:val="1"/>
    <w:autoRedefine/>
    <w:qFormat/>
    <w:uiPriority w:val="39"/>
    <w:rPr>
      <w:sz w:val="24"/>
    </w:rPr>
  </w:style>
  <w:style w:type="paragraph" w:customStyle="1" w:styleId="3356">
    <w:name w:val="黑体三号23"/>
    <w:basedOn w:val="416"/>
    <w:autoRedefine/>
    <w:qFormat/>
    <w:uiPriority w:val="0"/>
    <w:pPr>
      <w:jc w:val="center"/>
    </w:pPr>
    <w:rPr>
      <w:rFonts w:ascii="黑体" w:hAnsi="宋体" w:eastAsia="黑体" w:cs="宋体"/>
      <w:bCs/>
      <w:spacing w:val="0"/>
      <w:sz w:val="32"/>
    </w:rPr>
  </w:style>
  <w:style w:type="paragraph" w:customStyle="1" w:styleId="3357">
    <w:name w:val="正文修改13"/>
    <w:basedOn w:val="192"/>
    <w:autoRedefine/>
    <w:qFormat/>
    <w:uiPriority w:val="0"/>
    <w:rPr>
      <w:rFonts w:hAnsi="宋体"/>
      <w:color w:val="000000"/>
    </w:rPr>
  </w:style>
  <w:style w:type="paragraph" w:customStyle="1" w:styleId="3358">
    <w:name w:val="表内宋51113"/>
    <w:basedOn w:val="81"/>
    <w:autoRedefine/>
    <w:qFormat/>
    <w:uiPriority w:val="0"/>
    <w:pPr>
      <w:adjustRightInd w:val="0"/>
      <w:snapToGrid w:val="0"/>
      <w:spacing w:before="0" w:beforeAutospacing="0" w:after="0" w:afterAutospacing="0"/>
      <w:jc w:val="both"/>
    </w:pPr>
    <w:rPr>
      <w:rFonts w:cs="宋体"/>
      <w:color w:val="000000"/>
      <w:sz w:val="21"/>
      <w:szCs w:val="24"/>
      <w:lang w:val="en-US"/>
    </w:rPr>
  </w:style>
  <w:style w:type="paragraph" w:customStyle="1" w:styleId="3359">
    <w:name w:val="默认段落字体 Para Char Char Char Char211"/>
    <w:basedOn w:val="1"/>
    <w:autoRedefine/>
    <w:qFormat/>
    <w:uiPriority w:val="0"/>
  </w:style>
  <w:style w:type="paragraph" w:customStyle="1" w:styleId="3360">
    <w:name w:val="表格内字体13"/>
    <w:basedOn w:val="416"/>
    <w:next w:val="416"/>
    <w:autoRedefine/>
    <w:qFormat/>
    <w:uiPriority w:val="0"/>
    <w:pPr>
      <w:spacing w:line="240" w:lineRule="auto"/>
      <w:ind w:firstLine="0"/>
      <w:jc w:val="center"/>
    </w:pPr>
    <w:rPr>
      <w:rFonts w:ascii="宋体" w:hAnsi="宋体"/>
      <w:b w:val="0"/>
      <w:spacing w:val="0"/>
      <w:szCs w:val="24"/>
    </w:rPr>
  </w:style>
  <w:style w:type="paragraph" w:customStyle="1" w:styleId="3361">
    <w:name w:val="样式11.1"/>
    <w:basedOn w:val="4"/>
    <w:autoRedefine/>
    <w:qFormat/>
    <w:uiPriority w:val="99"/>
    <w:pPr>
      <w:spacing w:beforeLines="50" w:after="0" w:line="360" w:lineRule="auto"/>
    </w:pPr>
    <w:rPr>
      <w:rFonts w:ascii="Times New Roman" w:hAnsi="Times New Roman"/>
      <w:bCs w:val="0"/>
      <w:sz w:val="30"/>
      <w:szCs w:val="30"/>
    </w:rPr>
  </w:style>
  <w:style w:type="paragraph" w:customStyle="1" w:styleId="3362">
    <w:name w:val="样式 正文文本缩进正文文字缩进 + 四号 首行缩进:  2 字符 行距: 最小值 25 磅"/>
    <w:basedOn w:val="35"/>
    <w:autoRedefine/>
    <w:qFormat/>
    <w:uiPriority w:val="0"/>
    <w:pPr>
      <w:spacing w:after="0" w:line="500" w:lineRule="exact"/>
      <w:ind w:left="0" w:leftChars="0" w:firstLine="200" w:firstLineChars="200"/>
    </w:pPr>
    <w:rPr>
      <w:rFonts w:cs="宋体"/>
      <w:sz w:val="28"/>
      <w:lang w:val="en-US"/>
    </w:rPr>
  </w:style>
  <w:style w:type="paragraph" w:customStyle="1" w:styleId="3363">
    <w:name w:val="小四居中行1"/>
    <w:basedOn w:val="1"/>
    <w:autoRedefine/>
    <w:qFormat/>
    <w:uiPriority w:val="0"/>
    <w:pPr>
      <w:ind w:left="140"/>
      <w:jc w:val="center"/>
    </w:pPr>
    <w:rPr>
      <w:rFonts w:ascii="宋体" w:eastAsia="仿宋_GB2312"/>
      <w:sz w:val="24"/>
      <w:szCs w:val="20"/>
    </w:rPr>
  </w:style>
  <w:style w:type="paragraph" w:customStyle="1" w:styleId="3364">
    <w:name w:val="Char Char Char Char Char Char Char Char Char Char Char1 Char Char Char Char Char Char1 Char Char Char Char Char Char Char Char Char Char Char Char2"/>
    <w:basedOn w:val="1"/>
    <w:autoRedefine/>
    <w:qFormat/>
    <w:uiPriority w:val="39"/>
    <w:rPr>
      <w:sz w:val="24"/>
    </w:rPr>
  </w:style>
  <w:style w:type="paragraph" w:customStyle="1" w:styleId="3365">
    <w:name w:val="表13"/>
    <w:basedOn w:val="1"/>
    <w:autoRedefine/>
    <w:qFormat/>
    <w:uiPriority w:val="0"/>
    <w:pPr>
      <w:adjustRightInd w:val="0"/>
      <w:snapToGrid w:val="0"/>
      <w:jc w:val="center"/>
    </w:pPr>
    <w:rPr>
      <w:rFonts w:eastAsia="仿宋_GB2312"/>
      <w:sz w:val="24"/>
    </w:rPr>
  </w:style>
  <w:style w:type="paragraph" w:customStyle="1" w:styleId="3366">
    <w:name w:val="正文修改211"/>
    <w:basedOn w:val="192"/>
    <w:autoRedefine/>
    <w:qFormat/>
    <w:uiPriority w:val="0"/>
    <w:rPr>
      <w:rFonts w:hAnsi="宋体"/>
      <w:color w:val="000000"/>
    </w:rPr>
  </w:style>
  <w:style w:type="paragraph" w:customStyle="1" w:styleId="3367">
    <w:name w:val="小四居左"/>
    <w:autoRedefine/>
    <w:qFormat/>
    <w:uiPriority w:val="0"/>
    <w:pPr>
      <w:adjustRightInd w:val="0"/>
      <w:snapToGrid w:val="0"/>
    </w:pPr>
    <w:rPr>
      <w:rFonts w:ascii="Times New Roman" w:hAnsi="Times New Roman" w:eastAsia="仿宋_GB2312" w:cs="Times New Roman"/>
      <w:sz w:val="24"/>
      <w:lang w:val="en-US" w:eastAsia="zh-CN" w:bidi="ar-SA"/>
    </w:rPr>
  </w:style>
  <w:style w:type="paragraph" w:customStyle="1" w:styleId="3368">
    <w:name w:val="Char1211"/>
    <w:basedOn w:val="1"/>
    <w:autoRedefine/>
    <w:qFormat/>
    <w:uiPriority w:val="0"/>
    <w:pPr>
      <w:adjustRightInd w:val="0"/>
      <w:snapToGrid w:val="0"/>
      <w:spacing w:line="360" w:lineRule="auto"/>
    </w:pPr>
  </w:style>
  <w:style w:type="paragraph" w:customStyle="1" w:styleId="3369">
    <w:name w:val="Char Char Char Char1 Char Char Char1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370">
    <w:name w:val="样式2.1"/>
    <w:basedOn w:val="1"/>
    <w:autoRedefine/>
    <w:qFormat/>
    <w:uiPriority w:val="99"/>
    <w:pPr>
      <w:spacing w:beforeLines="50" w:line="360" w:lineRule="auto"/>
      <w:outlineLvl w:val="2"/>
    </w:pPr>
    <w:rPr>
      <w:b/>
      <w:sz w:val="28"/>
      <w:szCs w:val="28"/>
    </w:rPr>
  </w:style>
  <w:style w:type="paragraph" w:customStyle="1" w:styleId="3371">
    <w:name w:val="样式 标题 3 + 左侧:  0 厘米 首行缩进:  0 厘米"/>
    <w:basedOn w:val="5"/>
    <w:autoRedefine/>
    <w:qFormat/>
    <w:uiPriority w:val="0"/>
    <w:pPr>
      <w:autoSpaceDE w:val="0"/>
      <w:autoSpaceDN w:val="0"/>
      <w:adjustRightInd w:val="0"/>
      <w:snapToGrid w:val="0"/>
      <w:spacing w:before="0" w:after="0" w:line="500" w:lineRule="exact"/>
      <w:jc w:val="left"/>
      <w:textAlignment w:val="baseline"/>
    </w:pPr>
    <w:rPr>
      <w:rFonts w:eastAsia="仿宋_GB2312" w:cs="宋体"/>
      <w:b w:val="0"/>
      <w:bCs w:val="0"/>
      <w:kern w:val="0"/>
      <w:sz w:val="28"/>
      <w:szCs w:val="20"/>
      <w:lang w:val="en-US"/>
    </w:rPr>
  </w:style>
  <w:style w:type="paragraph" w:customStyle="1" w:styleId="3372">
    <w:name w:val="Char Char Char Char Char Char Char Char Char Char Char Char Char Char Char Char Char Char Char Char Char Char Char Char2"/>
    <w:basedOn w:val="1"/>
    <w:autoRedefine/>
    <w:qFormat/>
    <w:uiPriority w:val="39"/>
    <w:rPr>
      <w:sz w:val="24"/>
    </w:rPr>
  </w:style>
  <w:style w:type="paragraph" w:customStyle="1" w:styleId="3373">
    <w:name w:val="表内54123"/>
    <w:basedOn w:val="1"/>
    <w:autoRedefine/>
    <w:qFormat/>
    <w:uiPriority w:val="0"/>
    <w:pPr>
      <w:adjustRightInd w:val="0"/>
      <w:snapToGrid w:val="0"/>
      <w:spacing w:line="300" w:lineRule="auto"/>
      <w:jc w:val="center"/>
    </w:pPr>
    <w:rPr>
      <w:rFonts w:ascii="宋体" w:hAnsi="宋体" w:cs="宋体"/>
      <w:szCs w:val="20"/>
    </w:rPr>
  </w:style>
  <w:style w:type="paragraph" w:customStyle="1" w:styleId="3374">
    <w:name w:val="表题4111"/>
    <w:basedOn w:val="35"/>
    <w:autoRedefine/>
    <w:qFormat/>
    <w:uiPriority w:val="0"/>
    <w:pPr>
      <w:tabs>
        <w:tab w:val="left" w:pos="4305"/>
      </w:tabs>
      <w:adjustRightInd w:val="0"/>
      <w:snapToGrid w:val="0"/>
      <w:spacing w:after="0"/>
      <w:ind w:left="0" w:leftChars="0"/>
      <w:jc w:val="center"/>
    </w:pPr>
    <w:rPr>
      <w:rFonts w:ascii="宋体" w:hAnsi="宋体" w:cs="宋体"/>
      <w:color w:val="000000"/>
      <w:szCs w:val="24"/>
      <w:lang w:val="en-US"/>
    </w:rPr>
  </w:style>
  <w:style w:type="paragraph" w:customStyle="1" w:styleId="3375">
    <w:name w:val="标题431211"/>
    <w:basedOn w:val="1"/>
    <w:autoRedefine/>
    <w:qFormat/>
    <w:uiPriority w:val="0"/>
    <w:pPr>
      <w:adjustRightInd w:val="0"/>
      <w:snapToGrid w:val="0"/>
      <w:spacing w:line="480" w:lineRule="exact"/>
      <w:jc w:val="center"/>
    </w:pPr>
    <w:rPr>
      <w:rFonts w:ascii="宋体" w:hAnsi="宋体" w:cs="宋体"/>
      <w:sz w:val="24"/>
    </w:rPr>
  </w:style>
  <w:style w:type="paragraph" w:customStyle="1" w:styleId="3376">
    <w:name w:val="样式 样式 表格标题 + 段前: 0.5 行 + 段前: 0.5 行1"/>
    <w:basedOn w:val="1"/>
    <w:autoRedefine/>
    <w:qFormat/>
    <w:uiPriority w:val="0"/>
    <w:pPr>
      <w:tabs>
        <w:tab w:val="left" w:pos="6480"/>
      </w:tabs>
      <w:autoSpaceDE w:val="0"/>
      <w:autoSpaceDN w:val="0"/>
      <w:adjustRightInd w:val="0"/>
      <w:spacing w:before="156" w:line="400" w:lineRule="exact"/>
      <w:jc w:val="center"/>
    </w:pPr>
    <w:rPr>
      <w:rFonts w:ascii="宋体" w:hAnsi="宋体"/>
      <w:sz w:val="28"/>
      <w:szCs w:val="20"/>
      <w:lang w:val="zh-CN"/>
    </w:rPr>
  </w:style>
  <w:style w:type="paragraph" w:customStyle="1" w:styleId="3377">
    <w:name w:val="图表题2"/>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3378">
    <w:name w:val="样式 标题2 + (西文) Times New Roman (中文) 宋体 加粗"/>
    <w:basedOn w:val="4"/>
    <w:autoRedefine/>
    <w:qFormat/>
    <w:uiPriority w:val="0"/>
    <w:pPr>
      <w:keepNext w:val="0"/>
      <w:keepLines w:val="0"/>
      <w:spacing w:beforeLines="50" w:afterLines="50" w:line="500" w:lineRule="exact"/>
      <w:outlineLvl w:val="0"/>
    </w:pPr>
    <w:rPr>
      <w:rFonts w:ascii="Times New Roman" w:hAnsi="Times New Roman"/>
      <w:sz w:val="28"/>
      <w:szCs w:val="20"/>
    </w:rPr>
  </w:style>
  <w:style w:type="paragraph" w:customStyle="1" w:styleId="3379">
    <w:name w:val="样式 样式 标题2.2 + 段前: 0.5 行1"/>
    <w:basedOn w:val="1399"/>
    <w:autoRedefine/>
    <w:qFormat/>
    <w:uiPriority w:val="99"/>
    <w:pPr>
      <w:tabs>
        <w:tab w:val="left" w:pos="0"/>
        <w:tab w:val="left" w:pos="1260"/>
      </w:tabs>
      <w:spacing w:beforeLines="0"/>
      <w:ind w:left="1260" w:hanging="420"/>
    </w:pPr>
  </w:style>
  <w:style w:type="paragraph" w:customStyle="1" w:styleId="3380">
    <w:name w:val="Char Char Char Char Char Char Char Char Char Char Char Char Char2"/>
    <w:basedOn w:val="1"/>
    <w:autoRedefine/>
    <w:qFormat/>
    <w:uiPriority w:val="39"/>
    <w:rPr>
      <w:sz w:val="24"/>
    </w:rPr>
  </w:style>
  <w:style w:type="paragraph" w:customStyle="1" w:styleId="3381">
    <w:name w:val="表内文字小31211"/>
    <w:basedOn w:val="1"/>
    <w:autoRedefine/>
    <w:qFormat/>
    <w:uiPriority w:val="0"/>
    <w:pPr>
      <w:adjustRightInd w:val="0"/>
      <w:snapToGrid w:val="0"/>
      <w:jc w:val="center"/>
    </w:pPr>
    <w:rPr>
      <w:rFonts w:ascii="宋体" w:hAnsi="Times" w:cs="宋体"/>
      <w:bCs/>
      <w:color w:val="003366"/>
      <w:szCs w:val="20"/>
    </w:rPr>
  </w:style>
  <w:style w:type="paragraph" w:customStyle="1" w:styleId="3382">
    <w:name w:val="样式 仿宋_GB2312 小四 居中 行距: 最小值 12 磅"/>
    <w:basedOn w:val="1"/>
    <w:autoRedefine/>
    <w:qFormat/>
    <w:uiPriority w:val="0"/>
    <w:pPr>
      <w:spacing w:line="400" w:lineRule="exact"/>
      <w:jc w:val="center"/>
    </w:pPr>
    <w:rPr>
      <w:rFonts w:ascii="仿宋_GB2312" w:cs="宋体"/>
      <w:szCs w:val="20"/>
    </w:rPr>
  </w:style>
  <w:style w:type="paragraph" w:customStyle="1" w:styleId="3383">
    <w:name w:val="表内文字小214"/>
    <w:basedOn w:val="1"/>
    <w:autoRedefine/>
    <w:qFormat/>
    <w:uiPriority w:val="0"/>
    <w:pPr>
      <w:adjustRightInd w:val="0"/>
      <w:snapToGrid w:val="0"/>
      <w:jc w:val="center"/>
    </w:pPr>
    <w:rPr>
      <w:rFonts w:ascii="宋体" w:hAnsi="Times"/>
      <w:bCs/>
      <w:color w:val="000000"/>
      <w:szCs w:val="20"/>
    </w:rPr>
  </w:style>
  <w:style w:type="paragraph" w:customStyle="1" w:styleId="3384">
    <w:name w:val="Char Char Char Char Char Char Char Char Char Char Char Char Char Char Char Char Char Char Char2"/>
    <w:basedOn w:val="1"/>
    <w:autoRedefine/>
    <w:qFormat/>
    <w:uiPriority w:val="39"/>
    <w:rPr>
      <w:sz w:val="24"/>
    </w:rPr>
  </w:style>
  <w:style w:type="paragraph" w:customStyle="1" w:styleId="3385">
    <w:name w:val="表文字514"/>
    <w:basedOn w:val="1"/>
    <w:autoRedefine/>
    <w:qFormat/>
    <w:uiPriority w:val="0"/>
    <w:pPr>
      <w:adjustRightInd w:val="0"/>
      <w:jc w:val="left"/>
      <w:textAlignment w:val="baseline"/>
    </w:pPr>
    <w:rPr>
      <w:rFonts w:ascii="宋体"/>
      <w:kern w:val="0"/>
      <w:szCs w:val="20"/>
    </w:rPr>
  </w:style>
  <w:style w:type="paragraph" w:customStyle="1" w:styleId="3386">
    <w:name w:val="表内54132"/>
    <w:basedOn w:val="1"/>
    <w:autoRedefine/>
    <w:qFormat/>
    <w:uiPriority w:val="0"/>
    <w:pPr>
      <w:adjustRightInd w:val="0"/>
      <w:snapToGrid w:val="0"/>
      <w:spacing w:line="300" w:lineRule="auto"/>
      <w:jc w:val="center"/>
    </w:pPr>
    <w:rPr>
      <w:rFonts w:ascii="宋体" w:hAnsi="宋体" w:cs="宋体"/>
      <w:szCs w:val="20"/>
    </w:rPr>
  </w:style>
  <w:style w:type="paragraph" w:customStyle="1" w:styleId="3387">
    <w:name w:val="Char Char Char Char Char Char Char Char Char Char Char Char Char Char Char Char Char Char2"/>
    <w:basedOn w:val="1"/>
    <w:autoRedefine/>
    <w:qFormat/>
    <w:uiPriority w:val="39"/>
    <w:rPr>
      <w:sz w:val="24"/>
    </w:rPr>
  </w:style>
  <w:style w:type="paragraph" w:customStyle="1" w:styleId="3388">
    <w:name w:val="正文修改6"/>
    <w:basedOn w:val="192"/>
    <w:autoRedefine/>
    <w:qFormat/>
    <w:uiPriority w:val="0"/>
    <w:rPr>
      <w:rFonts w:hAnsi="宋体"/>
      <w:color w:val="000000"/>
    </w:rPr>
  </w:style>
  <w:style w:type="paragraph" w:customStyle="1" w:styleId="3389">
    <w:name w:val="表中文字1111"/>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390">
    <w:name w:val="默认段落字体 Para Char5"/>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391">
    <w:name w:val="样式 标题 4无效格式无效格式1河石管道4H4H41小小节河石管道41H42H411小小节1河石管道42...21"/>
    <w:basedOn w:val="6"/>
    <w:autoRedefine/>
    <w:qFormat/>
    <w:uiPriority w:val="0"/>
    <w:pPr>
      <w:adjustRightInd w:val="0"/>
      <w:snapToGrid w:val="0"/>
      <w:spacing w:before="0" w:after="0" w:line="360" w:lineRule="auto"/>
      <w:ind w:left="664" w:hanging="864"/>
    </w:pPr>
    <w:rPr>
      <w:rFonts w:ascii="黑体"/>
      <w:b w:val="0"/>
      <w:bCs w:val="0"/>
      <w:sz w:val="24"/>
      <w:szCs w:val="24"/>
    </w:rPr>
  </w:style>
  <w:style w:type="paragraph" w:customStyle="1" w:styleId="3392">
    <w:name w:val="默认段落字体 Para Char2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393">
    <w:name w:val="lz正文"/>
    <w:basedOn w:val="1"/>
    <w:autoRedefine/>
    <w:qFormat/>
    <w:uiPriority w:val="0"/>
    <w:pPr>
      <w:adjustRightInd w:val="0"/>
      <w:snapToGrid w:val="0"/>
      <w:spacing w:line="360" w:lineRule="auto"/>
      <w:ind w:firstLine="480" w:firstLineChars="200"/>
    </w:pPr>
    <w:rPr>
      <w:sz w:val="28"/>
      <w:szCs w:val="21"/>
    </w:rPr>
  </w:style>
  <w:style w:type="paragraph" w:customStyle="1" w:styleId="3394">
    <w:name w:val="正文格式62"/>
    <w:basedOn w:val="1"/>
    <w:autoRedefine/>
    <w:qFormat/>
    <w:uiPriority w:val="0"/>
    <w:pPr>
      <w:spacing w:line="360" w:lineRule="auto"/>
      <w:ind w:firstLine="482"/>
    </w:pPr>
    <w:rPr>
      <w:rFonts w:ascii="宋体" w:hAnsi="宋体"/>
      <w:sz w:val="24"/>
    </w:rPr>
  </w:style>
  <w:style w:type="paragraph" w:customStyle="1" w:styleId="3395">
    <w:name w:val="Char Char Char Char Char Char Char Char Char Char Char1 Char Char Char Char Char Char3"/>
    <w:basedOn w:val="1"/>
    <w:autoRedefine/>
    <w:qFormat/>
    <w:uiPriority w:val="39"/>
    <w:rPr>
      <w:sz w:val="24"/>
    </w:rPr>
  </w:style>
  <w:style w:type="paragraph" w:customStyle="1" w:styleId="3396">
    <w:name w:val="表内541111"/>
    <w:basedOn w:val="1"/>
    <w:autoRedefine/>
    <w:qFormat/>
    <w:uiPriority w:val="0"/>
    <w:pPr>
      <w:adjustRightInd w:val="0"/>
      <w:snapToGrid w:val="0"/>
      <w:spacing w:line="300" w:lineRule="auto"/>
      <w:jc w:val="center"/>
    </w:pPr>
    <w:rPr>
      <w:rFonts w:ascii="宋体" w:hAnsi="宋体" w:cs="宋体"/>
      <w:szCs w:val="20"/>
    </w:rPr>
  </w:style>
  <w:style w:type="paragraph" w:customStyle="1" w:styleId="3397">
    <w:name w:val="样式 标题3 + Times New Roman"/>
    <w:basedOn w:val="181"/>
    <w:autoRedefine/>
    <w:qFormat/>
    <w:uiPriority w:val="0"/>
    <w:pPr>
      <w:keepNext w:val="0"/>
      <w:keepLines w:val="0"/>
      <w:adjustRightInd w:val="0"/>
      <w:spacing w:before="0" w:after="0" w:line="500" w:lineRule="exact"/>
      <w:ind w:left="0" w:firstLine="0"/>
      <w:textAlignment w:val="baseline"/>
      <w:outlineLvl w:val="9"/>
    </w:pPr>
    <w:rPr>
      <w:sz w:val="28"/>
      <w:szCs w:val="20"/>
    </w:rPr>
  </w:style>
  <w:style w:type="paragraph" w:customStyle="1" w:styleId="3398">
    <w:name w:val="Char Char Char Char Char Char Char Char Char Char Char Char Char Char Char Char Char Char Char Char Char Char Char Char Char Char Char Char Char Char2"/>
    <w:basedOn w:val="1"/>
    <w:autoRedefine/>
    <w:qFormat/>
    <w:uiPriority w:val="39"/>
    <w:rPr>
      <w:sz w:val="24"/>
    </w:rPr>
  </w:style>
  <w:style w:type="paragraph" w:customStyle="1" w:styleId="3399">
    <w:name w:val="表内534"/>
    <w:basedOn w:val="1"/>
    <w:autoRedefine/>
    <w:qFormat/>
    <w:uiPriority w:val="0"/>
    <w:pPr>
      <w:adjustRightInd w:val="0"/>
      <w:snapToGrid w:val="0"/>
      <w:spacing w:line="300" w:lineRule="auto"/>
      <w:jc w:val="left"/>
    </w:pPr>
    <w:rPr>
      <w:rFonts w:ascii="宋体"/>
      <w:szCs w:val="20"/>
    </w:rPr>
  </w:style>
  <w:style w:type="paragraph" w:customStyle="1" w:styleId="3400">
    <w:name w:val="Char Char21 Char Char Char Char"/>
    <w:basedOn w:val="1"/>
    <w:autoRedefine/>
    <w:qFormat/>
    <w:uiPriority w:val="0"/>
    <w:rPr>
      <w:rFonts w:ascii="黑体" w:hAnsi="黑体" w:eastAsia="黑体"/>
      <w:b/>
      <w:spacing w:val="10"/>
      <w:kern w:val="44"/>
      <w:sz w:val="28"/>
      <w:szCs w:val="20"/>
    </w:rPr>
  </w:style>
  <w:style w:type="paragraph" w:customStyle="1" w:styleId="3401">
    <w:name w:val="样式 表格内字体 +2"/>
    <w:basedOn w:val="415"/>
    <w:autoRedefine/>
    <w:qFormat/>
    <w:uiPriority w:val="0"/>
    <w:pPr>
      <w:spacing w:line="280" w:lineRule="exact"/>
      <w:ind w:firstLine="36"/>
      <w:jc w:val="both"/>
    </w:pPr>
  </w:style>
  <w:style w:type="paragraph" w:customStyle="1" w:styleId="3402">
    <w:name w:val="标题43131"/>
    <w:basedOn w:val="1"/>
    <w:autoRedefine/>
    <w:qFormat/>
    <w:uiPriority w:val="0"/>
    <w:pPr>
      <w:adjustRightInd w:val="0"/>
      <w:snapToGrid w:val="0"/>
      <w:spacing w:line="480" w:lineRule="exact"/>
      <w:jc w:val="center"/>
    </w:pPr>
    <w:rPr>
      <w:rFonts w:ascii="宋体" w:hAnsi="宋体" w:cs="宋体"/>
      <w:sz w:val="24"/>
    </w:rPr>
  </w:style>
  <w:style w:type="paragraph" w:customStyle="1" w:styleId="3403">
    <w:name w:val="正文首行缩进  2字符"/>
    <w:basedOn w:val="1"/>
    <w:autoRedefine/>
    <w:qFormat/>
    <w:uiPriority w:val="0"/>
    <w:pPr>
      <w:spacing w:line="360" w:lineRule="auto"/>
      <w:ind w:firstLine="480" w:firstLineChars="200"/>
    </w:pPr>
    <w:rPr>
      <w:sz w:val="24"/>
      <w:szCs w:val="20"/>
    </w:rPr>
  </w:style>
  <w:style w:type="paragraph" w:customStyle="1" w:styleId="3404">
    <w:name w:val="表格两端对齐"/>
    <w:basedOn w:val="3405"/>
    <w:autoRedefine/>
    <w:qFormat/>
    <w:uiPriority w:val="0"/>
    <w:pPr>
      <w:spacing w:line="360" w:lineRule="auto"/>
    </w:pPr>
  </w:style>
  <w:style w:type="paragraph" w:customStyle="1" w:styleId="3405">
    <w:name w:val="表格居中"/>
    <w:basedOn w:val="1"/>
    <w:autoRedefine/>
    <w:qFormat/>
    <w:uiPriority w:val="0"/>
    <w:pPr>
      <w:jc w:val="center"/>
    </w:pPr>
    <w:rPr>
      <w:rFonts w:ascii="宋体" w:hAnsi="宋体"/>
      <w:bCs/>
      <w:snapToGrid w:val="0"/>
      <w:kern w:val="18"/>
      <w:szCs w:val="21"/>
      <w:u w:color="FF0000"/>
    </w:rPr>
  </w:style>
  <w:style w:type="paragraph" w:customStyle="1" w:styleId="3406">
    <w:name w:val="Char Char Char Char Char Char Char Char Char Char Char2"/>
    <w:basedOn w:val="1"/>
    <w:autoRedefine/>
    <w:qFormat/>
    <w:uiPriority w:val="39"/>
    <w:rPr>
      <w:sz w:val="24"/>
    </w:rPr>
  </w:style>
  <w:style w:type="paragraph" w:customStyle="1" w:styleId="3407">
    <w:name w:val="样式 表格文字 + (中文) 仿宋_GB23121"/>
    <w:basedOn w:val="148"/>
    <w:autoRedefine/>
    <w:qFormat/>
    <w:uiPriority w:val="0"/>
    <w:pPr>
      <w:jc w:val="left"/>
    </w:pPr>
    <w:rPr>
      <w:rFonts w:hAnsi="仿宋_GB2312"/>
      <w:color w:val="800080"/>
      <w:kern w:val="0"/>
      <w:szCs w:val="24"/>
    </w:rPr>
  </w:style>
  <w:style w:type="paragraph" w:customStyle="1" w:styleId="3408">
    <w:name w:val="样式3.4.1"/>
    <w:basedOn w:val="1"/>
    <w:autoRedefine/>
    <w:qFormat/>
    <w:uiPriority w:val="99"/>
    <w:pPr>
      <w:tabs>
        <w:tab w:val="left" w:pos="-962"/>
        <w:tab w:val="left" w:pos="0"/>
      </w:tabs>
      <w:spacing w:beforeLines="50" w:line="360" w:lineRule="auto"/>
      <w:ind w:left="-962"/>
      <w:outlineLvl w:val="2"/>
    </w:pPr>
    <w:rPr>
      <w:rFonts w:ascii="宋体" w:hAnsi="宋体"/>
      <w:b/>
      <w:sz w:val="28"/>
    </w:rPr>
  </w:style>
  <w:style w:type="paragraph" w:customStyle="1" w:styleId="3409">
    <w:name w:val="表格内字体24"/>
    <w:basedOn w:val="416"/>
    <w:next w:val="416"/>
    <w:autoRedefine/>
    <w:qFormat/>
    <w:uiPriority w:val="0"/>
    <w:pPr>
      <w:spacing w:line="240" w:lineRule="auto"/>
      <w:ind w:firstLine="0"/>
      <w:jc w:val="center"/>
    </w:pPr>
    <w:rPr>
      <w:rFonts w:ascii="宋体" w:hAnsi="宋体"/>
      <w:b w:val="0"/>
      <w:spacing w:val="0"/>
      <w:szCs w:val="24"/>
    </w:rPr>
  </w:style>
  <w:style w:type="paragraph" w:customStyle="1" w:styleId="3410">
    <w:name w:val="表中文字211"/>
    <w:basedOn w:val="1"/>
    <w:autoRedefine/>
    <w:qFormat/>
    <w:uiPriority w:val="0"/>
    <w:pPr>
      <w:widowControl/>
      <w:adjustRightInd w:val="0"/>
      <w:spacing w:line="240" w:lineRule="atLeast"/>
      <w:ind w:right="-42" w:rightChars="-20"/>
      <w:jc w:val="center"/>
      <w:textAlignment w:val="baseline"/>
    </w:pPr>
    <w:rPr>
      <w:rFonts w:ascii="宋体"/>
      <w:kern w:val="0"/>
      <w:szCs w:val="21"/>
    </w:rPr>
  </w:style>
  <w:style w:type="paragraph" w:customStyle="1" w:styleId="3411">
    <w:name w:val="图题62"/>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3412">
    <w:name w:val="样式 样式 正文文本缩进正文文字缩进 + 行距: 单倍行距 + 首行缩进:  2 字符"/>
    <w:basedOn w:val="3323"/>
    <w:autoRedefine/>
    <w:qFormat/>
    <w:uiPriority w:val="0"/>
    <w:pPr>
      <w:spacing w:line="500" w:lineRule="exact"/>
      <w:ind w:firstLine="200"/>
    </w:pPr>
  </w:style>
  <w:style w:type="paragraph" w:customStyle="1" w:styleId="3413">
    <w:name w:val="样式 样式 标题 2节标题 1.1节第一章 标题 2Heading 2 HiddenHeading 2 CCBSheadi......"/>
    <w:basedOn w:val="952"/>
    <w:autoRedefine/>
    <w:qFormat/>
    <w:uiPriority w:val="99"/>
    <w:pPr>
      <w:spacing w:beforeLines="0" w:line="360" w:lineRule="auto"/>
    </w:pPr>
    <w:rPr>
      <w:rFonts w:cs="宋体"/>
      <w:b w:val="0"/>
      <w:szCs w:val="20"/>
    </w:rPr>
  </w:style>
  <w:style w:type="paragraph" w:customStyle="1" w:styleId="3414">
    <w:name w:val="Char Char Char Char Char Char Char Char Char Char Char1 Char Char Char Char2"/>
    <w:basedOn w:val="1"/>
    <w:autoRedefine/>
    <w:qFormat/>
    <w:uiPriority w:val="39"/>
    <w:rPr>
      <w:sz w:val="24"/>
    </w:rPr>
  </w:style>
  <w:style w:type="paragraph" w:customStyle="1" w:styleId="3415">
    <w:name w:val="样式444"/>
    <w:basedOn w:val="1"/>
    <w:autoRedefine/>
    <w:qFormat/>
    <w:uiPriority w:val="99"/>
    <w:pPr>
      <w:spacing w:beforeLines="50" w:line="360" w:lineRule="auto"/>
    </w:pPr>
    <w:rPr>
      <w:b/>
      <w:sz w:val="28"/>
    </w:rPr>
  </w:style>
  <w:style w:type="paragraph" w:customStyle="1" w:styleId="3416">
    <w:name w:val="样式1211"/>
    <w:basedOn w:val="1604"/>
    <w:autoRedefine/>
    <w:qFormat/>
    <w:uiPriority w:val="0"/>
    <w:pPr>
      <w:spacing w:line="240" w:lineRule="auto"/>
      <w:ind w:firstLine="0"/>
      <w:jc w:val="center"/>
    </w:pPr>
    <w:rPr>
      <w:rFonts w:cs="Times New Roman"/>
      <w:b/>
      <w:color w:val="auto"/>
      <w:szCs w:val="20"/>
    </w:rPr>
  </w:style>
  <w:style w:type="paragraph" w:customStyle="1" w:styleId="3417">
    <w:name w:val="五号字表格"/>
    <w:basedOn w:val="642"/>
    <w:autoRedefine/>
    <w:qFormat/>
    <w:uiPriority w:val="0"/>
    <w:pPr>
      <w:adjustRightInd w:val="0"/>
      <w:snapToGrid/>
      <w:spacing w:line="240" w:lineRule="auto"/>
      <w:textAlignment w:val="baseline"/>
    </w:pPr>
    <w:rPr>
      <w:rFonts w:ascii="宋体" w:eastAsia="宋体"/>
      <w:sz w:val="21"/>
    </w:rPr>
  </w:style>
  <w:style w:type="paragraph" w:customStyle="1" w:styleId="3418">
    <w:name w:val="c11"/>
    <w:autoRedefine/>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3419">
    <w:name w:val="正文.4"/>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420">
    <w:name w:val="样式 标题 4 + 行距: 多倍行距 1.3 字行"/>
    <w:basedOn w:val="6"/>
    <w:autoRedefine/>
    <w:qFormat/>
    <w:uiPriority w:val="0"/>
    <w:pPr>
      <w:tabs>
        <w:tab w:val="left" w:pos="1200"/>
      </w:tabs>
      <w:snapToGrid w:val="0"/>
      <w:spacing w:beforeLines="20" w:afterLines="20" w:line="300" w:lineRule="auto"/>
      <w:ind w:left="0" w:firstLine="0"/>
    </w:pPr>
    <w:rPr>
      <w:rFonts w:ascii="仿宋_GB2312" w:eastAsia="仿宋_GB2312"/>
      <w:b w:val="0"/>
    </w:rPr>
  </w:style>
  <w:style w:type="paragraph" w:customStyle="1" w:styleId="3421">
    <w:name w:val="表目录"/>
    <w:basedOn w:val="1"/>
    <w:autoRedefine/>
    <w:qFormat/>
    <w:uiPriority w:val="0"/>
    <w:pPr>
      <w:adjustRightInd w:val="0"/>
      <w:snapToGrid w:val="0"/>
      <w:spacing w:line="360" w:lineRule="auto"/>
    </w:pPr>
    <w:rPr>
      <w:rFonts w:ascii="黑体" w:hAnsi="宋体" w:eastAsia="黑体"/>
      <w:szCs w:val="21"/>
    </w:rPr>
  </w:style>
  <w:style w:type="paragraph" w:customStyle="1" w:styleId="3422">
    <w:name w:val="样式 样式3.4.1 + 段前: 0.5 行"/>
    <w:basedOn w:val="3408"/>
    <w:autoRedefine/>
    <w:qFormat/>
    <w:uiPriority w:val="99"/>
    <w:pPr>
      <w:spacing w:beforeLines="0"/>
    </w:pPr>
    <w:rPr>
      <w:rFonts w:ascii="Times New Roman" w:hAnsi="Times New Roman" w:cs="宋体"/>
      <w:bCs/>
      <w:szCs w:val="20"/>
    </w:rPr>
  </w:style>
  <w:style w:type="paragraph" w:customStyle="1" w:styleId="3423">
    <w:name w:val="Char Char Char Char Char Char Char Char Char Char Char Char Char Char Char Char Char Char Char Char Char Char Char Char Char Char3"/>
    <w:basedOn w:val="1"/>
    <w:autoRedefine/>
    <w:qFormat/>
    <w:uiPriority w:val="39"/>
    <w:rPr>
      <w:sz w:val="24"/>
    </w:rPr>
  </w:style>
  <w:style w:type="paragraph" w:customStyle="1" w:styleId="3424">
    <w:name w:val="表内521"/>
    <w:basedOn w:val="1"/>
    <w:autoRedefine/>
    <w:qFormat/>
    <w:uiPriority w:val="0"/>
    <w:pPr>
      <w:adjustRightInd w:val="0"/>
      <w:snapToGrid w:val="0"/>
      <w:spacing w:line="300" w:lineRule="auto"/>
      <w:jc w:val="left"/>
    </w:pPr>
    <w:rPr>
      <w:rFonts w:ascii="宋体"/>
      <w:sz w:val="18"/>
      <w:szCs w:val="20"/>
    </w:rPr>
  </w:style>
  <w:style w:type="paragraph" w:customStyle="1" w:styleId="3425">
    <w:name w:val="默认段落字体 Para Char Char Char Char32"/>
    <w:basedOn w:val="1"/>
    <w:autoRedefine/>
    <w:qFormat/>
    <w:uiPriority w:val="0"/>
  </w:style>
  <w:style w:type="paragraph" w:customStyle="1" w:styleId="3426">
    <w:name w:val="样式 样式 标题2 + (西文) Times New Roman (中文) 宋体 加粗 + 段前: 0.5 行 段后: 0.5..."/>
    <w:basedOn w:val="3378"/>
    <w:autoRedefine/>
    <w:qFormat/>
    <w:uiPriority w:val="0"/>
    <w:rPr>
      <w:rFonts w:eastAsia="仿宋_GB2312" w:cs="宋体"/>
    </w:rPr>
  </w:style>
  <w:style w:type="paragraph" w:customStyle="1" w:styleId="3427">
    <w:name w:val="表格，五宋"/>
    <w:autoRedefine/>
    <w:qFormat/>
    <w:uiPriority w:val="0"/>
    <w:pPr>
      <w:adjustRightInd w:val="0"/>
      <w:spacing w:line="360" w:lineRule="exact"/>
      <w:jc w:val="center"/>
    </w:pPr>
    <w:rPr>
      <w:rFonts w:ascii="Times New Roman" w:hAnsi="Times New Roman" w:eastAsia="宋体" w:cs="Times New Roman"/>
      <w:sz w:val="21"/>
      <w:lang w:val="en-US" w:eastAsia="zh-CN" w:bidi="ar-SA"/>
    </w:rPr>
  </w:style>
  <w:style w:type="paragraph" w:customStyle="1" w:styleId="3428">
    <w:name w:val="样式 样式444 + 段前: 0.5 行"/>
    <w:basedOn w:val="3415"/>
    <w:autoRedefine/>
    <w:qFormat/>
    <w:uiPriority w:val="99"/>
    <w:pPr>
      <w:tabs>
        <w:tab w:val="left" w:pos="-1276"/>
        <w:tab w:val="left" w:pos="0"/>
      </w:tabs>
      <w:spacing w:beforeLines="0"/>
      <w:ind w:left="1260" w:hanging="420"/>
    </w:pPr>
    <w:rPr>
      <w:rFonts w:cs="宋体"/>
      <w:bCs/>
      <w:szCs w:val="20"/>
    </w:rPr>
  </w:style>
  <w:style w:type="paragraph" w:customStyle="1" w:styleId="3429">
    <w:name w:val="Char Char Char Char Char Char Char Char Char Char Char Char2"/>
    <w:basedOn w:val="1"/>
    <w:autoRedefine/>
    <w:qFormat/>
    <w:uiPriority w:val="39"/>
    <w:rPr>
      <w:sz w:val="24"/>
    </w:rPr>
  </w:style>
  <w:style w:type="paragraph" w:customStyle="1" w:styleId="3430">
    <w:name w:val="样式 表格文字 + (中文) 仿宋_GB2312 首行缩进:  0.85 厘米"/>
    <w:basedOn w:val="148"/>
    <w:autoRedefine/>
    <w:qFormat/>
    <w:uiPriority w:val="0"/>
    <w:pPr>
      <w:jc w:val="left"/>
    </w:pPr>
    <w:rPr>
      <w:rFonts w:hAnsi="仿宋_GB2312" w:cs="宋体"/>
      <w:color w:val="800080"/>
      <w:kern w:val="0"/>
    </w:rPr>
  </w:style>
  <w:style w:type="paragraph" w:customStyle="1" w:styleId="3431">
    <w:name w:val="表格内字体412"/>
    <w:basedOn w:val="416"/>
    <w:next w:val="416"/>
    <w:autoRedefine/>
    <w:qFormat/>
    <w:uiPriority w:val="0"/>
    <w:pPr>
      <w:spacing w:line="240" w:lineRule="auto"/>
      <w:ind w:firstLine="0"/>
      <w:jc w:val="center"/>
    </w:pPr>
    <w:rPr>
      <w:rFonts w:ascii="宋体" w:hAnsi="宋体"/>
      <w:b w:val="0"/>
      <w:spacing w:val="0"/>
      <w:szCs w:val="24"/>
    </w:rPr>
  </w:style>
  <w:style w:type="paragraph" w:customStyle="1" w:styleId="3432">
    <w:name w:val="样式 列表 2 + 宋体 小四 行距: 固定值 19 磅"/>
    <w:basedOn w:val="37"/>
    <w:autoRedefine/>
    <w:qFormat/>
    <w:uiPriority w:val="0"/>
    <w:pPr>
      <w:spacing w:line="400" w:lineRule="exact"/>
      <w:ind w:left="0" w:leftChars="0" w:firstLine="0" w:firstLineChars="0"/>
      <w:jc w:val="center"/>
    </w:pPr>
    <w:rPr>
      <w:rFonts w:ascii="宋体" w:hAnsi="宋体" w:cs="宋体"/>
      <w:sz w:val="24"/>
    </w:rPr>
  </w:style>
  <w:style w:type="paragraph" w:customStyle="1" w:styleId="3433">
    <w:name w:val="Char Char Char Char Char Char Char Char Char Char Char Char Char Char Char Char Char2"/>
    <w:basedOn w:val="1"/>
    <w:autoRedefine/>
    <w:qFormat/>
    <w:uiPriority w:val="39"/>
    <w:rPr>
      <w:sz w:val="24"/>
    </w:rPr>
  </w:style>
  <w:style w:type="paragraph" w:customStyle="1" w:styleId="3434">
    <w:name w:val="Char Char2 Char Char Char Char211"/>
    <w:basedOn w:val="1"/>
    <w:autoRedefine/>
    <w:qFormat/>
    <w:uiPriority w:val="0"/>
  </w:style>
  <w:style w:type="paragraph" w:customStyle="1" w:styleId="3435">
    <w:name w:val="样式 标题1 + 段前: 6 磅 段后: 6 磅"/>
    <w:basedOn w:val="3"/>
    <w:autoRedefine/>
    <w:qFormat/>
    <w:uiPriority w:val="0"/>
    <w:pPr>
      <w:keepLines/>
      <w:overflowPunct/>
      <w:snapToGrid/>
      <w:spacing w:after="120" w:line="500" w:lineRule="exact"/>
      <w:ind w:left="0" w:firstLine="0"/>
    </w:pPr>
    <w:rPr>
      <w:rFonts w:cs="宋体"/>
      <w:color w:val="auto"/>
      <w:szCs w:val="20"/>
    </w:rPr>
  </w:style>
  <w:style w:type="paragraph" w:customStyle="1" w:styleId="3436">
    <w:name w:val="表内宋511112"/>
    <w:basedOn w:val="81"/>
    <w:autoRedefine/>
    <w:qFormat/>
    <w:uiPriority w:val="0"/>
    <w:pPr>
      <w:adjustRightInd w:val="0"/>
      <w:snapToGrid w:val="0"/>
      <w:spacing w:before="0" w:beforeAutospacing="0" w:after="0" w:afterAutospacing="0"/>
      <w:jc w:val="both"/>
    </w:pPr>
    <w:rPr>
      <w:rFonts w:cs="宋体"/>
      <w:color w:val="000000"/>
      <w:sz w:val="21"/>
      <w:szCs w:val="24"/>
      <w:lang w:val="en-US"/>
    </w:rPr>
  </w:style>
  <w:style w:type="paragraph" w:customStyle="1" w:styleId="3437">
    <w:name w:val="Char Char Char Char Char Char Char Char Char2"/>
    <w:basedOn w:val="1"/>
    <w:autoRedefine/>
    <w:qFormat/>
    <w:uiPriority w:val="39"/>
    <w:rPr>
      <w:sz w:val="24"/>
    </w:rPr>
  </w:style>
  <w:style w:type="paragraph" w:customStyle="1" w:styleId="3438">
    <w:name w:val="456"/>
    <w:basedOn w:val="6"/>
    <w:autoRedefine/>
    <w:qFormat/>
    <w:uiPriority w:val="0"/>
    <w:pPr>
      <w:spacing w:beforeLines="50" w:afterLines="50"/>
      <w:ind w:left="0" w:firstLine="0"/>
    </w:pPr>
    <w:rPr>
      <w:b w:val="0"/>
      <w:sz w:val="30"/>
      <w:szCs w:val="30"/>
    </w:rPr>
  </w:style>
  <w:style w:type="paragraph" w:customStyle="1" w:styleId="3439">
    <w:name w:val="表格内字体213"/>
    <w:basedOn w:val="416"/>
    <w:next w:val="416"/>
    <w:autoRedefine/>
    <w:qFormat/>
    <w:uiPriority w:val="0"/>
    <w:pPr>
      <w:spacing w:line="240" w:lineRule="auto"/>
      <w:ind w:firstLine="0"/>
      <w:jc w:val="center"/>
    </w:pPr>
    <w:rPr>
      <w:rFonts w:ascii="宋体" w:hAnsi="宋体"/>
      <w:b w:val="0"/>
      <w:spacing w:val="0"/>
      <w:szCs w:val="24"/>
    </w:rPr>
  </w:style>
  <w:style w:type="paragraph" w:customStyle="1" w:styleId="3440">
    <w:name w:val="图题511"/>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3441">
    <w:name w:val="样式 标题 2第一章 标题 2Heading 2 HiddenHeading 2 CCBSheading 2H2h2...4"/>
    <w:basedOn w:val="4"/>
    <w:autoRedefine/>
    <w:qFormat/>
    <w:uiPriority w:val="0"/>
    <w:pPr>
      <w:spacing w:before="120" w:after="120" w:line="500" w:lineRule="exact"/>
    </w:pPr>
    <w:rPr>
      <w:rFonts w:ascii="Times New Roman" w:hAnsi="Times New Roman" w:eastAsia="仿宋_GB2312"/>
      <w:color w:val="000000"/>
      <w:sz w:val="28"/>
    </w:rPr>
  </w:style>
  <w:style w:type="paragraph" w:customStyle="1" w:styleId="3442">
    <w:name w:val="Char Char Char Char Char Char Char Char Char Char Char Char Char Char Char Char Char Char Char Char Char Char Char Char Char Char Char Char Char Char Char Char Char Char Char Char Char Char2"/>
    <w:basedOn w:val="1"/>
    <w:autoRedefine/>
    <w:qFormat/>
    <w:uiPriority w:val="39"/>
    <w:rPr>
      <w:sz w:val="24"/>
    </w:rPr>
  </w:style>
  <w:style w:type="paragraph" w:customStyle="1" w:styleId="3443">
    <w:name w:val="正文首行缩进2字符"/>
    <w:basedOn w:val="1"/>
    <w:autoRedefine/>
    <w:qFormat/>
    <w:uiPriority w:val="0"/>
    <w:pPr>
      <w:spacing w:line="500" w:lineRule="exact"/>
      <w:ind w:firstLine="200" w:firstLineChars="200"/>
    </w:pPr>
    <w:rPr>
      <w:rFonts w:ascii="宋体" w:hAnsi="宋体" w:cs="宋体"/>
      <w:sz w:val="28"/>
      <w:szCs w:val="28"/>
    </w:rPr>
  </w:style>
  <w:style w:type="paragraph" w:customStyle="1" w:styleId="3444">
    <w:name w:val="表内文字小25"/>
    <w:basedOn w:val="1"/>
    <w:autoRedefine/>
    <w:qFormat/>
    <w:uiPriority w:val="0"/>
    <w:pPr>
      <w:adjustRightInd w:val="0"/>
      <w:snapToGrid w:val="0"/>
      <w:jc w:val="center"/>
    </w:pPr>
    <w:rPr>
      <w:rFonts w:ascii="宋体" w:hAnsi="Times"/>
      <w:bCs/>
      <w:color w:val="000000"/>
      <w:szCs w:val="20"/>
    </w:rPr>
  </w:style>
  <w:style w:type="paragraph" w:customStyle="1" w:styleId="3445">
    <w:name w:val="A正文2"/>
    <w:basedOn w:val="1"/>
    <w:autoRedefine/>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kern w:val="0"/>
      <w:sz w:val="24"/>
    </w:rPr>
  </w:style>
  <w:style w:type="paragraph" w:customStyle="1" w:styleId="3446">
    <w:name w:val="图题2111"/>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3447">
    <w:name w:val="图表说明"/>
    <w:basedOn w:val="2490"/>
    <w:autoRedefine/>
    <w:qFormat/>
    <w:uiPriority w:val="0"/>
    <w:pPr>
      <w:tabs>
        <w:tab w:val="left" w:pos="0"/>
      </w:tabs>
      <w:spacing w:line="400" w:lineRule="exact"/>
      <w:ind w:firstLine="3600" w:firstLineChars="1500"/>
    </w:pPr>
    <w:rPr>
      <w:rFonts w:hAnsi="Times New Roman"/>
      <w:sz w:val="24"/>
    </w:rPr>
  </w:style>
  <w:style w:type="paragraph" w:customStyle="1" w:styleId="3448">
    <w:name w:val="我的正文"/>
    <w:basedOn w:val="35"/>
    <w:autoRedefine/>
    <w:qFormat/>
    <w:uiPriority w:val="0"/>
    <w:pPr>
      <w:adjustRightInd w:val="0"/>
      <w:spacing w:after="0" w:line="480" w:lineRule="exact"/>
      <w:ind w:left="0" w:leftChars="0" w:firstLine="200" w:firstLineChars="200"/>
      <w:textAlignment w:val="baseline"/>
    </w:pPr>
    <w:rPr>
      <w:sz w:val="28"/>
      <w:szCs w:val="24"/>
      <w:lang w:val="en-US"/>
    </w:rPr>
  </w:style>
  <w:style w:type="paragraph" w:customStyle="1" w:styleId="3449">
    <w:name w:val="Char412"/>
    <w:basedOn w:val="1"/>
    <w:autoRedefine/>
    <w:qFormat/>
    <w:uiPriority w:val="0"/>
    <w:pPr>
      <w:ind w:left="-48"/>
    </w:pPr>
  </w:style>
  <w:style w:type="paragraph" w:customStyle="1" w:styleId="3450">
    <w:name w:val="样式 标题 2第一章 标题 2Heading 2 HiddenHeading 2 CCBSheading 2H2h2..."/>
    <w:basedOn w:val="4"/>
    <w:autoRedefine/>
    <w:qFormat/>
    <w:uiPriority w:val="0"/>
    <w:pPr>
      <w:spacing w:before="120" w:after="120" w:line="500" w:lineRule="exact"/>
    </w:pPr>
    <w:rPr>
      <w:rFonts w:ascii="Times New Roman" w:hAnsi="Times New Roman" w:eastAsia="仿宋_GB2312"/>
      <w:color w:val="000000"/>
      <w:kern w:val="44"/>
      <w:sz w:val="28"/>
    </w:rPr>
  </w:style>
  <w:style w:type="paragraph" w:customStyle="1" w:styleId="3451">
    <w:name w:val="Char Char Char Char Char Char Char Char Char Char Char Char Char Char Char Char Char Char Char Char Char Char Char Char Char Char12"/>
    <w:basedOn w:val="1"/>
    <w:autoRedefine/>
    <w:qFormat/>
    <w:uiPriority w:val="39"/>
    <w:rPr>
      <w:sz w:val="24"/>
    </w:rPr>
  </w:style>
  <w:style w:type="paragraph" w:customStyle="1" w:styleId="3452">
    <w:name w:val="样式 标题 3标2标题 3 Char Char Char + 段前: 0.5 行1"/>
    <w:basedOn w:val="5"/>
    <w:autoRedefine/>
    <w:qFormat/>
    <w:uiPriority w:val="0"/>
    <w:pPr>
      <w:keepLines w:val="0"/>
      <w:widowControl/>
      <w:tabs>
        <w:tab w:val="left" w:pos="907"/>
      </w:tabs>
      <w:spacing w:beforeLines="50" w:after="0" w:line="360" w:lineRule="auto"/>
      <w:ind w:left="907" w:hanging="907"/>
      <w:jc w:val="left"/>
    </w:pPr>
    <w:rPr>
      <w:rFonts w:ascii="Arial" w:hAnsi="Arial" w:eastAsia="黑体" w:cs="宋体"/>
      <w:b w:val="0"/>
      <w:bCs w:val="0"/>
      <w:kern w:val="0"/>
      <w:sz w:val="24"/>
      <w:szCs w:val="20"/>
      <w:lang w:val="en-US"/>
    </w:rPr>
  </w:style>
  <w:style w:type="paragraph" w:customStyle="1" w:styleId="3453">
    <w:name w:val="文本框111"/>
    <w:basedOn w:val="1"/>
    <w:autoRedefine/>
    <w:qFormat/>
    <w:uiPriority w:val="0"/>
    <w:pPr>
      <w:adjustRightInd w:val="0"/>
      <w:snapToGrid w:val="0"/>
      <w:spacing w:after="6"/>
      <w:jc w:val="center"/>
    </w:pPr>
    <w:rPr>
      <w:rFonts w:eastAsia="仿宋_GB2312"/>
    </w:rPr>
  </w:style>
  <w:style w:type="paragraph" w:customStyle="1" w:styleId="3454">
    <w:name w:val="Char Char Char Char Char Char Char Char3"/>
    <w:basedOn w:val="1"/>
    <w:autoRedefine/>
    <w:qFormat/>
    <w:uiPriority w:val="39"/>
    <w:rPr>
      <w:sz w:val="24"/>
    </w:rPr>
  </w:style>
  <w:style w:type="paragraph" w:customStyle="1" w:styleId="3455">
    <w:name w:val="Char Char Char Char Char3"/>
    <w:basedOn w:val="1"/>
    <w:autoRedefine/>
    <w:qFormat/>
    <w:uiPriority w:val="39"/>
    <w:rPr>
      <w:sz w:val="24"/>
    </w:rPr>
  </w:style>
  <w:style w:type="paragraph" w:customStyle="1" w:styleId="3456">
    <w:name w:val="正文格式33"/>
    <w:basedOn w:val="1"/>
    <w:autoRedefine/>
    <w:qFormat/>
    <w:uiPriority w:val="0"/>
    <w:pPr>
      <w:spacing w:line="360" w:lineRule="auto"/>
      <w:ind w:firstLine="482"/>
    </w:pPr>
    <w:rPr>
      <w:rFonts w:ascii="宋体" w:hAnsi="宋体"/>
      <w:sz w:val="24"/>
    </w:rPr>
  </w:style>
  <w:style w:type="paragraph" w:customStyle="1" w:styleId="3457">
    <w:name w:val="正文0712"/>
    <w:basedOn w:val="9"/>
    <w:autoRedefine/>
    <w:qFormat/>
    <w:uiPriority w:val="0"/>
    <w:pPr>
      <w:spacing w:line="360" w:lineRule="auto"/>
      <w:ind w:right="-157" w:rightChars="-157" w:firstLine="200"/>
    </w:pPr>
    <w:rPr>
      <w:rFonts w:cs="宋体"/>
      <w:kern w:val="0"/>
      <w:sz w:val="24"/>
      <w:lang w:val="en-US"/>
    </w:rPr>
  </w:style>
  <w:style w:type="paragraph" w:customStyle="1" w:styleId="3458">
    <w:name w:val="正文图小五"/>
    <w:basedOn w:val="1"/>
    <w:autoRedefine/>
    <w:qFormat/>
    <w:uiPriority w:val="0"/>
    <w:pPr>
      <w:adjustRightInd w:val="0"/>
      <w:snapToGrid w:val="0"/>
      <w:jc w:val="center"/>
    </w:pPr>
    <w:rPr>
      <w:rFonts w:eastAsia="黑体"/>
      <w:spacing w:val="6"/>
      <w:szCs w:val="20"/>
    </w:rPr>
  </w:style>
  <w:style w:type="paragraph" w:customStyle="1" w:styleId="3459">
    <w:name w:val="样式 样式 样式 标题2 + (西文) Times New Roman (中文) 宋体 加粗 + 段前: 0.5 行 段后: 0..."/>
    <w:basedOn w:val="3426"/>
    <w:autoRedefine/>
    <w:qFormat/>
    <w:uiPriority w:val="0"/>
    <w:rPr>
      <w:color w:val="000000"/>
    </w:rPr>
  </w:style>
  <w:style w:type="paragraph" w:customStyle="1" w:styleId="3460">
    <w:name w:val="Char511"/>
    <w:basedOn w:val="1"/>
    <w:autoRedefine/>
    <w:qFormat/>
    <w:uiPriority w:val="0"/>
    <w:pPr>
      <w:adjustRightInd w:val="0"/>
      <w:snapToGrid w:val="0"/>
      <w:ind w:left="-45"/>
    </w:pPr>
  </w:style>
  <w:style w:type="paragraph" w:customStyle="1" w:styleId="3461">
    <w:name w:val="表题31312"/>
    <w:basedOn w:val="35"/>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3462">
    <w:name w:val="Char Char2 Char Char Char Char7"/>
    <w:basedOn w:val="1"/>
    <w:autoRedefine/>
    <w:qFormat/>
    <w:uiPriority w:val="0"/>
  </w:style>
  <w:style w:type="paragraph" w:customStyle="1" w:styleId="3463">
    <w:name w:val="Char3211"/>
    <w:basedOn w:val="1"/>
    <w:autoRedefine/>
    <w:qFormat/>
    <w:uiPriority w:val="0"/>
    <w:pPr>
      <w:ind w:left="-48"/>
    </w:pPr>
  </w:style>
  <w:style w:type="paragraph" w:customStyle="1" w:styleId="3464">
    <w:name w:val="表格文字小四"/>
    <w:basedOn w:val="1"/>
    <w:autoRedefine/>
    <w:qFormat/>
    <w:uiPriority w:val="0"/>
    <w:pPr>
      <w:adjustRightInd w:val="0"/>
      <w:snapToGrid w:val="0"/>
      <w:spacing w:beforeLines="10" w:afterLines="10"/>
      <w:jc w:val="center"/>
    </w:pPr>
    <w:rPr>
      <w:rFonts w:ascii="Arial" w:hAnsi="Arial" w:cs="Arial"/>
      <w:snapToGrid w:val="0"/>
      <w:kern w:val="0"/>
      <w:sz w:val="24"/>
      <w:szCs w:val="20"/>
    </w:rPr>
  </w:style>
  <w:style w:type="paragraph" w:customStyle="1" w:styleId="3465">
    <w:name w:val="首行缩进两字"/>
    <w:basedOn w:val="1"/>
    <w:autoRedefine/>
    <w:qFormat/>
    <w:uiPriority w:val="0"/>
    <w:pPr>
      <w:ind w:firstLine="549" w:firstLineChars="196"/>
      <w:jc w:val="left"/>
    </w:pPr>
    <w:rPr>
      <w:rFonts w:ascii="宋体" w:hAnsi="宋体"/>
      <w:sz w:val="28"/>
      <w:szCs w:val="20"/>
    </w:rPr>
  </w:style>
  <w:style w:type="paragraph" w:customStyle="1" w:styleId="3466">
    <w:name w:val="Char Char Char Char Char Char Char Char1 Char Char Char Char Char Char Char Char Char Char Char Char1 Char3"/>
    <w:basedOn w:val="1"/>
    <w:autoRedefine/>
    <w:qFormat/>
    <w:uiPriority w:val="39"/>
    <w:rPr>
      <w:sz w:val="24"/>
    </w:rPr>
  </w:style>
  <w:style w:type="paragraph" w:customStyle="1" w:styleId="3467">
    <w:name w:val="默认段落字体 Para Char Char Char Char412"/>
    <w:basedOn w:val="1"/>
    <w:autoRedefine/>
    <w:qFormat/>
    <w:uiPriority w:val="0"/>
  </w:style>
  <w:style w:type="paragraph" w:customStyle="1" w:styleId="3468">
    <w:name w:val="Char Char Char Char Char Char Char Char Char Char Char Char Char Char Char Char Char Char Char Char Char Char Char Char Char2"/>
    <w:basedOn w:val="1"/>
    <w:autoRedefine/>
    <w:qFormat/>
    <w:uiPriority w:val="39"/>
    <w:rPr>
      <w:sz w:val="24"/>
    </w:rPr>
  </w:style>
  <w:style w:type="paragraph" w:customStyle="1" w:styleId="3469">
    <w:name w:val="表311"/>
    <w:basedOn w:val="1"/>
    <w:autoRedefine/>
    <w:qFormat/>
    <w:uiPriority w:val="0"/>
    <w:pPr>
      <w:adjustRightInd w:val="0"/>
      <w:snapToGrid w:val="0"/>
      <w:jc w:val="center"/>
    </w:pPr>
    <w:rPr>
      <w:rFonts w:eastAsia="仿宋_GB2312"/>
      <w:sz w:val="24"/>
    </w:rPr>
  </w:style>
  <w:style w:type="paragraph" w:customStyle="1" w:styleId="3470">
    <w:name w:val="Char Char Char Char Char Char Char Char Char Char Char Char Char Char Char Char Char1 Char2"/>
    <w:basedOn w:val="1"/>
    <w:autoRedefine/>
    <w:qFormat/>
    <w:uiPriority w:val="39"/>
    <w:rPr>
      <w:sz w:val="24"/>
    </w:rPr>
  </w:style>
  <w:style w:type="paragraph" w:customStyle="1" w:styleId="3471">
    <w:name w:val="样式 正文缩进 + 宋体 黑色 首行缩进:  2 字符3"/>
    <w:basedOn w:val="9"/>
    <w:autoRedefine/>
    <w:qFormat/>
    <w:uiPriority w:val="0"/>
    <w:pPr>
      <w:spacing w:line="360" w:lineRule="auto"/>
      <w:ind w:firstLine="480"/>
      <w:jc w:val="left"/>
    </w:pPr>
    <w:rPr>
      <w:rFonts w:ascii="宋体" w:hAnsi="宋体" w:cs="宋体"/>
      <w:color w:val="FF00FF"/>
      <w:kern w:val="0"/>
      <w:sz w:val="24"/>
      <w:szCs w:val="20"/>
      <w:lang w:val="en-US"/>
    </w:rPr>
  </w:style>
  <w:style w:type="paragraph" w:customStyle="1" w:styleId="3472">
    <w:name w:val="Char Char1 Char Char Char Char3"/>
    <w:basedOn w:val="1"/>
    <w:autoRedefine/>
    <w:qFormat/>
    <w:uiPriority w:val="39"/>
    <w:rPr>
      <w:szCs w:val="20"/>
    </w:rPr>
  </w:style>
  <w:style w:type="paragraph" w:customStyle="1" w:styleId="3473">
    <w:name w:val="样式 表格内字体 +12"/>
    <w:basedOn w:val="415"/>
    <w:autoRedefine/>
    <w:qFormat/>
    <w:uiPriority w:val="0"/>
    <w:pPr>
      <w:spacing w:line="280" w:lineRule="exact"/>
      <w:ind w:firstLine="36"/>
      <w:jc w:val="both"/>
    </w:pPr>
  </w:style>
  <w:style w:type="paragraph" w:customStyle="1" w:styleId="3474">
    <w:name w:val="Char Char Char Char Char Char Char Char Char1 Char Char Char Char5"/>
    <w:basedOn w:val="1"/>
    <w:autoRedefine/>
    <w:qFormat/>
    <w:uiPriority w:val="39"/>
    <w:rPr>
      <w:rFonts w:eastAsia="黑体"/>
      <w:b/>
      <w:szCs w:val="20"/>
    </w:rPr>
  </w:style>
  <w:style w:type="paragraph" w:customStyle="1" w:styleId="3475">
    <w:name w:val="Char Char Char Char Char Char Char221"/>
    <w:basedOn w:val="1"/>
    <w:autoRedefine/>
    <w:qFormat/>
    <w:uiPriority w:val="0"/>
  </w:style>
  <w:style w:type="paragraph" w:customStyle="1" w:styleId="3476">
    <w:name w:val="Char Char2 Char Char Char Char Char Char5"/>
    <w:basedOn w:val="1"/>
    <w:autoRedefine/>
    <w:qFormat/>
    <w:uiPriority w:val="39"/>
    <w:pPr>
      <w:spacing w:line="480" w:lineRule="exact"/>
    </w:pPr>
    <w:rPr>
      <w:sz w:val="22"/>
    </w:rPr>
  </w:style>
  <w:style w:type="paragraph" w:customStyle="1" w:styleId="3477">
    <w:name w:val="正文文本缩进6"/>
    <w:basedOn w:val="1"/>
    <w:autoRedefine/>
    <w:qFormat/>
    <w:uiPriority w:val="39"/>
    <w:pPr>
      <w:spacing w:after="120" w:line="360" w:lineRule="auto"/>
      <w:ind w:left="420" w:leftChars="200" w:firstLine="200" w:firstLineChars="200"/>
    </w:pPr>
    <w:rPr>
      <w:sz w:val="24"/>
    </w:rPr>
  </w:style>
  <w:style w:type="paragraph" w:customStyle="1" w:styleId="3478">
    <w:name w:val="图题63"/>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3479">
    <w:name w:val="环评正文11"/>
    <w:autoRedefine/>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3480">
    <w:name w:val="标题43122"/>
    <w:basedOn w:val="1"/>
    <w:autoRedefine/>
    <w:qFormat/>
    <w:uiPriority w:val="0"/>
    <w:pPr>
      <w:adjustRightInd w:val="0"/>
      <w:snapToGrid w:val="0"/>
      <w:spacing w:line="480" w:lineRule="exact"/>
      <w:jc w:val="center"/>
    </w:pPr>
    <w:rPr>
      <w:rFonts w:ascii="宋体" w:hAnsi="宋体" w:cs="宋体"/>
      <w:sz w:val="24"/>
    </w:rPr>
  </w:style>
  <w:style w:type="paragraph" w:customStyle="1" w:styleId="3481">
    <w:name w:val="main"/>
    <w:basedOn w:val="1"/>
    <w:autoRedefine/>
    <w:qFormat/>
    <w:uiPriority w:val="99"/>
    <w:pPr>
      <w:widowControl/>
      <w:spacing w:before="100" w:beforeAutospacing="1" w:after="100" w:afterAutospacing="1"/>
      <w:jc w:val="left"/>
    </w:pPr>
    <w:rPr>
      <w:rFonts w:ascii="宋体" w:hAnsi="宋体" w:cs="宋体"/>
      <w:color w:val="000000"/>
      <w:kern w:val="0"/>
      <w:sz w:val="24"/>
    </w:rPr>
  </w:style>
  <w:style w:type="paragraph" w:customStyle="1" w:styleId="3482">
    <w:name w:val="样式43"/>
    <w:basedOn w:val="34"/>
    <w:autoRedefine/>
    <w:qFormat/>
    <w:uiPriority w:val="0"/>
    <w:pPr>
      <w:widowControl w:val="0"/>
      <w:tabs>
        <w:tab w:val="left" w:pos="1820"/>
      </w:tabs>
      <w:spacing w:before="0" w:after="0" w:line="240" w:lineRule="atLeast"/>
      <w:ind w:right="0"/>
      <w:jc w:val="center"/>
    </w:pPr>
    <w:rPr>
      <w:rFonts w:eastAsia="幼圆"/>
      <w:sz w:val="20"/>
      <w:lang w:val="en-US"/>
    </w:rPr>
  </w:style>
  <w:style w:type="paragraph" w:customStyle="1" w:styleId="3483">
    <w:name w:val="燕山正文22"/>
    <w:basedOn w:val="1"/>
    <w:autoRedefine/>
    <w:qFormat/>
    <w:uiPriority w:val="0"/>
    <w:pPr>
      <w:tabs>
        <w:tab w:val="left" w:pos="4680"/>
      </w:tabs>
      <w:adjustRightInd w:val="0"/>
      <w:snapToGrid w:val="0"/>
      <w:spacing w:line="480" w:lineRule="exact"/>
    </w:pPr>
    <w:rPr>
      <w:rFonts w:ascii="宋体" w:cs="宋体"/>
      <w:sz w:val="24"/>
    </w:rPr>
  </w:style>
  <w:style w:type="paragraph" w:customStyle="1" w:styleId="3484">
    <w:name w:val="燕山正文411"/>
    <w:basedOn w:val="1"/>
    <w:autoRedefine/>
    <w:qFormat/>
    <w:uiPriority w:val="0"/>
    <w:pPr>
      <w:tabs>
        <w:tab w:val="left" w:pos="4680"/>
      </w:tabs>
      <w:adjustRightInd w:val="0"/>
      <w:snapToGrid w:val="0"/>
      <w:spacing w:line="480" w:lineRule="exact"/>
    </w:pPr>
    <w:rPr>
      <w:rFonts w:ascii="宋体" w:cs="宋体"/>
      <w:sz w:val="24"/>
    </w:rPr>
  </w:style>
  <w:style w:type="paragraph" w:customStyle="1" w:styleId="3485">
    <w:name w:val="表内小5中1"/>
    <w:basedOn w:val="1"/>
    <w:autoRedefine/>
    <w:qFormat/>
    <w:uiPriority w:val="0"/>
    <w:pPr>
      <w:adjustRightInd w:val="0"/>
      <w:snapToGrid w:val="0"/>
      <w:jc w:val="center"/>
    </w:pPr>
    <w:rPr>
      <w:rFonts w:ascii="宋体" w:hAnsi="宋体"/>
      <w:sz w:val="18"/>
      <w:szCs w:val="20"/>
    </w:rPr>
  </w:style>
  <w:style w:type="paragraph" w:customStyle="1" w:styleId="3486">
    <w:name w:val="BGBT"/>
    <w:basedOn w:val="22"/>
    <w:autoRedefine/>
    <w:qFormat/>
    <w:uiPriority w:val="99"/>
    <w:pPr>
      <w:widowControl w:val="0"/>
      <w:spacing w:after="0" w:line="240" w:lineRule="auto"/>
      <w:ind w:left="0" w:right="0" w:firstLine="0"/>
      <w:jc w:val="center"/>
    </w:pPr>
    <w:rPr>
      <w:rFonts w:ascii="Times New Roman" w:hAnsi="Times New Roman" w:eastAsia="宋体" w:cs="宋体"/>
      <w:b/>
      <w:bCs/>
      <w:color w:val="auto"/>
      <w:sz w:val="24"/>
      <w:szCs w:val="24"/>
    </w:rPr>
  </w:style>
  <w:style w:type="paragraph" w:customStyle="1" w:styleId="3487">
    <w:name w:val="Char Char2 Char Char Char Char41"/>
    <w:basedOn w:val="1"/>
    <w:autoRedefine/>
    <w:qFormat/>
    <w:uiPriority w:val="0"/>
  </w:style>
  <w:style w:type="paragraph" w:customStyle="1" w:styleId="3488">
    <w:name w:val="Char Char Char Char1 Char Char Char Char Char Char Char2"/>
    <w:basedOn w:val="1"/>
    <w:autoRedefine/>
    <w:qFormat/>
    <w:uiPriority w:val="39"/>
    <w:pPr>
      <w:tabs>
        <w:tab w:val="left" w:pos="360"/>
      </w:tabs>
      <w:snapToGrid w:val="0"/>
      <w:spacing w:line="360" w:lineRule="auto"/>
    </w:pPr>
    <w:rPr>
      <w:rFonts w:eastAsia="仿宋_GB2312" w:cs="宋体"/>
      <w:sz w:val="24"/>
    </w:rPr>
  </w:style>
  <w:style w:type="paragraph" w:customStyle="1" w:styleId="3489">
    <w:name w:val="正文格式＝63"/>
    <w:basedOn w:val="416"/>
    <w:next w:val="416"/>
    <w:autoRedefine/>
    <w:qFormat/>
    <w:uiPriority w:val="0"/>
    <w:rPr>
      <w:rFonts w:ascii="宋体" w:hAnsi="宋体"/>
      <w:b w:val="0"/>
      <w:spacing w:val="0"/>
      <w:sz w:val="24"/>
      <w:szCs w:val="24"/>
    </w:rPr>
  </w:style>
  <w:style w:type="paragraph" w:customStyle="1" w:styleId="3490">
    <w:name w:val="Char37"/>
    <w:basedOn w:val="1"/>
    <w:autoRedefine/>
    <w:qFormat/>
    <w:uiPriority w:val="0"/>
    <w:pPr>
      <w:ind w:left="-48"/>
    </w:pPr>
  </w:style>
  <w:style w:type="paragraph" w:customStyle="1" w:styleId="3491">
    <w:name w:val="Char Char7 Char Char1 Char Char Char1 Char Char Char Char Char Char Char Char Char Char Char"/>
    <w:basedOn w:val="1"/>
    <w:autoRedefine/>
    <w:qFormat/>
    <w:uiPriority w:val="0"/>
    <w:pPr>
      <w:spacing w:line="240" w:lineRule="exact"/>
      <w:ind w:firstLine="200" w:firstLineChars="200"/>
    </w:pPr>
    <w:rPr>
      <w:sz w:val="28"/>
      <w:szCs w:val="28"/>
    </w:rPr>
  </w:style>
  <w:style w:type="paragraph" w:customStyle="1" w:styleId="3492">
    <w:name w:val="表格内字体42"/>
    <w:basedOn w:val="416"/>
    <w:next w:val="416"/>
    <w:autoRedefine/>
    <w:qFormat/>
    <w:uiPriority w:val="0"/>
    <w:pPr>
      <w:spacing w:line="240" w:lineRule="auto"/>
      <w:ind w:firstLine="0"/>
      <w:jc w:val="center"/>
    </w:pPr>
    <w:rPr>
      <w:rFonts w:ascii="宋体" w:hAnsi="宋体"/>
      <w:b w:val="0"/>
      <w:spacing w:val="0"/>
      <w:szCs w:val="24"/>
    </w:rPr>
  </w:style>
  <w:style w:type="paragraph" w:customStyle="1" w:styleId="3493">
    <w:name w:val="Char Char Char Char Char Char Char Char Char Char Char Char Char Char Char Char Char Char Char Char Char Char Char Char Char Char Char Char Char Char Char Char Char Char2"/>
    <w:basedOn w:val="1"/>
    <w:autoRedefine/>
    <w:qFormat/>
    <w:uiPriority w:val="39"/>
    <w:rPr>
      <w:sz w:val="24"/>
    </w:rPr>
  </w:style>
  <w:style w:type="paragraph" w:customStyle="1" w:styleId="3494">
    <w:name w:val="222222222222"/>
    <w:basedOn w:val="4"/>
    <w:autoRedefine/>
    <w:qFormat/>
    <w:uiPriority w:val="99"/>
    <w:pPr>
      <w:adjustRightInd w:val="0"/>
      <w:snapToGrid w:val="0"/>
      <w:spacing w:beforeLines="100" w:afterLines="50" w:line="500" w:lineRule="exact"/>
    </w:pPr>
    <w:rPr>
      <w:rFonts w:ascii="Times New Roman" w:hAnsi="Times New Roman"/>
      <w:sz w:val="28"/>
      <w:szCs w:val="28"/>
    </w:rPr>
  </w:style>
  <w:style w:type="paragraph" w:customStyle="1" w:styleId="3495">
    <w:name w:val="表题153"/>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3496">
    <w:name w:val="燕山正文1113"/>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497">
    <w:name w:val="表中文字511"/>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498">
    <w:name w:val="样式 表格内字体1 +3"/>
    <w:basedOn w:val="2535"/>
    <w:next w:val="415"/>
    <w:autoRedefine/>
    <w:qFormat/>
    <w:uiPriority w:val="0"/>
    <w:rPr>
      <w:rFonts w:hAnsi="Times New Roman" w:cs="宋体"/>
      <w:szCs w:val="20"/>
    </w:rPr>
  </w:style>
  <w:style w:type="paragraph" w:customStyle="1" w:styleId="3499">
    <w:name w:val="Char47"/>
    <w:basedOn w:val="1"/>
    <w:autoRedefine/>
    <w:qFormat/>
    <w:uiPriority w:val="0"/>
    <w:pPr>
      <w:ind w:left="-48"/>
    </w:pPr>
  </w:style>
  <w:style w:type="paragraph" w:customStyle="1" w:styleId="3500">
    <w:name w:val="表中文字43"/>
    <w:basedOn w:val="1"/>
    <w:autoRedefine/>
    <w:qFormat/>
    <w:uiPriority w:val="0"/>
    <w:pPr>
      <w:snapToGrid w:val="0"/>
      <w:spacing w:line="340" w:lineRule="exact"/>
      <w:ind w:firstLine="480" w:firstLineChars="200"/>
      <w:jc w:val="center"/>
    </w:pPr>
    <w:rPr>
      <w:rFonts w:ascii="Arial" w:hAnsi="Arial"/>
      <w:kern w:val="0"/>
      <w:sz w:val="20"/>
      <w:lang w:eastAsia="zh-TW"/>
    </w:rPr>
  </w:style>
  <w:style w:type="paragraph" w:customStyle="1" w:styleId="3501">
    <w:name w:val="表文字5112"/>
    <w:basedOn w:val="1"/>
    <w:autoRedefine/>
    <w:qFormat/>
    <w:uiPriority w:val="0"/>
    <w:pPr>
      <w:adjustRightInd w:val="0"/>
      <w:jc w:val="left"/>
      <w:textAlignment w:val="baseline"/>
    </w:pPr>
    <w:rPr>
      <w:rFonts w:ascii="宋体"/>
      <w:kern w:val="0"/>
      <w:szCs w:val="20"/>
    </w:rPr>
  </w:style>
  <w:style w:type="paragraph" w:customStyle="1" w:styleId="3502">
    <w:name w:val="正文首行缩进1"/>
    <w:basedOn w:val="1"/>
    <w:next w:val="1"/>
    <w:autoRedefine/>
    <w:qFormat/>
    <w:uiPriority w:val="0"/>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textAlignment w:val="baseline"/>
    </w:pPr>
    <w:rPr>
      <w:kern w:val="0"/>
      <w:sz w:val="28"/>
    </w:rPr>
  </w:style>
  <w:style w:type="paragraph" w:customStyle="1" w:styleId="3503">
    <w:name w:val="表文字532"/>
    <w:basedOn w:val="1"/>
    <w:autoRedefine/>
    <w:qFormat/>
    <w:uiPriority w:val="0"/>
    <w:pPr>
      <w:adjustRightInd w:val="0"/>
      <w:jc w:val="left"/>
      <w:textAlignment w:val="baseline"/>
    </w:pPr>
    <w:rPr>
      <w:rFonts w:ascii="宋体"/>
      <w:kern w:val="0"/>
      <w:szCs w:val="20"/>
    </w:rPr>
  </w:style>
  <w:style w:type="paragraph" w:customStyle="1" w:styleId="3504">
    <w:name w:val="样式13"/>
    <w:basedOn w:val="1"/>
    <w:next w:val="31"/>
    <w:autoRedefine/>
    <w:qFormat/>
    <w:uiPriority w:val="0"/>
    <w:pPr>
      <w:adjustRightInd w:val="0"/>
      <w:spacing w:line="500" w:lineRule="exact"/>
      <w:ind w:firstLine="200" w:firstLineChars="200"/>
      <w:textAlignment w:val="baseline"/>
    </w:pPr>
    <w:rPr>
      <w:rFonts w:ascii="仿宋_GB2312" w:hAnsi="宋体" w:eastAsia="仿宋_GB2312"/>
      <w:color w:val="FF0000"/>
      <w:sz w:val="28"/>
      <w:szCs w:val="28"/>
    </w:rPr>
  </w:style>
  <w:style w:type="paragraph" w:customStyle="1" w:styleId="3505">
    <w:name w:val="Char Char Char Char Char Char Char2211"/>
    <w:basedOn w:val="1"/>
    <w:autoRedefine/>
    <w:qFormat/>
    <w:uiPriority w:val="0"/>
  </w:style>
  <w:style w:type="paragraph" w:customStyle="1" w:styleId="3506">
    <w:name w:val="样式11.1.1.1"/>
    <w:basedOn w:val="3507"/>
    <w:autoRedefine/>
    <w:qFormat/>
    <w:uiPriority w:val="99"/>
    <w:pPr>
      <w:tabs>
        <w:tab w:val="left" w:pos="-962"/>
        <w:tab w:val="left" w:pos="0"/>
        <w:tab w:val="left" w:pos="1740"/>
      </w:tabs>
      <w:ind w:left="0"/>
      <w:outlineLvl w:val="3"/>
    </w:pPr>
    <w:rPr>
      <w:sz w:val="24"/>
    </w:rPr>
  </w:style>
  <w:style w:type="paragraph" w:customStyle="1" w:styleId="3507">
    <w:name w:val="样式11.1.1"/>
    <w:basedOn w:val="1"/>
    <w:autoRedefine/>
    <w:qFormat/>
    <w:uiPriority w:val="99"/>
    <w:pPr>
      <w:tabs>
        <w:tab w:val="left" w:pos="-962"/>
        <w:tab w:val="left" w:pos="0"/>
        <w:tab w:val="left" w:pos="1740"/>
      </w:tabs>
      <w:spacing w:beforeLines="50" w:line="360" w:lineRule="auto"/>
      <w:ind w:left="-962"/>
      <w:outlineLvl w:val="2"/>
    </w:pPr>
    <w:rPr>
      <w:b/>
      <w:spacing w:val="-10"/>
      <w:sz w:val="28"/>
    </w:rPr>
  </w:style>
  <w:style w:type="paragraph" w:customStyle="1" w:styleId="3508">
    <w:name w:val="Char Char Char Char Char Char Char10"/>
    <w:basedOn w:val="1"/>
    <w:autoRedefine/>
    <w:qFormat/>
    <w:uiPriority w:val="0"/>
  </w:style>
  <w:style w:type="paragraph" w:customStyle="1" w:styleId="3509">
    <w:name w:val="样式 标题 4标题 4 CharbulletblbbPIM 4H4h4Heading Four款标题1.1.1..."/>
    <w:basedOn w:val="6"/>
    <w:autoRedefine/>
    <w:qFormat/>
    <w:uiPriority w:val="99"/>
    <w:pPr>
      <w:spacing w:before="0" w:after="0" w:line="360" w:lineRule="auto"/>
      <w:ind w:left="0" w:firstLine="0"/>
    </w:pPr>
    <w:rPr>
      <w:rFonts w:ascii="宋体" w:hAnsi="宋体" w:eastAsia="宋体"/>
      <w:bCs w:val="0"/>
      <w:sz w:val="24"/>
    </w:rPr>
  </w:style>
  <w:style w:type="paragraph" w:customStyle="1" w:styleId="3510">
    <w:name w:val="燕山正文114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511">
    <w:name w:val="表格内字体73"/>
    <w:basedOn w:val="416"/>
    <w:next w:val="416"/>
    <w:autoRedefine/>
    <w:qFormat/>
    <w:uiPriority w:val="0"/>
    <w:pPr>
      <w:spacing w:line="240" w:lineRule="auto"/>
      <w:ind w:firstLine="0"/>
      <w:jc w:val="center"/>
    </w:pPr>
    <w:rPr>
      <w:rFonts w:ascii="宋体" w:hAnsi="宋体"/>
      <w:b w:val="0"/>
      <w:spacing w:val="0"/>
      <w:szCs w:val="24"/>
    </w:rPr>
  </w:style>
  <w:style w:type="paragraph" w:customStyle="1" w:styleId="3512">
    <w:name w:val="样式113"/>
    <w:basedOn w:val="1604"/>
    <w:autoRedefine/>
    <w:qFormat/>
    <w:uiPriority w:val="0"/>
    <w:pPr>
      <w:spacing w:line="240" w:lineRule="auto"/>
      <w:ind w:firstLine="0"/>
      <w:jc w:val="center"/>
    </w:pPr>
    <w:rPr>
      <w:rFonts w:cs="Times New Roman"/>
      <w:b/>
      <w:color w:val="auto"/>
      <w:szCs w:val="20"/>
    </w:rPr>
  </w:style>
  <w:style w:type="paragraph" w:customStyle="1" w:styleId="3513">
    <w:name w:val="样式 (西文) 宋体 段前: 6 磅 段后: 6 磅"/>
    <w:basedOn w:val="1"/>
    <w:autoRedefine/>
    <w:qFormat/>
    <w:uiPriority w:val="0"/>
    <w:pPr>
      <w:spacing w:before="120" w:after="120" w:line="500" w:lineRule="exact"/>
    </w:pPr>
    <w:rPr>
      <w:rFonts w:ascii="宋体" w:hAnsi="宋体" w:eastAsia="仿宋_GB2312" w:cs="宋体"/>
      <w:sz w:val="28"/>
      <w:szCs w:val="20"/>
    </w:rPr>
  </w:style>
  <w:style w:type="paragraph" w:customStyle="1" w:styleId="3514">
    <w:name w:val="Char1611"/>
    <w:basedOn w:val="1"/>
    <w:autoRedefine/>
    <w:qFormat/>
    <w:uiPriority w:val="0"/>
    <w:pPr>
      <w:ind w:left="-48"/>
    </w:pPr>
  </w:style>
  <w:style w:type="paragraph" w:customStyle="1" w:styleId="3515">
    <w:name w:val="表题11111"/>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3516">
    <w:name w:val="项目1"/>
    <w:basedOn w:val="1"/>
    <w:autoRedefine/>
    <w:qFormat/>
    <w:uiPriority w:val="0"/>
    <w:pPr>
      <w:tabs>
        <w:tab w:val="left" w:pos="425"/>
      </w:tabs>
      <w:snapToGrid w:val="0"/>
      <w:spacing w:line="0" w:lineRule="atLeast"/>
      <w:ind w:left="425" w:hanging="425"/>
    </w:pPr>
    <w:rPr>
      <w:sz w:val="28"/>
      <w:szCs w:val="20"/>
    </w:rPr>
  </w:style>
  <w:style w:type="paragraph" w:customStyle="1" w:styleId="3517">
    <w:name w:val="表内宋5中13"/>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3518">
    <w:name w:val="小4仿宋居中行1"/>
    <w:autoRedefine/>
    <w:qFormat/>
    <w:uiPriority w:val="0"/>
    <w:pPr>
      <w:widowControl w:val="0"/>
      <w:ind w:left="-573" w:right="-59" w:firstLine="494"/>
      <w:jc w:val="center"/>
    </w:pPr>
    <w:rPr>
      <w:rFonts w:ascii="Times New Roman" w:hAnsi="Times New Roman" w:eastAsia="仿宋_GB2312" w:cs="Times New Roman"/>
      <w:sz w:val="24"/>
      <w:lang w:val="en-US" w:eastAsia="zh-CN" w:bidi="ar-SA"/>
    </w:rPr>
  </w:style>
  <w:style w:type="paragraph" w:customStyle="1" w:styleId="3519">
    <w:name w:val="样式 样式4.1 + 段前: 0.5 行"/>
    <w:basedOn w:val="2136"/>
    <w:autoRedefine/>
    <w:qFormat/>
    <w:uiPriority w:val="99"/>
    <w:pPr>
      <w:tabs>
        <w:tab w:val="left" w:pos="0"/>
      </w:tabs>
      <w:spacing w:beforeLines="0"/>
      <w:ind w:left="840" w:hanging="420"/>
    </w:pPr>
    <w:rPr>
      <w:rFonts w:cs="宋体"/>
      <w:szCs w:val="20"/>
    </w:rPr>
  </w:style>
  <w:style w:type="paragraph" w:customStyle="1" w:styleId="3520">
    <w:name w:val="正文格式411"/>
    <w:basedOn w:val="1"/>
    <w:autoRedefine/>
    <w:qFormat/>
    <w:uiPriority w:val="0"/>
    <w:pPr>
      <w:spacing w:line="360" w:lineRule="auto"/>
      <w:ind w:firstLine="482"/>
    </w:pPr>
    <w:rPr>
      <w:rFonts w:ascii="宋体" w:hAnsi="宋体"/>
      <w:sz w:val="24"/>
    </w:rPr>
  </w:style>
  <w:style w:type="paragraph" w:customStyle="1" w:styleId="3521">
    <w:name w:val="标题4112"/>
    <w:basedOn w:val="1"/>
    <w:autoRedefine/>
    <w:qFormat/>
    <w:uiPriority w:val="0"/>
    <w:pPr>
      <w:adjustRightInd w:val="0"/>
      <w:snapToGrid w:val="0"/>
      <w:spacing w:line="300" w:lineRule="auto"/>
      <w:jc w:val="left"/>
    </w:pPr>
    <w:rPr>
      <w:rFonts w:ascii="黑体" w:hAnsi="宋体" w:eastAsia="黑体" w:cs="宋体"/>
      <w:bCs/>
      <w:sz w:val="24"/>
      <w:szCs w:val="20"/>
    </w:rPr>
  </w:style>
  <w:style w:type="paragraph" w:customStyle="1" w:styleId="3522">
    <w:name w:val="1.2.5"/>
    <w:basedOn w:val="6"/>
    <w:autoRedefine/>
    <w:qFormat/>
    <w:uiPriority w:val="99"/>
    <w:pPr>
      <w:tabs>
        <w:tab w:val="left" w:pos="0"/>
      </w:tabs>
      <w:spacing w:before="0" w:after="0" w:line="360" w:lineRule="auto"/>
      <w:ind w:left="0" w:firstLine="0"/>
      <w:jc w:val="left"/>
    </w:pPr>
    <w:rPr>
      <w:rFonts w:ascii="宋体" w:eastAsia="宋体"/>
      <w:b w:val="0"/>
      <w:color w:val="000000"/>
      <w:sz w:val="24"/>
    </w:rPr>
  </w:style>
  <w:style w:type="paragraph" w:customStyle="1" w:styleId="3523">
    <w:name w:val="样式 表格标题 + 段前: 0.5 行"/>
    <w:basedOn w:val="9"/>
    <w:autoRedefine/>
    <w:qFormat/>
    <w:uiPriority w:val="0"/>
    <w:pPr>
      <w:autoSpaceDE w:val="0"/>
      <w:autoSpaceDN w:val="0"/>
      <w:adjustRightInd w:val="0"/>
      <w:spacing w:before="120" w:line="400" w:lineRule="exact"/>
      <w:ind w:firstLine="0" w:firstLineChars="0"/>
      <w:jc w:val="center"/>
    </w:pPr>
    <w:rPr>
      <w:rFonts w:ascii="宋体" w:eastAsia="黑体"/>
      <w:kern w:val="0"/>
      <w:sz w:val="24"/>
      <w:szCs w:val="20"/>
    </w:rPr>
  </w:style>
  <w:style w:type="paragraph" w:customStyle="1" w:styleId="3524">
    <w:name w:val="样式 样式11.1 + 段前: 0.5 行"/>
    <w:basedOn w:val="3361"/>
    <w:autoRedefine/>
    <w:qFormat/>
    <w:uiPriority w:val="99"/>
    <w:pPr>
      <w:tabs>
        <w:tab w:val="left" w:pos="0"/>
      </w:tabs>
    </w:pPr>
    <w:rPr>
      <w:rFonts w:cs="宋体"/>
      <w:bCs/>
      <w:szCs w:val="20"/>
    </w:rPr>
  </w:style>
  <w:style w:type="paragraph" w:customStyle="1" w:styleId="3525">
    <w:name w:val="表文字5311"/>
    <w:basedOn w:val="1"/>
    <w:autoRedefine/>
    <w:qFormat/>
    <w:uiPriority w:val="0"/>
    <w:pPr>
      <w:adjustRightInd w:val="0"/>
      <w:jc w:val="left"/>
      <w:textAlignment w:val="baseline"/>
    </w:pPr>
    <w:rPr>
      <w:rFonts w:ascii="宋体"/>
      <w:kern w:val="0"/>
      <w:szCs w:val="20"/>
    </w:rPr>
  </w:style>
  <w:style w:type="paragraph" w:customStyle="1" w:styleId="3526">
    <w:name w:val="表内文字小112"/>
    <w:basedOn w:val="1"/>
    <w:autoRedefine/>
    <w:qFormat/>
    <w:uiPriority w:val="0"/>
    <w:pPr>
      <w:adjustRightInd w:val="0"/>
      <w:snapToGrid w:val="0"/>
    </w:pPr>
    <w:rPr>
      <w:rFonts w:ascii="宋体" w:hAnsi="Times" w:cs="宋体"/>
      <w:szCs w:val="20"/>
    </w:rPr>
  </w:style>
  <w:style w:type="paragraph" w:customStyle="1" w:styleId="3527">
    <w:name w:val="表5"/>
    <w:basedOn w:val="1"/>
    <w:autoRedefine/>
    <w:qFormat/>
    <w:uiPriority w:val="0"/>
    <w:pPr>
      <w:adjustRightInd w:val="0"/>
      <w:snapToGrid w:val="0"/>
      <w:jc w:val="center"/>
    </w:pPr>
    <w:rPr>
      <w:rFonts w:eastAsia="仿宋_GB2312"/>
      <w:sz w:val="24"/>
    </w:rPr>
  </w:style>
  <w:style w:type="paragraph" w:customStyle="1" w:styleId="3528">
    <w:name w:val="标题4315"/>
    <w:basedOn w:val="1"/>
    <w:autoRedefine/>
    <w:qFormat/>
    <w:uiPriority w:val="0"/>
    <w:pPr>
      <w:adjustRightInd w:val="0"/>
      <w:snapToGrid w:val="0"/>
      <w:spacing w:line="480" w:lineRule="exact"/>
      <w:jc w:val="center"/>
    </w:pPr>
    <w:rPr>
      <w:rFonts w:ascii="宋体" w:hAnsi="宋体" w:cs="宋体"/>
      <w:sz w:val="24"/>
    </w:rPr>
  </w:style>
  <w:style w:type="paragraph" w:customStyle="1" w:styleId="3529">
    <w:name w:val="样式 样式 首行缩进:  2 字符 + 首行缩进:  2 字符"/>
    <w:basedOn w:val="1"/>
    <w:autoRedefine/>
    <w:qFormat/>
    <w:uiPriority w:val="99"/>
    <w:pPr>
      <w:spacing w:line="500" w:lineRule="exact"/>
      <w:ind w:firstLine="200" w:firstLineChars="200"/>
    </w:pPr>
    <w:rPr>
      <w:rFonts w:cs="宋体"/>
      <w:spacing w:val="30"/>
      <w:sz w:val="28"/>
      <w:szCs w:val="20"/>
    </w:rPr>
  </w:style>
  <w:style w:type="paragraph" w:customStyle="1" w:styleId="3530">
    <w:name w:val="样式 标题 3条标题1.1.1H3BOD 0Heading 3 - oldLevel 3 Headh33rd le..."/>
    <w:basedOn w:val="5"/>
    <w:autoRedefine/>
    <w:qFormat/>
    <w:uiPriority w:val="99"/>
    <w:pPr>
      <w:spacing w:before="0" w:after="0" w:line="360" w:lineRule="auto"/>
    </w:pPr>
    <w:rPr>
      <w:rFonts w:eastAsia="黑体" w:cs="宋体"/>
      <w:bCs w:val="0"/>
      <w:kern w:val="0"/>
      <w:sz w:val="28"/>
      <w:szCs w:val="20"/>
      <w:lang w:val="en-US"/>
    </w:rPr>
  </w:style>
  <w:style w:type="paragraph" w:customStyle="1" w:styleId="3531">
    <w:name w:val="样式11.5.1"/>
    <w:basedOn w:val="1"/>
    <w:autoRedefine/>
    <w:qFormat/>
    <w:uiPriority w:val="99"/>
    <w:pPr>
      <w:tabs>
        <w:tab w:val="left" w:pos="-962"/>
        <w:tab w:val="left" w:pos="0"/>
      </w:tabs>
      <w:spacing w:beforeLines="50" w:line="360" w:lineRule="auto"/>
      <w:ind w:left="-962"/>
      <w:outlineLvl w:val="2"/>
    </w:pPr>
    <w:rPr>
      <w:b/>
      <w:sz w:val="28"/>
    </w:rPr>
  </w:style>
  <w:style w:type="paragraph" w:customStyle="1" w:styleId="3532">
    <w:name w:val="表内5中3"/>
    <w:basedOn w:val="1"/>
    <w:autoRedefine/>
    <w:qFormat/>
    <w:uiPriority w:val="0"/>
    <w:pPr>
      <w:adjustRightInd w:val="0"/>
      <w:snapToGrid w:val="0"/>
      <w:jc w:val="center"/>
    </w:pPr>
    <w:rPr>
      <w:rFonts w:ascii="宋体" w:hAnsi="宋体" w:cs="Arial"/>
      <w:snapToGrid w:val="0"/>
      <w:color w:val="000000"/>
      <w:szCs w:val="21"/>
    </w:rPr>
  </w:style>
  <w:style w:type="paragraph" w:customStyle="1" w:styleId="3533">
    <w:name w:val="Char62"/>
    <w:basedOn w:val="1"/>
    <w:autoRedefine/>
    <w:qFormat/>
    <w:uiPriority w:val="0"/>
    <w:pPr>
      <w:adjustRightInd w:val="0"/>
      <w:snapToGrid w:val="0"/>
      <w:spacing w:beforeLines="50" w:line="360" w:lineRule="auto"/>
    </w:pPr>
    <w:rPr>
      <w:rFonts w:ascii="黑体" w:eastAsia="黑体"/>
      <w:sz w:val="32"/>
      <w:szCs w:val="32"/>
    </w:rPr>
  </w:style>
  <w:style w:type="paragraph" w:customStyle="1" w:styleId="3534">
    <w:name w:val="样式 首行缩进:  0.99 厘米 行距: 1.5 倍行距2"/>
    <w:basedOn w:val="1"/>
    <w:autoRedefine/>
    <w:qFormat/>
    <w:uiPriority w:val="99"/>
    <w:pPr>
      <w:adjustRightInd w:val="0"/>
      <w:snapToGrid w:val="0"/>
      <w:jc w:val="center"/>
    </w:pPr>
    <w:rPr>
      <w:rFonts w:ascii="宋体" w:hAnsi="宋体"/>
      <w:color w:val="FF0000"/>
      <w:szCs w:val="21"/>
    </w:rPr>
  </w:style>
  <w:style w:type="paragraph" w:customStyle="1" w:styleId="3535">
    <w:name w:val="论文正文"/>
    <w:basedOn w:val="9"/>
    <w:autoRedefine/>
    <w:qFormat/>
    <w:uiPriority w:val="99"/>
    <w:pPr>
      <w:ind w:firstLine="480"/>
    </w:pPr>
    <w:rPr>
      <w:rFonts w:ascii="宋体" w:hAnsi="宋体"/>
      <w:kern w:val="0"/>
      <w:sz w:val="28"/>
      <w:lang w:val="en-US"/>
    </w:rPr>
  </w:style>
  <w:style w:type="paragraph" w:customStyle="1" w:styleId="3536">
    <w:name w:val="黑体三号42"/>
    <w:basedOn w:val="416"/>
    <w:autoRedefine/>
    <w:qFormat/>
    <w:uiPriority w:val="0"/>
    <w:pPr>
      <w:jc w:val="center"/>
    </w:pPr>
    <w:rPr>
      <w:rFonts w:ascii="黑体" w:hAnsi="宋体" w:eastAsia="黑体" w:cs="宋体"/>
      <w:bCs/>
      <w:spacing w:val="0"/>
      <w:sz w:val="32"/>
    </w:rPr>
  </w:style>
  <w:style w:type="paragraph" w:customStyle="1" w:styleId="3537">
    <w:name w:val="样式 标题 1 + 两端对齐"/>
    <w:basedOn w:val="3"/>
    <w:autoRedefine/>
    <w:qFormat/>
    <w:uiPriority w:val="0"/>
    <w:pPr>
      <w:keepNext w:val="0"/>
      <w:pageBreakBefore/>
      <w:widowControl/>
      <w:tabs>
        <w:tab w:val="left" w:pos="420"/>
      </w:tabs>
      <w:overflowPunct/>
      <w:adjustRightInd w:val="0"/>
      <w:spacing w:before="0" w:after="0" w:line="300" w:lineRule="auto"/>
      <w:ind w:left="0" w:firstLine="0"/>
      <w:jc w:val="center"/>
    </w:pPr>
    <w:rPr>
      <w:rFonts w:ascii="仿宋_GB2312" w:eastAsia="仿宋_GB2312" w:cs="宋体"/>
      <w:b w:val="0"/>
      <w:bCs w:val="0"/>
      <w:snapToGrid w:val="0"/>
      <w:color w:val="auto"/>
      <w:kern w:val="0"/>
      <w:sz w:val="32"/>
      <w:szCs w:val="32"/>
    </w:rPr>
  </w:style>
  <w:style w:type="paragraph" w:customStyle="1" w:styleId="3538">
    <w:name w:val="文本框4"/>
    <w:basedOn w:val="1"/>
    <w:autoRedefine/>
    <w:qFormat/>
    <w:uiPriority w:val="0"/>
    <w:pPr>
      <w:adjustRightInd w:val="0"/>
      <w:snapToGrid w:val="0"/>
      <w:spacing w:after="6"/>
      <w:jc w:val="center"/>
    </w:pPr>
    <w:rPr>
      <w:rFonts w:eastAsia="仿宋_GB2312"/>
    </w:rPr>
  </w:style>
  <w:style w:type="paragraph" w:customStyle="1" w:styleId="3539">
    <w:name w:val="图表名称"/>
    <w:basedOn w:val="1"/>
    <w:autoRedefine/>
    <w:qFormat/>
    <w:uiPriority w:val="0"/>
    <w:pPr>
      <w:autoSpaceDE w:val="0"/>
      <w:autoSpaceDN w:val="0"/>
      <w:adjustRightInd w:val="0"/>
      <w:snapToGrid w:val="0"/>
      <w:spacing w:beforeLines="50" w:afterLines="50" w:line="360" w:lineRule="auto"/>
      <w:ind w:firstLine="2933" w:firstLineChars="1490"/>
      <w:jc w:val="left"/>
      <w:textAlignment w:val="baseline"/>
    </w:pPr>
    <w:rPr>
      <w:rFonts w:ascii="宋体" w:hAnsi="宋体"/>
      <w:b/>
      <w:bCs/>
      <w:kern w:val="0"/>
      <w:szCs w:val="20"/>
    </w:rPr>
  </w:style>
  <w:style w:type="paragraph" w:customStyle="1" w:styleId="3540">
    <w:name w:val="段落1"/>
    <w:basedOn w:val="1"/>
    <w:autoRedefine/>
    <w:qFormat/>
    <w:uiPriority w:val="99"/>
    <w:pPr>
      <w:adjustRightInd w:val="0"/>
      <w:spacing w:line="500" w:lineRule="exact"/>
      <w:ind w:firstLine="592" w:firstLineChars="200"/>
      <w:textAlignment w:val="baseline"/>
    </w:pPr>
    <w:rPr>
      <w:spacing w:val="8"/>
      <w:sz w:val="28"/>
      <w:szCs w:val="20"/>
    </w:rPr>
  </w:style>
  <w:style w:type="paragraph" w:customStyle="1" w:styleId="3541">
    <w:name w:val="表文字5312"/>
    <w:basedOn w:val="1"/>
    <w:autoRedefine/>
    <w:qFormat/>
    <w:uiPriority w:val="0"/>
    <w:pPr>
      <w:adjustRightInd w:val="0"/>
      <w:jc w:val="left"/>
      <w:textAlignment w:val="baseline"/>
    </w:pPr>
    <w:rPr>
      <w:rFonts w:ascii="宋体"/>
      <w:kern w:val="0"/>
      <w:szCs w:val="20"/>
    </w:rPr>
  </w:style>
  <w:style w:type="paragraph" w:customStyle="1" w:styleId="3542">
    <w:name w:val="样式 表格内字体1 +2"/>
    <w:basedOn w:val="2535"/>
    <w:next w:val="415"/>
    <w:autoRedefine/>
    <w:qFormat/>
    <w:uiPriority w:val="0"/>
    <w:rPr>
      <w:rFonts w:hAnsi="Times New Roman" w:cs="宋体"/>
      <w:szCs w:val="20"/>
    </w:rPr>
  </w:style>
  <w:style w:type="paragraph" w:customStyle="1" w:styleId="3543">
    <w:name w:val="layer1"/>
    <w:basedOn w:val="1"/>
    <w:next w:val="9"/>
    <w:autoRedefine/>
    <w:qFormat/>
    <w:uiPriority w:val="99"/>
    <w:pPr>
      <w:tabs>
        <w:tab w:val="left" w:pos="425"/>
      </w:tabs>
      <w:spacing w:before="240" w:after="240" w:line="300" w:lineRule="auto"/>
      <w:ind w:left="425" w:hanging="425"/>
    </w:pPr>
    <w:rPr>
      <w:rFonts w:eastAsia="黑体"/>
      <w:b/>
      <w:sz w:val="44"/>
      <w:szCs w:val="20"/>
    </w:rPr>
  </w:style>
  <w:style w:type="paragraph" w:customStyle="1" w:styleId="3544">
    <w:name w:val="样式 标题 1H1一、ChChapter HeadingIBM Section Head-*+章标题 11.标题..."/>
    <w:basedOn w:val="3"/>
    <w:autoRedefine/>
    <w:qFormat/>
    <w:uiPriority w:val="99"/>
    <w:pPr>
      <w:overflowPunct/>
      <w:snapToGrid/>
      <w:spacing w:beforeLines="50" w:after="0" w:line="360" w:lineRule="auto"/>
      <w:ind w:left="0" w:firstLine="0"/>
      <w:jc w:val="center"/>
    </w:pPr>
    <w:rPr>
      <w:rFonts w:eastAsia="宋体"/>
      <w:color w:val="auto"/>
      <w:kern w:val="0"/>
      <w:sz w:val="32"/>
      <w:szCs w:val="21"/>
    </w:rPr>
  </w:style>
  <w:style w:type="paragraph" w:customStyle="1" w:styleId="3545">
    <w:name w:val="9 Char Char Char2"/>
    <w:basedOn w:val="1"/>
    <w:autoRedefine/>
    <w:qFormat/>
    <w:uiPriority w:val="0"/>
    <w:pPr>
      <w:spacing w:line="240" w:lineRule="exact"/>
      <w:ind w:firstLine="200" w:firstLineChars="200"/>
    </w:pPr>
    <w:rPr>
      <w:sz w:val="28"/>
      <w:szCs w:val="28"/>
    </w:rPr>
  </w:style>
  <w:style w:type="paragraph" w:customStyle="1" w:styleId="3546">
    <w:name w:val="样式 正文缩进 + 宋体 黑色 首行缩进:  2 字符2"/>
    <w:basedOn w:val="9"/>
    <w:autoRedefine/>
    <w:qFormat/>
    <w:uiPriority w:val="0"/>
    <w:pPr>
      <w:spacing w:line="360" w:lineRule="auto"/>
      <w:ind w:firstLine="480"/>
      <w:jc w:val="left"/>
    </w:pPr>
    <w:rPr>
      <w:rFonts w:ascii="宋体" w:hAnsi="宋体" w:cs="宋体"/>
      <w:color w:val="FF00FF"/>
      <w:kern w:val="0"/>
      <w:sz w:val="24"/>
      <w:szCs w:val="20"/>
      <w:lang w:val="en-US"/>
    </w:rPr>
  </w:style>
  <w:style w:type="paragraph" w:customStyle="1" w:styleId="3547">
    <w:name w:val="9 Char Char Char3"/>
    <w:basedOn w:val="1"/>
    <w:autoRedefine/>
    <w:qFormat/>
    <w:uiPriority w:val="0"/>
    <w:pPr>
      <w:spacing w:line="240" w:lineRule="exact"/>
      <w:ind w:firstLine="200" w:firstLineChars="200"/>
    </w:pPr>
    <w:rPr>
      <w:sz w:val="28"/>
      <w:szCs w:val="28"/>
    </w:rPr>
  </w:style>
  <w:style w:type="paragraph" w:customStyle="1" w:styleId="3548">
    <w:name w:val="样式14"/>
    <w:basedOn w:val="1939"/>
    <w:autoRedefine/>
    <w:qFormat/>
    <w:uiPriority w:val="0"/>
    <w:pPr>
      <w:adjustRightInd w:val="0"/>
      <w:spacing w:line="240" w:lineRule="auto"/>
      <w:textAlignment w:val="baseline"/>
    </w:pPr>
    <w:rPr>
      <w:rFonts w:ascii="仿宋_GB2312" w:hAnsi="宋体" w:eastAsia="仿宋_GB2312"/>
      <w:bCs/>
      <w:sz w:val="24"/>
    </w:rPr>
  </w:style>
  <w:style w:type="paragraph" w:customStyle="1" w:styleId="3549">
    <w:name w:val="9 Char Char Char6"/>
    <w:basedOn w:val="1"/>
    <w:autoRedefine/>
    <w:qFormat/>
    <w:uiPriority w:val="0"/>
    <w:pPr>
      <w:spacing w:line="240" w:lineRule="exact"/>
      <w:ind w:firstLine="200" w:firstLineChars="200"/>
    </w:pPr>
    <w:rPr>
      <w:sz w:val="28"/>
      <w:szCs w:val="28"/>
    </w:rPr>
  </w:style>
  <w:style w:type="paragraph" w:customStyle="1" w:styleId="3550">
    <w:name w:val="p6"/>
    <w:basedOn w:val="1"/>
    <w:autoRedefine/>
    <w:qFormat/>
    <w:uiPriority w:val="0"/>
    <w:pPr>
      <w:tabs>
        <w:tab w:val="left" w:pos="4720"/>
      </w:tabs>
      <w:spacing w:line="240" w:lineRule="atLeast"/>
      <w:ind w:left="3280"/>
      <w:jc w:val="left"/>
    </w:pPr>
    <w:rPr>
      <w:rFonts w:ascii="Arial" w:hAnsi="Arial"/>
      <w:snapToGrid w:val="0"/>
      <w:kern w:val="0"/>
      <w:sz w:val="24"/>
      <w:szCs w:val="20"/>
      <w:lang w:eastAsia="en-US"/>
    </w:rPr>
  </w:style>
  <w:style w:type="paragraph" w:customStyle="1" w:styleId="3551">
    <w:name w:val="附件32"/>
    <w:basedOn w:val="3"/>
    <w:next w:val="416"/>
    <w:autoRedefine/>
    <w:qFormat/>
    <w:uiPriority w:val="0"/>
    <w:pPr>
      <w:keepLines/>
      <w:tabs>
        <w:tab w:val="left" w:pos="1566"/>
      </w:tabs>
      <w:overflowPunct/>
      <w:adjustRightInd w:val="0"/>
      <w:spacing w:before="0" w:after="120" w:line="360" w:lineRule="auto"/>
      <w:ind w:left="0" w:firstLine="0"/>
      <w:jc w:val="left"/>
    </w:pPr>
    <w:rPr>
      <w:rFonts w:ascii="黑体" w:hAnsi="宋体"/>
      <w:b w:val="0"/>
      <w:color w:val="auto"/>
      <w:sz w:val="32"/>
      <w:szCs w:val="32"/>
    </w:rPr>
  </w:style>
  <w:style w:type="paragraph" w:customStyle="1" w:styleId="3552">
    <w:name w:val="表内式样"/>
    <w:autoRedefine/>
    <w:qFormat/>
    <w:uiPriority w:val="0"/>
    <w:pPr>
      <w:widowControl w:val="0"/>
      <w:spacing w:line="0" w:lineRule="atLeast"/>
      <w:jc w:val="center"/>
    </w:pPr>
    <w:rPr>
      <w:rFonts w:ascii="Times New Roman" w:hAnsi="Times New Roman" w:eastAsia="宋体" w:cs="Times New Roman"/>
      <w:kern w:val="2"/>
      <w:sz w:val="21"/>
      <w:lang w:val="en-US" w:eastAsia="zh-CN" w:bidi="ar-SA"/>
    </w:rPr>
  </w:style>
  <w:style w:type="paragraph" w:customStyle="1" w:styleId="3553">
    <w:name w:val="表内宋5中22"/>
    <w:basedOn w:val="1"/>
    <w:autoRedefine/>
    <w:qFormat/>
    <w:uiPriority w:val="0"/>
    <w:pPr>
      <w:adjustRightInd w:val="0"/>
      <w:snapToGrid w:val="0"/>
      <w:jc w:val="center"/>
      <w:textAlignment w:val="baseline"/>
    </w:pPr>
    <w:rPr>
      <w:rFonts w:ascii="宋体" w:hAnsi="宋体"/>
      <w:kern w:val="0"/>
      <w:szCs w:val="20"/>
    </w:rPr>
  </w:style>
  <w:style w:type="paragraph" w:customStyle="1" w:styleId="3554">
    <w:name w:val="正文格式＝512"/>
    <w:basedOn w:val="416"/>
    <w:next w:val="416"/>
    <w:autoRedefine/>
    <w:qFormat/>
    <w:uiPriority w:val="0"/>
    <w:rPr>
      <w:rFonts w:ascii="宋体" w:hAnsi="宋体"/>
      <w:b w:val="0"/>
      <w:spacing w:val="0"/>
      <w:sz w:val="24"/>
      <w:szCs w:val="24"/>
    </w:rPr>
  </w:style>
  <w:style w:type="paragraph" w:customStyle="1" w:styleId="3555">
    <w:name w:val="文本正文"/>
    <w:basedOn w:val="1"/>
    <w:autoRedefine/>
    <w:qFormat/>
    <w:uiPriority w:val="99"/>
    <w:pPr>
      <w:snapToGrid w:val="0"/>
      <w:spacing w:line="360" w:lineRule="auto"/>
      <w:ind w:firstLine="510"/>
      <w:jc w:val="left"/>
    </w:pPr>
    <w:rPr>
      <w:rFonts w:ascii="宋体"/>
      <w:spacing w:val="4"/>
      <w:kern w:val="24"/>
      <w:sz w:val="24"/>
      <w:lang w:val="zh-CN"/>
    </w:rPr>
  </w:style>
  <w:style w:type="paragraph" w:customStyle="1" w:styleId="3556">
    <w:name w:val="00000000000000"/>
    <w:basedOn w:val="4"/>
    <w:autoRedefine/>
    <w:qFormat/>
    <w:uiPriority w:val="99"/>
    <w:pPr>
      <w:keepNext w:val="0"/>
      <w:keepLines w:val="0"/>
      <w:adjustRightInd w:val="0"/>
      <w:snapToGrid w:val="0"/>
      <w:spacing w:before="0" w:after="0" w:line="360" w:lineRule="auto"/>
      <w:ind w:firstLine="480" w:firstLineChars="200"/>
      <w:outlineLvl w:val="9"/>
    </w:pPr>
    <w:rPr>
      <w:rFonts w:ascii="宋体" w:hAnsi="宋体"/>
      <w:b w:val="0"/>
      <w:kern w:val="18"/>
      <w:sz w:val="24"/>
      <w:szCs w:val="21"/>
    </w:rPr>
  </w:style>
  <w:style w:type="paragraph" w:customStyle="1" w:styleId="3557">
    <w:name w:val="表内文字小2141"/>
    <w:basedOn w:val="1"/>
    <w:autoRedefine/>
    <w:qFormat/>
    <w:uiPriority w:val="0"/>
    <w:pPr>
      <w:adjustRightInd w:val="0"/>
      <w:snapToGrid w:val="0"/>
      <w:jc w:val="center"/>
    </w:pPr>
    <w:rPr>
      <w:rFonts w:ascii="宋体" w:hAnsi="Times"/>
      <w:bCs/>
      <w:color w:val="000000"/>
      <w:szCs w:val="20"/>
    </w:rPr>
  </w:style>
  <w:style w:type="paragraph" w:customStyle="1" w:styleId="3558">
    <w:name w:val="附件4"/>
    <w:basedOn w:val="3"/>
    <w:next w:val="416"/>
    <w:autoRedefine/>
    <w:qFormat/>
    <w:uiPriority w:val="0"/>
    <w:pPr>
      <w:keepLines/>
      <w:tabs>
        <w:tab w:val="left" w:pos="1566"/>
      </w:tabs>
      <w:overflowPunct/>
      <w:snapToGrid/>
      <w:spacing w:before="0" w:after="210" w:line="360" w:lineRule="auto"/>
      <w:ind w:left="0" w:firstLine="0"/>
      <w:jc w:val="left"/>
    </w:pPr>
    <w:rPr>
      <w:rFonts w:ascii="黑体" w:hAnsi="宋体"/>
      <w:color w:val="auto"/>
      <w:sz w:val="32"/>
      <w:szCs w:val="32"/>
    </w:rPr>
  </w:style>
  <w:style w:type="paragraph" w:customStyle="1" w:styleId="3559">
    <w:name w:val="表内文字小21111"/>
    <w:basedOn w:val="1"/>
    <w:autoRedefine/>
    <w:qFormat/>
    <w:uiPriority w:val="0"/>
    <w:pPr>
      <w:adjustRightInd w:val="0"/>
      <w:snapToGrid w:val="0"/>
      <w:jc w:val="center"/>
    </w:pPr>
    <w:rPr>
      <w:rFonts w:ascii="宋体" w:hAnsi="Times"/>
      <w:bCs/>
      <w:color w:val="000000"/>
      <w:szCs w:val="20"/>
    </w:rPr>
  </w:style>
  <w:style w:type="paragraph" w:customStyle="1" w:styleId="3560">
    <w:name w:val="正文格式13"/>
    <w:basedOn w:val="1"/>
    <w:autoRedefine/>
    <w:qFormat/>
    <w:uiPriority w:val="0"/>
    <w:pPr>
      <w:spacing w:line="360" w:lineRule="auto"/>
      <w:ind w:firstLine="482"/>
    </w:pPr>
    <w:rPr>
      <w:rFonts w:ascii="宋体" w:hAnsi="宋体"/>
      <w:sz w:val="24"/>
    </w:rPr>
  </w:style>
  <w:style w:type="paragraph" w:customStyle="1" w:styleId="3561">
    <w:name w:val="小四宋左齐1.5"/>
    <w:basedOn w:val="1"/>
    <w:autoRedefine/>
    <w:qFormat/>
    <w:uiPriority w:val="0"/>
    <w:pPr>
      <w:spacing w:line="360" w:lineRule="auto"/>
      <w:jc w:val="center"/>
    </w:pPr>
    <w:rPr>
      <w:rFonts w:ascii="宋体"/>
      <w:sz w:val="18"/>
      <w:szCs w:val="20"/>
    </w:rPr>
  </w:style>
  <w:style w:type="paragraph" w:customStyle="1" w:styleId="3562">
    <w:name w:val="正文修改23"/>
    <w:basedOn w:val="192"/>
    <w:autoRedefine/>
    <w:qFormat/>
    <w:uiPriority w:val="0"/>
    <w:rPr>
      <w:rFonts w:hAnsi="宋体"/>
      <w:color w:val="000000"/>
    </w:rPr>
  </w:style>
  <w:style w:type="paragraph" w:customStyle="1" w:styleId="3563">
    <w:name w:val="表内文字小31311"/>
    <w:basedOn w:val="1"/>
    <w:autoRedefine/>
    <w:qFormat/>
    <w:uiPriority w:val="0"/>
    <w:pPr>
      <w:adjustRightInd w:val="0"/>
      <w:snapToGrid w:val="0"/>
      <w:jc w:val="center"/>
    </w:pPr>
    <w:rPr>
      <w:rFonts w:ascii="宋体" w:hAnsi="Times" w:cs="宋体"/>
      <w:bCs/>
      <w:color w:val="003366"/>
      <w:szCs w:val="20"/>
    </w:rPr>
  </w:style>
  <w:style w:type="paragraph" w:customStyle="1" w:styleId="3564">
    <w:name w:val="表内宋5中4"/>
    <w:basedOn w:val="1"/>
    <w:autoRedefine/>
    <w:qFormat/>
    <w:uiPriority w:val="0"/>
    <w:pPr>
      <w:adjustRightInd w:val="0"/>
      <w:snapToGrid w:val="0"/>
      <w:textAlignment w:val="baseline"/>
    </w:pPr>
    <w:rPr>
      <w:color w:val="000000"/>
      <w:kern w:val="0"/>
      <w:szCs w:val="20"/>
    </w:rPr>
  </w:style>
  <w:style w:type="paragraph" w:customStyle="1" w:styleId="3565">
    <w:name w:val="表题314"/>
    <w:basedOn w:val="35"/>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3566">
    <w:name w:val="样式 表格文字 + 仿宋_GB2312"/>
    <w:basedOn w:val="148"/>
    <w:autoRedefine/>
    <w:qFormat/>
    <w:uiPriority w:val="0"/>
    <w:pPr>
      <w:widowControl w:val="0"/>
      <w:tabs>
        <w:tab w:val="left" w:pos="-66"/>
        <w:tab w:val="left" w:pos="425"/>
        <w:tab w:val="left" w:pos="600"/>
        <w:tab w:val="left" w:pos="2100"/>
      </w:tabs>
      <w:adjustRightInd w:val="0"/>
      <w:spacing w:line="400" w:lineRule="exact"/>
      <w:ind w:firstLine="57"/>
      <w:textAlignment w:val="baseline"/>
    </w:pPr>
    <w:rPr>
      <w:rFonts w:hAnsi="Times New Roman" w:cs="宋体"/>
      <w:kern w:val="0"/>
      <w:sz w:val="21"/>
      <w:lang w:val="en-US"/>
    </w:rPr>
  </w:style>
  <w:style w:type="paragraph" w:customStyle="1" w:styleId="3567">
    <w:name w:val="文本框13"/>
    <w:basedOn w:val="1"/>
    <w:autoRedefine/>
    <w:qFormat/>
    <w:uiPriority w:val="0"/>
    <w:pPr>
      <w:adjustRightInd w:val="0"/>
      <w:snapToGrid w:val="0"/>
      <w:spacing w:after="6"/>
      <w:jc w:val="center"/>
    </w:pPr>
    <w:rPr>
      <w:rFonts w:eastAsia="仿宋_GB2312"/>
    </w:rPr>
  </w:style>
  <w:style w:type="paragraph" w:customStyle="1" w:styleId="3568">
    <w:name w:val="表内宋52"/>
    <w:basedOn w:val="1718"/>
    <w:autoRedefine/>
    <w:qFormat/>
    <w:uiPriority w:val="0"/>
    <w:pPr>
      <w:widowControl/>
      <w:autoSpaceDE w:val="0"/>
      <w:autoSpaceDN w:val="0"/>
      <w:jc w:val="left"/>
      <w:textAlignment w:val="auto"/>
    </w:pPr>
    <w:rPr>
      <w:color w:val="auto"/>
      <w:w w:val="90"/>
    </w:rPr>
  </w:style>
  <w:style w:type="paragraph" w:customStyle="1" w:styleId="3569">
    <w:name w:val="样式 报告书表格 + 仿宋_GB2312"/>
    <w:basedOn w:val="321"/>
    <w:autoRedefine/>
    <w:qFormat/>
    <w:uiPriority w:val="0"/>
    <w:pPr>
      <w:spacing w:line="360" w:lineRule="exact"/>
      <w:ind w:firstLine="480" w:firstLineChars="200"/>
    </w:pPr>
    <w:rPr>
      <w:rFonts w:ascii="仿宋_GB2312" w:hAnsi="宋体" w:cs="宋体"/>
      <w:color w:val="000000"/>
      <w:szCs w:val="21"/>
    </w:rPr>
  </w:style>
  <w:style w:type="paragraph" w:customStyle="1" w:styleId="3570">
    <w:name w:val="正文格式＝33"/>
    <w:basedOn w:val="416"/>
    <w:next w:val="416"/>
    <w:autoRedefine/>
    <w:qFormat/>
    <w:uiPriority w:val="0"/>
    <w:rPr>
      <w:rFonts w:ascii="宋体" w:hAnsi="宋体"/>
      <w:b w:val="0"/>
      <w:spacing w:val="0"/>
      <w:sz w:val="24"/>
      <w:szCs w:val="24"/>
    </w:rPr>
  </w:style>
  <w:style w:type="paragraph" w:customStyle="1" w:styleId="3571">
    <w:name w:val="表格内字体221"/>
    <w:basedOn w:val="416"/>
    <w:next w:val="416"/>
    <w:autoRedefine/>
    <w:qFormat/>
    <w:uiPriority w:val="0"/>
    <w:pPr>
      <w:spacing w:line="240" w:lineRule="auto"/>
      <w:ind w:firstLine="0"/>
      <w:jc w:val="center"/>
    </w:pPr>
    <w:rPr>
      <w:rFonts w:ascii="宋体" w:hAnsi="宋体"/>
      <w:b w:val="0"/>
      <w:spacing w:val="0"/>
      <w:szCs w:val="24"/>
    </w:rPr>
  </w:style>
  <w:style w:type="paragraph" w:customStyle="1" w:styleId="3572">
    <w:name w:val="样式 (西文) 宋体"/>
    <w:basedOn w:val="1"/>
    <w:autoRedefine/>
    <w:qFormat/>
    <w:uiPriority w:val="0"/>
    <w:pPr>
      <w:spacing w:line="500" w:lineRule="exact"/>
      <w:ind w:firstLine="560" w:firstLineChars="200"/>
    </w:pPr>
    <w:rPr>
      <w:rFonts w:eastAsia="仿宋_GB2312" w:cs="宋体"/>
      <w:sz w:val="28"/>
      <w:szCs w:val="20"/>
    </w:rPr>
  </w:style>
  <w:style w:type="paragraph" w:customStyle="1" w:styleId="3573">
    <w:name w:val="表格内字体511"/>
    <w:basedOn w:val="416"/>
    <w:next w:val="416"/>
    <w:autoRedefine/>
    <w:qFormat/>
    <w:uiPriority w:val="0"/>
    <w:pPr>
      <w:adjustRightInd w:val="0"/>
      <w:snapToGrid w:val="0"/>
      <w:spacing w:line="240" w:lineRule="auto"/>
      <w:ind w:firstLine="0"/>
    </w:pPr>
    <w:rPr>
      <w:rFonts w:ascii="宋体" w:hAnsi="宋体"/>
      <w:b w:val="0"/>
      <w:spacing w:val="0"/>
      <w:szCs w:val="24"/>
    </w:rPr>
  </w:style>
  <w:style w:type="paragraph" w:customStyle="1" w:styleId="3574">
    <w:name w:val="Char1311"/>
    <w:basedOn w:val="1"/>
    <w:autoRedefine/>
    <w:qFormat/>
    <w:uiPriority w:val="0"/>
    <w:pPr>
      <w:ind w:left="-48"/>
    </w:pPr>
  </w:style>
  <w:style w:type="paragraph" w:customStyle="1" w:styleId="3575">
    <w:name w:val="样式 标题 1H1Section HeadHeader1h11st levell1Heading 0Fab-1..."/>
    <w:basedOn w:val="3"/>
    <w:autoRedefine/>
    <w:qFormat/>
    <w:uiPriority w:val="0"/>
    <w:pPr>
      <w:keepLines/>
      <w:overflowPunct/>
      <w:snapToGrid/>
      <w:spacing w:before="340" w:after="330" w:line="498" w:lineRule="exact"/>
      <w:ind w:left="0" w:firstLine="0"/>
    </w:pPr>
    <w:rPr>
      <w:rFonts w:ascii="黑体" w:hAnsi="宋体" w:cs="宋体"/>
      <w:color w:val="auto"/>
      <w:sz w:val="32"/>
      <w:szCs w:val="20"/>
    </w:rPr>
  </w:style>
  <w:style w:type="paragraph" w:customStyle="1" w:styleId="3576">
    <w:name w:val="图题111"/>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3577">
    <w:name w:val="表头文字"/>
    <w:basedOn w:val="1"/>
    <w:autoRedefine/>
    <w:qFormat/>
    <w:uiPriority w:val="0"/>
    <w:pPr>
      <w:topLinePunct/>
      <w:spacing w:before="60" w:after="60"/>
      <w:jc w:val="center"/>
    </w:pPr>
    <w:rPr>
      <w:szCs w:val="20"/>
    </w:rPr>
  </w:style>
  <w:style w:type="paragraph" w:customStyle="1" w:styleId="3578">
    <w:name w:val="默认段落字体 Para Char7"/>
    <w:basedOn w:val="1"/>
    <w:autoRedefine/>
    <w:qFormat/>
    <w:uiPriority w:val="0"/>
    <w:pPr>
      <w:spacing w:line="360" w:lineRule="auto"/>
      <w:ind w:firstLine="200" w:firstLineChars="200"/>
    </w:pPr>
    <w:rPr>
      <w:rFonts w:ascii="宋体" w:hAnsi="宋体" w:cs="宋体"/>
      <w:sz w:val="24"/>
    </w:rPr>
  </w:style>
  <w:style w:type="paragraph" w:customStyle="1" w:styleId="3579">
    <w:name w:val="表内文字小314"/>
    <w:basedOn w:val="1"/>
    <w:autoRedefine/>
    <w:qFormat/>
    <w:uiPriority w:val="0"/>
    <w:pPr>
      <w:adjustRightInd w:val="0"/>
      <w:snapToGrid w:val="0"/>
      <w:jc w:val="center"/>
    </w:pPr>
    <w:rPr>
      <w:rFonts w:ascii="宋体" w:hAnsi="Times" w:cs="宋体"/>
      <w:bCs/>
      <w:color w:val="003366"/>
      <w:szCs w:val="20"/>
    </w:rPr>
  </w:style>
  <w:style w:type="paragraph" w:customStyle="1" w:styleId="3580">
    <w:name w:val="样式 正文缩进文本条款表格标题正文（首行缩进两字） Char Char Char Char Char Char Char ..."/>
    <w:basedOn w:val="9"/>
    <w:autoRedefine/>
    <w:qFormat/>
    <w:uiPriority w:val="0"/>
    <w:pPr>
      <w:adjustRightInd w:val="0"/>
      <w:snapToGrid w:val="0"/>
      <w:spacing w:line="460" w:lineRule="exact"/>
      <w:ind w:firstLine="200"/>
    </w:pPr>
    <w:rPr>
      <w:rFonts w:ascii="宋体" w:cs="宋体"/>
      <w:kern w:val="0"/>
      <w:sz w:val="28"/>
      <w:szCs w:val="20"/>
      <w:lang w:val="en-US"/>
    </w:rPr>
  </w:style>
  <w:style w:type="paragraph" w:customStyle="1" w:styleId="3581">
    <w:name w:val="附件23"/>
    <w:basedOn w:val="3"/>
    <w:next w:val="416"/>
    <w:autoRedefine/>
    <w:qFormat/>
    <w:uiPriority w:val="0"/>
    <w:pPr>
      <w:keepLines/>
      <w:tabs>
        <w:tab w:val="left" w:pos="1566"/>
      </w:tabs>
      <w:overflowPunct/>
      <w:adjustRightInd w:val="0"/>
      <w:spacing w:beforeLines="100" w:after="0" w:line="360" w:lineRule="auto"/>
      <w:ind w:left="0" w:firstLine="0"/>
    </w:pPr>
    <w:rPr>
      <w:rFonts w:ascii="黑体" w:hAnsi="宋体"/>
      <w:color w:val="auto"/>
      <w:sz w:val="32"/>
      <w:szCs w:val="32"/>
    </w:rPr>
  </w:style>
  <w:style w:type="paragraph" w:customStyle="1" w:styleId="3582">
    <w:name w:val="正文缩2"/>
    <w:basedOn w:val="1"/>
    <w:autoRedefine/>
    <w:qFormat/>
    <w:uiPriority w:val="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3583">
    <w:name w:val="标题4313"/>
    <w:basedOn w:val="1"/>
    <w:autoRedefine/>
    <w:qFormat/>
    <w:uiPriority w:val="0"/>
    <w:pPr>
      <w:adjustRightInd w:val="0"/>
      <w:snapToGrid w:val="0"/>
      <w:spacing w:line="480" w:lineRule="exact"/>
      <w:jc w:val="center"/>
    </w:pPr>
    <w:rPr>
      <w:rFonts w:ascii="宋体" w:hAnsi="宋体" w:cs="宋体"/>
      <w:sz w:val="24"/>
    </w:rPr>
  </w:style>
  <w:style w:type="paragraph" w:customStyle="1" w:styleId="3584">
    <w:name w:val="样式 样式7 + 左侧:  4 字符"/>
    <w:basedOn w:val="1286"/>
    <w:autoRedefine/>
    <w:qFormat/>
    <w:uiPriority w:val="0"/>
    <w:pPr>
      <w:tabs>
        <w:tab w:val="right" w:leader="dot" w:pos="8296"/>
      </w:tabs>
      <w:adjustRightInd w:val="0"/>
      <w:snapToGrid w:val="0"/>
      <w:spacing w:line="240" w:lineRule="auto"/>
      <w:ind w:left="200" w:leftChars="200" w:firstLine="0" w:firstLineChars="0"/>
      <w:jc w:val="center"/>
    </w:pPr>
    <w:rPr>
      <w:color w:val="auto"/>
      <w:sz w:val="21"/>
      <w:szCs w:val="20"/>
    </w:rPr>
  </w:style>
  <w:style w:type="paragraph" w:customStyle="1" w:styleId="3585">
    <w:name w:val="Char1511"/>
    <w:basedOn w:val="1"/>
    <w:autoRedefine/>
    <w:qFormat/>
    <w:uiPriority w:val="0"/>
    <w:pPr>
      <w:adjustRightInd w:val="0"/>
      <w:snapToGrid w:val="0"/>
      <w:spacing w:beforeLines="50" w:line="360" w:lineRule="auto"/>
    </w:pPr>
    <w:rPr>
      <w:rFonts w:ascii="黑体" w:eastAsia="黑体"/>
      <w:sz w:val="32"/>
      <w:szCs w:val="32"/>
    </w:rPr>
  </w:style>
  <w:style w:type="paragraph" w:customStyle="1" w:styleId="3586">
    <w:name w:val="样式21"/>
    <w:basedOn w:val="1"/>
    <w:autoRedefine/>
    <w:qFormat/>
    <w:uiPriority w:val="0"/>
    <w:pPr>
      <w:adjustRightInd w:val="0"/>
      <w:spacing w:line="360" w:lineRule="auto"/>
      <w:jc w:val="center"/>
      <w:textAlignment w:val="baseline"/>
      <w:outlineLvl w:val="0"/>
    </w:pPr>
    <w:rPr>
      <w:kern w:val="0"/>
      <w:szCs w:val="20"/>
    </w:rPr>
  </w:style>
  <w:style w:type="paragraph" w:customStyle="1" w:styleId="3587">
    <w:name w:val="样式 目录 2 + 左侧:  2 字符"/>
    <w:basedOn w:val="74"/>
    <w:autoRedefine/>
    <w:qFormat/>
    <w:uiPriority w:val="0"/>
    <w:pPr>
      <w:tabs>
        <w:tab w:val="left" w:pos="900"/>
        <w:tab w:val="right" w:leader="dot" w:pos="8296"/>
        <w:tab w:val="right" w:leader="dot" w:pos="9061"/>
      </w:tabs>
      <w:adjustRightInd w:val="0"/>
      <w:snapToGrid w:val="0"/>
      <w:ind w:left="420" w:leftChars="200"/>
      <w:jc w:val="center"/>
    </w:pPr>
    <w:rPr>
      <w:rFonts w:ascii="宋体" w:hAnsi="宋体" w:cs="宋体"/>
      <w:smallCaps w:val="0"/>
      <w:sz w:val="21"/>
      <w:szCs w:val="21"/>
    </w:rPr>
  </w:style>
  <w:style w:type="paragraph" w:customStyle="1" w:styleId="3588">
    <w:name w:val="表内文字小4"/>
    <w:basedOn w:val="1"/>
    <w:autoRedefine/>
    <w:qFormat/>
    <w:uiPriority w:val="0"/>
    <w:pPr>
      <w:adjustRightInd w:val="0"/>
      <w:snapToGrid w:val="0"/>
      <w:jc w:val="center"/>
    </w:pPr>
    <w:rPr>
      <w:rFonts w:ascii="宋体" w:hAnsi="Times"/>
      <w:szCs w:val="20"/>
    </w:rPr>
  </w:style>
  <w:style w:type="paragraph" w:customStyle="1" w:styleId="3589">
    <w:name w:val="表头四号 + 段前: 0.5 行 + 段前: 0.5 行"/>
    <w:basedOn w:val="1"/>
    <w:autoRedefine/>
    <w:qFormat/>
    <w:uiPriority w:val="0"/>
    <w:pPr>
      <w:adjustRightInd w:val="0"/>
      <w:snapToGrid w:val="0"/>
      <w:spacing w:beforeLines="25" w:line="500" w:lineRule="atLeast"/>
    </w:pPr>
    <w:rPr>
      <w:rFonts w:ascii="宋体" w:hAnsi="宋体" w:cs="宋体"/>
      <w:b/>
      <w:bCs/>
      <w:sz w:val="28"/>
      <w:szCs w:val="20"/>
    </w:rPr>
  </w:style>
  <w:style w:type="paragraph" w:customStyle="1" w:styleId="3590">
    <w:name w:val="Char611"/>
    <w:basedOn w:val="1"/>
    <w:autoRedefine/>
    <w:qFormat/>
    <w:uiPriority w:val="0"/>
    <w:pPr>
      <w:adjustRightInd w:val="0"/>
      <w:snapToGrid w:val="0"/>
      <w:spacing w:beforeLines="50" w:line="360" w:lineRule="auto"/>
    </w:pPr>
    <w:rPr>
      <w:rFonts w:ascii="黑体" w:eastAsia="黑体"/>
      <w:sz w:val="32"/>
      <w:szCs w:val="32"/>
    </w:rPr>
  </w:style>
  <w:style w:type="paragraph" w:customStyle="1" w:styleId="3591">
    <w:name w:val="默认段落字体 Para Char Char Char Char111"/>
    <w:basedOn w:val="1"/>
    <w:autoRedefine/>
    <w:qFormat/>
    <w:uiPriority w:val="0"/>
  </w:style>
  <w:style w:type="paragraph" w:customStyle="1" w:styleId="3592">
    <w:name w:val="样式 标题 3 + 黑体 小四 左侧:  0.86 厘米 首行缩进:  0 厘米"/>
    <w:basedOn w:val="5"/>
    <w:autoRedefine/>
    <w:qFormat/>
    <w:uiPriority w:val="0"/>
    <w:pPr>
      <w:keepLines w:val="0"/>
      <w:spacing w:before="0" w:after="0" w:line="360" w:lineRule="auto"/>
      <w:jc w:val="left"/>
    </w:pPr>
    <w:rPr>
      <w:rFonts w:ascii="黑体" w:eastAsia="黑体"/>
      <w:b w:val="0"/>
      <w:color w:val="000000"/>
      <w:kern w:val="0"/>
      <w:sz w:val="24"/>
      <w:szCs w:val="24"/>
      <w:lang w:val="en-GB"/>
    </w:rPr>
  </w:style>
  <w:style w:type="paragraph" w:customStyle="1" w:styleId="3593">
    <w:name w:val="图题43"/>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3594">
    <w:name w:val="附件111"/>
    <w:basedOn w:val="3"/>
    <w:next w:val="416"/>
    <w:autoRedefine/>
    <w:qFormat/>
    <w:uiPriority w:val="0"/>
    <w:pPr>
      <w:keepLines/>
      <w:tabs>
        <w:tab w:val="left" w:pos="1566"/>
      </w:tabs>
      <w:overflowPunct/>
      <w:snapToGrid/>
      <w:spacing w:before="0" w:after="210" w:line="360" w:lineRule="auto"/>
      <w:ind w:left="0" w:firstLine="0"/>
      <w:jc w:val="left"/>
    </w:pPr>
    <w:rPr>
      <w:rFonts w:ascii="黑体" w:hAnsi="宋体"/>
      <w:b w:val="0"/>
      <w:color w:val="auto"/>
      <w:sz w:val="32"/>
      <w:szCs w:val="32"/>
    </w:rPr>
  </w:style>
  <w:style w:type="paragraph" w:customStyle="1" w:styleId="3595">
    <w:name w:val="正文.2"/>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596">
    <w:name w:val="Char Char Char1 Char Char Char1 Char"/>
    <w:basedOn w:val="1"/>
    <w:autoRedefine/>
    <w:qFormat/>
    <w:uiPriority w:val="0"/>
    <w:pPr>
      <w:spacing w:line="240" w:lineRule="exact"/>
      <w:ind w:firstLine="200" w:firstLineChars="200"/>
    </w:pPr>
    <w:rPr>
      <w:sz w:val="28"/>
      <w:szCs w:val="28"/>
    </w:rPr>
  </w:style>
  <w:style w:type="paragraph" w:customStyle="1" w:styleId="3597">
    <w:name w:val="默认段落字体 Para Char Char Char Char311"/>
    <w:basedOn w:val="1"/>
    <w:autoRedefine/>
    <w:qFormat/>
    <w:uiPriority w:val="0"/>
  </w:style>
  <w:style w:type="paragraph" w:customStyle="1" w:styleId="3598">
    <w:name w:val="表中文字7"/>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599">
    <w:name w:val="字元 字元 字元"/>
    <w:basedOn w:val="1"/>
    <w:autoRedefine/>
    <w:qFormat/>
    <w:uiPriority w:val="0"/>
    <w:rPr>
      <w:szCs w:val="21"/>
    </w:rPr>
  </w:style>
  <w:style w:type="paragraph" w:customStyle="1" w:styleId="3600">
    <w:name w:val="Char53"/>
    <w:basedOn w:val="1"/>
    <w:autoRedefine/>
    <w:qFormat/>
    <w:uiPriority w:val="0"/>
    <w:pPr>
      <w:adjustRightInd w:val="0"/>
      <w:snapToGrid w:val="0"/>
      <w:ind w:left="-45"/>
    </w:pPr>
  </w:style>
  <w:style w:type="paragraph" w:customStyle="1" w:styleId="3601">
    <w:name w:val="样式24"/>
    <w:basedOn w:val="1"/>
    <w:autoRedefine/>
    <w:qFormat/>
    <w:uiPriority w:val="0"/>
    <w:pPr>
      <w:adjustRightInd w:val="0"/>
      <w:spacing w:line="360" w:lineRule="auto"/>
      <w:jc w:val="center"/>
      <w:textAlignment w:val="baseline"/>
      <w:outlineLvl w:val="0"/>
    </w:pPr>
    <w:rPr>
      <w:kern w:val="0"/>
      <w:szCs w:val="20"/>
    </w:rPr>
  </w:style>
  <w:style w:type="paragraph" w:customStyle="1" w:styleId="3602">
    <w:name w:val="标题41111"/>
    <w:basedOn w:val="1"/>
    <w:autoRedefine/>
    <w:qFormat/>
    <w:uiPriority w:val="0"/>
    <w:pPr>
      <w:adjustRightInd w:val="0"/>
      <w:snapToGrid w:val="0"/>
      <w:spacing w:line="300" w:lineRule="auto"/>
      <w:jc w:val="left"/>
    </w:pPr>
    <w:rPr>
      <w:rFonts w:ascii="黑体" w:hAnsi="宋体" w:eastAsia="黑体" w:cs="宋体"/>
      <w:bCs/>
      <w:sz w:val="24"/>
      <w:szCs w:val="20"/>
    </w:rPr>
  </w:style>
  <w:style w:type="paragraph" w:customStyle="1" w:styleId="3603">
    <w:name w:val="表内文字小231"/>
    <w:basedOn w:val="1"/>
    <w:autoRedefine/>
    <w:qFormat/>
    <w:uiPriority w:val="0"/>
    <w:pPr>
      <w:adjustRightInd w:val="0"/>
      <w:snapToGrid w:val="0"/>
      <w:jc w:val="center"/>
    </w:pPr>
    <w:rPr>
      <w:rFonts w:ascii="宋体" w:hAnsi="Times"/>
      <w:bCs/>
      <w:color w:val="000000"/>
      <w:szCs w:val="20"/>
    </w:rPr>
  </w:style>
  <w:style w:type="paragraph" w:customStyle="1" w:styleId="3604">
    <w:name w:val="Char Char2 Char Char Char Char21"/>
    <w:basedOn w:val="1"/>
    <w:autoRedefine/>
    <w:qFormat/>
    <w:uiPriority w:val="0"/>
  </w:style>
  <w:style w:type="paragraph" w:customStyle="1" w:styleId="3605">
    <w:name w:val="Char811"/>
    <w:basedOn w:val="1"/>
    <w:autoRedefine/>
    <w:qFormat/>
    <w:uiPriority w:val="0"/>
    <w:pPr>
      <w:ind w:left="-48"/>
    </w:pPr>
  </w:style>
  <w:style w:type="paragraph" w:customStyle="1" w:styleId="3606">
    <w:name w:val="23-47表名3"/>
    <w:basedOn w:val="1"/>
    <w:autoRedefine/>
    <w:qFormat/>
    <w:uiPriority w:val="0"/>
    <w:pPr>
      <w:spacing w:afterLines="50" w:line="440" w:lineRule="exact"/>
      <w:jc w:val="center"/>
    </w:pPr>
    <w:rPr>
      <w:rFonts w:ascii="宋体" w:hAnsi="宋体"/>
      <w:b/>
      <w:sz w:val="24"/>
    </w:rPr>
  </w:style>
  <w:style w:type="paragraph" w:customStyle="1" w:styleId="3607">
    <w:name w:val="表题31311"/>
    <w:basedOn w:val="35"/>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3608">
    <w:name w:val="表格内字体611"/>
    <w:basedOn w:val="416"/>
    <w:next w:val="416"/>
    <w:autoRedefine/>
    <w:qFormat/>
    <w:uiPriority w:val="0"/>
    <w:pPr>
      <w:spacing w:line="240" w:lineRule="auto"/>
      <w:ind w:firstLine="0"/>
      <w:jc w:val="center"/>
    </w:pPr>
    <w:rPr>
      <w:rFonts w:ascii="宋体" w:hAnsi="宋体"/>
      <w:b w:val="0"/>
      <w:spacing w:val="0"/>
      <w:szCs w:val="24"/>
    </w:rPr>
  </w:style>
  <w:style w:type="paragraph" w:customStyle="1" w:styleId="3609">
    <w:name w:val="封面标准名称"/>
    <w:autoRedefine/>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3610">
    <w:name w:val="正文格式＝43"/>
    <w:basedOn w:val="416"/>
    <w:next w:val="416"/>
    <w:autoRedefine/>
    <w:qFormat/>
    <w:uiPriority w:val="0"/>
    <w:rPr>
      <w:rFonts w:ascii="宋体" w:hAnsi="宋体"/>
      <w:b w:val="0"/>
      <w:spacing w:val="0"/>
      <w:sz w:val="24"/>
      <w:szCs w:val="24"/>
    </w:rPr>
  </w:style>
  <w:style w:type="paragraph" w:customStyle="1" w:styleId="3611">
    <w:name w:val="封面标准号2"/>
    <w:basedOn w:val="1"/>
    <w:autoRedefine/>
    <w:qFormat/>
    <w:uiPriority w:val="0"/>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kern w:val="0"/>
      <w:sz w:val="28"/>
      <w:szCs w:val="20"/>
    </w:rPr>
  </w:style>
  <w:style w:type="paragraph" w:customStyle="1" w:styleId="3612">
    <w:name w:val="默认段落字体 Para Char Char Char Char411"/>
    <w:basedOn w:val="1"/>
    <w:autoRedefine/>
    <w:qFormat/>
    <w:uiPriority w:val="0"/>
  </w:style>
  <w:style w:type="paragraph" w:customStyle="1" w:styleId="3613">
    <w:name w:val="首行缩进:  0.99 厘米 + 首行缩进:  2 字符1"/>
    <w:basedOn w:val="1"/>
    <w:autoRedefine/>
    <w:qFormat/>
    <w:uiPriority w:val="0"/>
    <w:pPr>
      <w:widowControl/>
      <w:topLinePunct/>
      <w:spacing w:line="480" w:lineRule="exact"/>
      <w:ind w:firstLine="420" w:firstLineChars="200"/>
      <w:jc w:val="center"/>
    </w:pPr>
    <w:rPr>
      <w:rFonts w:ascii="宋体" w:cs="宋体"/>
      <w:snapToGrid w:val="0"/>
      <w:color w:val="FF0000"/>
      <w:kern w:val="0"/>
      <w:szCs w:val="21"/>
    </w:rPr>
  </w:style>
  <w:style w:type="paragraph" w:customStyle="1" w:styleId="3614">
    <w:name w:val="样式 标题 3标题 3 Char Char + (西文) Times New Roman (中文) 仿宋_GB2312 加..."/>
    <w:basedOn w:val="5"/>
    <w:autoRedefine/>
    <w:qFormat/>
    <w:uiPriority w:val="0"/>
    <w:pPr>
      <w:spacing w:before="120" w:after="120" w:line="498" w:lineRule="exact"/>
    </w:pPr>
    <w:rPr>
      <w:rFonts w:cs="宋体"/>
      <w:kern w:val="0"/>
      <w:sz w:val="28"/>
      <w:szCs w:val="20"/>
      <w:lang w:val="en-US"/>
    </w:rPr>
  </w:style>
  <w:style w:type="paragraph" w:customStyle="1" w:styleId="3615">
    <w:name w:val="表文字533"/>
    <w:basedOn w:val="1"/>
    <w:autoRedefine/>
    <w:qFormat/>
    <w:uiPriority w:val="0"/>
    <w:pPr>
      <w:adjustRightInd w:val="0"/>
      <w:jc w:val="left"/>
      <w:textAlignment w:val="baseline"/>
    </w:pPr>
    <w:rPr>
      <w:rFonts w:ascii="宋体"/>
      <w:kern w:val="0"/>
      <w:szCs w:val="20"/>
    </w:rPr>
  </w:style>
  <w:style w:type="paragraph" w:customStyle="1" w:styleId="3616">
    <w:name w:val="样式 标题 2H2（一）Underrubrik1prop2Heading 2 HiddenHeading 2 CCB..."/>
    <w:basedOn w:val="4"/>
    <w:autoRedefine/>
    <w:qFormat/>
    <w:uiPriority w:val="0"/>
    <w:pPr>
      <w:spacing w:before="200" w:after="200" w:line="498" w:lineRule="exact"/>
    </w:pPr>
    <w:rPr>
      <w:rFonts w:ascii="Times New Roman" w:hAnsi="Times New Roman" w:cs="宋体"/>
      <w:sz w:val="28"/>
      <w:szCs w:val="28"/>
    </w:rPr>
  </w:style>
  <w:style w:type="paragraph" w:customStyle="1" w:styleId="3617">
    <w:name w:val="表内宋5中1111"/>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3618">
    <w:name w:val="样式22"/>
    <w:basedOn w:val="1"/>
    <w:autoRedefine/>
    <w:qFormat/>
    <w:uiPriority w:val="0"/>
    <w:pPr>
      <w:adjustRightInd w:val="0"/>
      <w:spacing w:line="360" w:lineRule="auto"/>
      <w:jc w:val="center"/>
      <w:textAlignment w:val="baseline"/>
      <w:outlineLvl w:val="0"/>
    </w:pPr>
    <w:rPr>
      <w:kern w:val="0"/>
      <w:szCs w:val="20"/>
    </w:rPr>
  </w:style>
  <w:style w:type="paragraph" w:customStyle="1" w:styleId="3619">
    <w:name w:val="Default11"/>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620">
    <w:name w:val="CM32"/>
    <w:basedOn w:val="107"/>
    <w:next w:val="107"/>
    <w:autoRedefine/>
    <w:qFormat/>
    <w:uiPriority w:val="0"/>
    <w:pPr>
      <w:spacing w:after="230" w:line="240" w:lineRule="auto"/>
    </w:pPr>
    <w:rPr>
      <w:rFonts w:ascii="Li Super" w:hAnsi="Times New Roman" w:eastAsia="Li Super" w:cs="Times New Roman"/>
      <w:color w:val="auto"/>
    </w:rPr>
  </w:style>
  <w:style w:type="paragraph" w:customStyle="1" w:styleId="3621">
    <w:name w:val="Char Char Char1 Char Char Char Char Char Char Char Char Char Char Char Char"/>
    <w:basedOn w:val="1"/>
    <w:autoRedefine/>
    <w:qFormat/>
    <w:uiPriority w:val="0"/>
    <w:rPr>
      <w:szCs w:val="21"/>
    </w:rPr>
  </w:style>
  <w:style w:type="paragraph" w:customStyle="1" w:styleId="3622">
    <w:name w:val="Char Char Char Char Char Char Char49"/>
    <w:basedOn w:val="1"/>
    <w:autoRedefine/>
    <w:qFormat/>
    <w:uiPriority w:val="0"/>
    <w:pPr>
      <w:spacing w:line="240" w:lineRule="exact"/>
      <w:ind w:firstLine="200" w:firstLineChars="200"/>
    </w:pPr>
    <w:rPr>
      <w:sz w:val="28"/>
      <w:szCs w:val="28"/>
    </w:rPr>
  </w:style>
  <w:style w:type="paragraph" w:customStyle="1" w:styleId="3623">
    <w:name w:val="默认段落字体 Para Char11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624">
    <w:name w:val="默认段落字体 Para Char Char Char Char Char2"/>
    <w:basedOn w:val="1"/>
    <w:autoRedefine/>
    <w:qFormat/>
    <w:uiPriority w:val="0"/>
  </w:style>
  <w:style w:type="paragraph" w:customStyle="1" w:styleId="3625">
    <w:name w:val="Char6 Char Char Char1 Char Char Char"/>
    <w:basedOn w:val="1"/>
    <w:autoRedefine/>
    <w:qFormat/>
    <w:uiPriority w:val="0"/>
    <w:rPr>
      <w:szCs w:val="21"/>
    </w:rPr>
  </w:style>
  <w:style w:type="paragraph" w:customStyle="1" w:styleId="3626">
    <w:name w:val="样式 宋体 首行缩进:  0.93 厘米 段前: 6 磅 段后: 6 磅 行距: 固定值 18 磅"/>
    <w:basedOn w:val="1"/>
    <w:autoRedefine/>
    <w:qFormat/>
    <w:uiPriority w:val="0"/>
    <w:pPr>
      <w:snapToGrid w:val="0"/>
      <w:spacing w:before="160" w:after="160" w:line="320" w:lineRule="exact"/>
      <w:ind w:firstLine="482"/>
    </w:pPr>
    <w:rPr>
      <w:rFonts w:ascii="宋体" w:hAnsi="宋体" w:cs="宋体"/>
      <w:sz w:val="24"/>
      <w:szCs w:val="20"/>
    </w:rPr>
  </w:style>
  <w:style w:type="paragraph" w:customStyle="1" w:styleId="3627">
    <w:name w:val="数据来源"/>
    <w:basedOn w:val="1"/>
    <w:autoRedefine/>
    <w:qFormat/>
    <w:uiPriority w:val="0"/>
    <w:pPr>
      <w:snapToGrid w:val="0"/>
      <w:spacing w:line="280" w:lineRule="exact"/>
    </w:pPr>
    <w:rPr>
      <w:rFonts w:hAnsi="宋体" w:eastAsia="楷体_GB2312" w:cs="宋体"/>
      <w:szCs w:val="20"/>
    </w:rPr>
  </w:style>
  <w:style w:type="paragraph" w:customStyle="1" w:styleId="3628">
    <w:name w:val="Char110"/>
    <w:basedOn w:val="1"/>
    <w:autoRedefine/>
    <w:qFormat/>
    <w:uiPriority w:val="0"/>
    <w:pPr>
      <w:ind w:left="-48"/>
    </w:pPr>
  </w:style>
  <w:style w:type="paragraph" w:customStyle="1" w:styleId="3629">
    <w:name w:val="表格内字体12"/>
    <w:basedOn w:val="416"/>
    <w:next w:val="416"/>
    <w:autoRedefine/>
    <w:qFormat/>
    <w:uiPriority w:val="0"/>
    <w:pPr>
      <w:spacing w:line="240" w:lineRule="auto"/>
      <w:ind w:firstLine="0"/>
      <w:jc w:val="center"/>
    </w:pPr>
    <w:rPr>
      <w:rFonts w:ascii="宋体" w:hAnsi="宋体"/>
      <w:b w:val="0"/>
      <w:spacing w:val="0"/>
      <w:szCs w:val="24"/>
    </w:rPr>
  </w:style>
  <w:style w:type="paragraph" w:customStyle="1" w:styleId="3630">
    <w:name w:val="样式 样式 宋体 小四 行距: 1.5 倍行距 + 首行缩进:  2 字符 段前: 7.8 磅 段后: 7.8 磅"/>
    <w:basedOn w:val="1"/>
    <w:autoRedefine/>
    <w:qFormat/>
    <w:uiPriority w:val="0"/>
    <w:pPr>
      <w:snapToGrid w:val="0"/>
      <w:spacing w:beforeLines="50" w:afterLines="50" w:line="360" w:lineRule="auto"/>
      <w:ind w:firstLine="200" w:firstLineChars="200"/>
      <w:jc w:val="left"/>
    </w:pPr>
    <w:rPr>
      <w:rFonts w:ascii="宋体" w:hAnsi="宋体"/>
      <w:sz w:val="24"/>
      <w:szCs w:val="20"/>
    </w:rPr>
  </w:style>
  <w:style w:type="paragraph" w:customStyle="1" w:styleId="3631">
    <w:name w:val="表内5911"/>
    <w:basedOn w:val="1"/>
    <w:autoRedefine/>
    <w:qFormat/>
    <w:uiPriority w:val="0"/>
    <w:pPr>
      <w:adjustRightInd w:val="0"/>
      <w:snapToGrid w:val="0"/>
      <w:spacing w:line="300" w:lineRule="auto"/>
      <w:jc w:val="center"/>
    </w:pPr>
    <w:rPr>
      <w:rFonts w:ascii="宋体"/>
      <w:snapToGrid w:val="0"/>
      <w:szCs w:val="21"/>
    </w:rPr>
  </w:style>
  <w:style w:type="paragraph" w:customStyle="1" w:styleId="3632">
    <w:name w:val="样式 样式4 + 首行缩进:  0.75 字符"/>
    <w:basedOn w:val="1"/>
    <w:autoRedefine/>
    <w:qFormat/>
    <w:uiPriority w:val="0"/>
    <w:pPr>
      <w:adjustRightInd w:val="0"/>
      <w:snapToGrid w:val="0"/>
      <w:spacing w:beforeLines="100" w:line="240" w:lineRule="atLeast"/>
      <w:jc w:val="left"/>
    </w:pPr>
    <w:rPr>
      <w:sz w:val="24"/>
    </w:rPr>
  </w:style>
  <w:style w:type="paragraph" w:customStyle="1" w:styleId="3633">
    <w:name w:val="样式 样式 样式 标题 3条标题1.1.1Section标题 3 Char Char + 首行缩进:  2 字符 + 段前: 0..."/>
    <w:basedOn w:val="1"/>
    <w:autoRedefine/>
    <w:qFormat/>
    <w:uiPriority w:val="0"/>
    <w:pPr>
      <w:keepNext/>
      <w:keepLines/>
      <w:snapToGrid w:val="0"/>
      <w:spacing w:beforeLines="30" w:afterLines="20"/>
      <w:jc w:val="left"/>
      <w:outlineLvl w:val="2"/>
    </w:pPr>
    <w:rPr>
      <w:b/>
      <w:bCs/>
      <w:sz w:val="28"/>
      <w:szCs w:val="28"/>
    </w:rPr>
  </w:style>
  <w:style w:type="paragraph" w:customStyle="1" w:styleId="3634">
    <w:name w:val="样式 样式 样式 样式 样式4 + 首行缩进:  0.75 字符 + 首行缩进:  2 字符 + 首行缩进:  2 字符 + 首..."/>
    <w:basedOn w:val="1"/>
    <w:autoRedefine/>
    <w:qFormat/>
    <w:uiPriority w:val="0"/>
    <w:pPr>
      <w:adjustRightInd w:val="0"/>
      <w:snapToGrid w:val="0"/>
      <w:spacing w:line="240" w:lineRule="atLeast"/>
      <w:ind w:firstLine="480" w:firstLineChars="200"/>
      <w:jc w:val="left"/>
    </w:pPr>
    <w:rPr>
      <w:sz w:val="28"/>
      <w:szCs w:val="28"/>
    </w:rPr>
  </w:style>
  <w:style w:type="paragraph" w:customStyle="1" w:styleId="3635">
    <w:name w:val="样式 标题 3 + (西文) Times New Roman (中文) 宋体 行距: 固定值 24 磅1"/>
    <w:basedOn w:val="5"/>
    <w:autoRedefine/>
    <w:qFormat/>
    <w:uiPriority w:val="0"/>
    <w:pPr>
      <w:keepNext w:val="0"/>
      <w:keepLines w:val="0"/>
      <w:tabs>
        <w:tab w:val="left" w:pos="1560"/>
      </w:tabs>
      <w:spacing w:before="0" w:after="0" w:line="500" w:lineRule="exact"/>
      <w:ind w:firstLine="615" w:firstLineChars="200"/>
      <w:outlineLvl w:val="9"/>
    </w:pPr>
    <w:rPr>
      <w:rFonts w:ascii="宋体" w:hAnsi="宋体" w:cs="宋体"/>
      <w:b w:val="0"/>
      <w:kern w:val="0"/>
      <w:sz w:val="28"/>
      <w:szCs w:val="28"/>
      <w:lang w:val="en-US"/>
    </w:rPr>
  </w:style>
  <w:style w:type="paragraph" w:customStyle="1" w:styleId="3636">
    <w:name w:val="Char6 Char Char Char"/>
    <w:basedOn w:val="1"/>
    <w:autoRedefine/>
    <w:qFormat/>
    <w:uiPriority w:val="0"/>
    <w:rPr>
      <w:szCs w:val="21"/>
    </w:rPr>
  </w:style>
  <w:style w:type="paragraph" w:customStyle="1" w:styleId="3637">
    <w:name w:val="Char6"/>
    <w:basedOn w:val="1"/>
    <w:autoRedefine/>
    <w:qFormat/>
    <w:uiPriority w:val="0"/>
    <w:rPr>
      <w:szCs w:val="21"/>
    </w:rPr>
  </w:style>
  <w:style w:type="paragraph" w:customStyle="1" w:styleId="3638">
    <w:name w:val="表头四号"/>
    <w:basedOn w:val="66"/>
    <w:autoRedefine/>
    <w:qFormat/>
    <w:uiPriority w:val="0"/>
    <w:pPr>
      <w:adjustRightInd w:val="0"/>
      <w:snapToGrid w:val="0"/>
      <w:spacing w:beforeLines="50" w:line="500" w:lineRule="atLeast"/>
      <w:ind w:left="0" w:right="0" w:rightChars="0"/>
      <w:jc w:val="both"/>
    </w:pPr>
    <w:rPr>
      <w:rFonts w:ascii="宋体" w:hAnsi="宋体" w:eastAsia="宋体"/>
      <w:b/>
      <w:sz w:val="28"/>
      <w:szCs w:val="20"/>
    </w:rPr>
  </w:style>
  <w:style w:type="paragraph" w:customStyle="1" w:styleId="3639">
    <w:name w:val="样式 标题 2节标题 1.11.1标题2b2标题20000000000000000000000000000000000..."/>
    <w:basedOn w:val="4"/>
    <w:autoRedefine/>
    <w:qFormat/>
    <w:uiPriority w:val="0"/>
    <w:pPr>
      <w:keepNext w:val="0"/>
      <w:keepLines w:val="0"/>
      <w:tabs>
        <w:tab w:val="left" w:pos="283"/>
      </w:tabs>
      <w:adjustRightInd w:val="0"/>
      <w:snapToGrid w:val="0"/>
      <w:spacing w:beforeLines="30" w:afterLines="20" w:line="240" w:lineRule="auto"/>
      <w:ind w:left="1135"/>
    </w:pPr>
    <w:rPr>
      <w:rFonts w:ascii="Times New Roman" w:hAnsi="Times New Roman"/>
      <w:sz w:val="28"/>
      <w:szCs w:val="30"/>
    </w:rPr>
  </w:style>
  <w:style w:type="paragraph" w:customStyle="1" w:styleId="3640">
    <w:name w:val="流程"/>
    <w:basedOn w:val="1"/>
    <w:autoRedefine/>
    <w:qFormat/>
    <w:uiPriority w:val="0"/>
    <w:pPr>
      <w:adjustRightInd w:val="0"/>
      <w:snapToGrid w:val="0"/>
      <w:jc w:val="center"/>
    </w:pPr>
    <w:rPr>
      <w:rFonts w:eastAsia="仿宋_GB2312"/>
      <w:color w:val="000000"/>
    </w:rPr>
  </w:style>
  <w:style w:type="paragraph" w:customStyle="1" w:styleId="3641">
    <w:name w:val="基准标题"/>
    <w:basedOn w:val="34"/>
    <w:next w:val="34"/>
    <w:autoRedefine/>
    <w:qFormat/>
    <w:uiPriority w:val="0"/>
    <w:pPr>
      <w:snapToGrid/>
      <w:spacing w:before="0" w:after="0" w:line="360" w:lineRule="exact"/>
      <w:ind w:right="0"/>
      <w:jc w:val="left"/>
    </w:pPr>
    <w:rPr>
      <w:rFonts w:ascii="宋体" w:hAnsi="Garamond"/>
      <w:sz w:val="20"/>
      <w:lang w:val="en-US"/>
    </w:rPr>
  </w:style>
  <w:style w:type="paragraph" w:customStyle="1" w:styleId="3642">
    <w:name w:val="11 Char Char Char Char Char Char Char Char Char Char"/>
    <w:basedOn w:val="1"/>
    <w:autoRedefine/>
    <w:qFormat/>
    <w:uiPriority w:val="0"/>
    <w:pPr>
      <w:snapToGrid w:val="0"/>
      <w:spacing w:line="360" w:lineRule="auto"/>
      <w:ind w:firstLine="200" w:firstLineChars="200"/>
    </w:pPr>
    <w:rPr>
      <w:rFonts w:eastAsia="仿宋_GB2312"/>
      <w:sz w:val="24"/>
    </w:rPr>
  </w:style>
  <w:style w:type="paragraph" w:customStyle="1" w:styleId="3643">
    <w:name w:val="样式 表格文字 + 居中"/>
    <w:basedOn w:val="148"/>
    <w:autoRedefine/>
    <w:qFormat/>
    <w:uiPriority w:val="0"/>
    <w:pPr>
      <w:widowControl w:val="0"/>
      <w:spacing w:line="400" w:lineRule="exact"/>
    </w:pPr>
    <w:rPr>
      <w:rFonts w:ascii="Times New Roman" w:hAnsi="Times New Roman" w:cs="宋体"/>
      <w:kern w:val="2"/>
      <w:sz w:val="28"/>
      <w:lang w:val="en-US"/>
    </w:rPr>
  </w:style>
  <w:style w:type="paragraph" w:customStyle="1" w:styleId="3644">
    <w:name w:val="样式 报告书表格 + 居中"/>
    <w:basedOn w:val="321"/>
    <w:autoRedefine/>
    <w:qFormat/>
    <w:uiPriority w:val="0"/>
    <w:pPr>
      <w:spacing w:line="360" w:lineRule="exact"/>
      <w:ind w:firstLine="4" w:firstLineChars="2"/>
    </w:pPr>
    <w:rPr>
      <w:rFonts w:hAnsi="宋体" w:eastAsia="仿宋_GB2312" w:cs="宋体"/>
      <w:color w:val="000000"/>
      <w:sz w:val="28"/>
    </w:rPr>
  </w:style>
  <w:style w:type="paragraph" w:customStyle="1" w:styleId="3645">
    <w:name w:val="样式 报告书表格 + 居中1"/>
    <w:basedOn w:val="321"/>
    <w:autoRedefine/>
    <w:qFormat/>
    <w:uiPriority w:val="0"/>
    <w:pPr>
      <w:spacing w:line="360" w:lineRule="exact"/>
      <w:ind w:firstLine="4" w:firstLineChars="2"/>
    </w:pPr>
    <w:rPr>
      <w:rFonts w:hAnsi="宋体" w:eastAsia="仿宋_GB2312" w:cs="宋体"/>
      <w:color w:val="000000"/>
      <w:sz w:val="28"/>
    </w:rPr>
  </w:style>
  <w:style w:type="paragraph" w:customStyle="1" w:styleId="3646">
    <w:name w:val="样式 表格内字体1 +1"/>
    <w:basedOn w:val="2535"/>
    <w:next w:val="415"/>
    <w:autoRedefine/>
    <w:qFormat/>
    <w:uiPriority w:val="0"/>
    <w:rPr>
      <w:rFonts w:hAnsi="Times New Roman" w:cs="宋体"/>
      <w:szCs w:val="20"/>
    </w:rPr>
  </w:style>
  <w:style w:type="paragraph" w:customStyle="1" w:styleId="3647">
    <w:name w:val="样式 报告书表格 + 居中2"/>
    <w:basedOn w:val="321"/>
    <w:autoRedefine/>
    <w:qFormat/>
    <w:uiPriority w:val="0"/>
    <w:pPr>
      <w:spacing w:line="360" w:lineRule="exact"/>
      <w:ind w:firstLine="4" w:firstLineChars="2"/>
    </w:pPr>
    <w:rPr>
      <w:rFonts w:hAnsi="宋体" w:eastAsia="仿宋_GB2312" w:cs="宋体"/>
      <w:color w:val="000000"/>
      <w:sz w:val="28"/>
    </w:rPr>
  </w:style>
  <w:style w:type="paragraph" w:customStyle="1" w:styleId="3648">
    <w:name w:val="表题17"/>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3649">
    <w:name w:val="Char4 Char Char Char Char Char Char Char Char Char Char Char Char Char Char Char Char Char1 Char1"/>
    <w:basedOn w:val="1"/>
    <w:autoRedefine/>
    <w:qFormat/>
    <w:uiPriority w:val="0"/>
    <w:pPr>
      <w:spacing w:line="240" w:lineRule="exact"/>
      <w:ind w:firstLine="200" w:firstLineChars="200"/>
    </w:pPr>
    <w:rPr>
      <w:sz w:val="28"/>
      <w:szCs w:val="28"/>
    </w:rPr>
  </w:style>
  <w:style w:type="paragraph" w:customStyle="1" w:styleId="3650">
    <w:name w:val="中文表内容1"/>
    <w:basedOn w:val="1"/>
    <w:next w:val="1"/>
    <w:autoRedefine/>
    <w:qFormat/>
    <w:uiPriority w:val="0"/>
    <w:pPr>
      <w:spacing w:line="440" w:lineRule="exact"/>
      <w:jc w:val="center"/>
    </w:pPr>
    <w:rPr>
      <w:rFonts w:eastAsia="楷体_GB2312"/>
      <w:sz w:val="28"/>
      <w:szCs w:val="20"/>
    </w:rPr>
  </w:style>
  <w:style w:type="paragraph" w:customStyle="1" w:styleId="3651">
    <w:name w:val="font15"/>
    <w:basedOn w:val="1"/>
    <w:autoRedefine/>
    <w:qFormat/>
    <w:uiPriority w:val="0"/>
    <w:pPr>
      <w:widowControl/>
      <w:spacing w:before="100" w:beforeAutospacing="1" w:after="100" w:afterAutospacing="1"/>
      <w:jc w:val="left"/>
    </w:pPr>
    <w:rPr>
      <w:rFonts w:hint="eastAsia" w:ascii="仿宋_GB2312" w:hAnsi="宋体" w:eastAsia="仿宋_GB2312"/>
      <w:kern w:val="0"/>
      <w:sz w:val="24"/>
    </w:rPr>
  </w:style>
  <w:style w:type="paragraph" w:customStyle="1" w:styleId="3652">
    <w:name w:val="ISO标题3内文"/>
    <w:autoRedefine/>
    <w:qFormat/>
    <w:uiPriority w:val="0"/>
    <w:pPr>
      <w:ind w:left="1620"/>
    </w:pPr>
    <w:rPr>
      <w:rFonts w:ascii="宋体" w:hAnsi="宋体" w:eastAsia="宋体" w:cs="Times New Roman"/>
      <w:color w:val="000000"/>
      <w:sz w:val="24"/>
      <w:lang w:val="en-US" w:eastAsia="zh-CN" w:bidi="ar-SA"/>
    </w:rPr>
  </w:style>
  <w:style w:type="paragraph" w:customStyle="1" w:styleId="3653">
    <w:name w:val="Char1 Char Char4"/>
    <w:basedOn w:val="1"/>
    <w:autoRedefine/>
    <w:qFormat/>
    <w:uiPriority w:val="99"/>
    <w:rPr>
      <w:szCs w:val="20"/>
    </w:rPr>
  </w:style>
  <w:style w:type="paragraph" w:customStyle="1" w:styleId="3654">
    <w:name w:val="环评正文1"/>
    <w:basedOn w:val="491"/>
    <w:autoRedefine/>
    <w:qFormat/>
    <w:uiPriority w:val="0"/>
    <w:pPr>
      <w:adjustRightInd/>
      <w:snapToGrid/>
      <w:spacing w:line="500" w:lineRule="exact"/>
      <w:ind w:firstLine="0" w:firstLineChars="0"/>
    </w:pPr>
    <w:rPr>
      <w:rFonts w:ascii="仿宋_GB2312" w:eastAsia="仿宋_GB2312"/>
      <w:sz w:val="28"/>
    </w:rPr>
  </w:style>
  <w:style w:type="paragraph" w:customStyle="1" w:styleId="3655">
    <w:name w:val="Print- From: To: Subject: Date:"/>
    <w:basedOn w:val="1"/>
    <w:autoRedefine/>
    <w:qFormat/>
    <w:uiPriority w:val="0"/>
    <w:pPr>
      <w:pBdr>
        <w:left w:val="single" w:color="auto" w:sz="18" w:space="1"/>
      </w:pBdr>
      <w:adjustRightInd w:val="0"/>
      <w:spacing w:line="360" w:lineRule="atLeast"/>
      <w:jc w:val="left"/>
      <w:textAlignment w:val="baseline"/>
    </w:pPr>
    <w:rPr>
      <w:rFonts w:eastAsia="PMingLiU"/>
      <w:kern w:val="0"/>
      <w:sz w:val="24"/>
      <w:szCs w:val="20"/>
      <w:lang w:eastAsia="zh-TW"/>
    </w:rPr>
  </w:style>
  <w:style w:type="paragraph" w:customStyle="1" w:styleId="3656">
    <w:name w:val="註解方塊文字"/>
    <w:basedOn w:val="1"/>
    <w:autoRedefine/>
    <w:qFormat/>
    <w:uiPriority w:val="0"/>
    <w:rPr>
      <w:rFonts w:ascii="Arial" w:hAnsi="Arial" w:eastAsia="PMingLiU"/>
      <w:sz w:val="18"/>
      <w:szCs w:val="20"/>
    </w:rPr>
  </w:style>
  <w:style w:type="paragraph" w:customStyle="1" w:styleId="3657">
    <w:name w:val="ISO标题5"/>
    <w:autoRedefine/>
    <w:qFormat/>
    <w:uiPriority w:val="0"/>
    <w:pPr>
      <w:tabs>
        <w:tab w:val="left" w:pos="1800"/>
      </w:tabs>
      <w:ind w:left="420" w:hanging="420"/>
      <w:outlineLvl w:val="4"/>
    </w:pPr>
    <w:rPr>
      <w:rFonts w:ascii="宋体" w:hAnsi="宋体" w:eastAsia="宋体" w:cs="Times New Roman"/>
      <w:color w:val="000000"/>
      <w:sz w:val="24"/>
      <w:lang w:val="en-US" w:eastAsia="zh-CN" w:bidi="ar-SA"/>
    </w:rPr>
  </w:style>
  <w:style w:type="paragraph" w:customStyle="1" w:styleId="3658">
    <w:name w:val="样式 标题 4 + 图案: 清除 (白色)1"/>
    <w:basedOn w:val="6"/>
    <w:autoRedefine/>
    <w:qFormat/>
    <w:uiPriority w:val="0"/>
    <w:pPr>
      <w:tabs>
        <w:tab w:val="left" w:pos="980"/>
        <w:tab w:val="left" w:pos="1704"/>
      </w:tabs>
      <w:adjustRightInd w:val="0"/>
      <w:snapToGrid w:val="0"/>
      <w:spacing w:before="0" w:after="0" w:line="300" w:lineRule="auto"/>
      <w:ind w:left="1704" w:hanging="864"/>
      <w:jc w:val="left"/>
    </w:pPr>
    <w:rPr>
      <w:rFonts w:ascii="Arial Narrow" w:hAnsi="Arial Narrow" w:eastAsia="仿宋_GB2312"/>
      <w:b w:val="0"/>
      <w:bCs w:val="0"/>
      <w:sz w:val="24"/>
      <w:szCs w:val="20"/>
      <w:shd w:val="clear" w:color="auto" w:fill="FFFFFF"/>
    </w:rPr>
  </w:style>
  <w:style w:type="paragraph" w:customStyle="1" w:styleId="3659">
    <w:name w:val="列表项目"/>
    <w:basedOn w:val="24"/>
    <w:autoRedefine/>
    <w:qFormat/>
    <w:uiPriority w:val="0"/>
    <w:pPr>
      <w:widowControl w:val="0"/>
      <w:numPr>
        <w:numId w:val="0"/>
      </w:numPr>
      <w:tabs>
        <w:tab w:val="clear" w:pos="360"/>
      </w:tabs>
      <w:spacing w:before="360" w:line="360" w:lineRule="auto"/>
      <w:contextualSpacing w:val="0"/>
      <w:jc w:val="center"/>
      <w:outlineLvl w:val="0"/>
    </w:pPr>
    <w:rPr>
      <w:rFonts w:ascii="黑体" w:eastAsia="黑体"/>
      <w:b/>
      <w:kern w:val="2"/>
      <w:sz w:val="32"/>
      <w:szCs w:val="32"/>
    </w:rPr>
  </w:style>
  <w:style w:type="paragraph" w:customStyle="1" w:styleId="3660">
    <w:name w:val="依据文字"/>
    <w:basedOn w:val="87"/>
    <w:autoRedefine/>
    <w:qFormat/>
    <w:uiPriority w:val="0"/>
    <w:pPr>
      <w:tabs>
        <w:tab w:val="left" w:pos="420"/>
        <w:tab w:val="left" w:pos="870"/>
        <w:tab w:val="left" w:pos="3150"/>
      </w:tabs>
      <w:autoSpaceDE w:val="0"/>
      <w:autoSpaceDN w:val="0"/>
      <w:adjustRightInd w:val="0"/>
      <w:spacing w:beforeLines="25" w:after="0" w:line="336" w:lineRule="auto"/>
      <w:ind w:left="0" w:leftChars="0" w:firstLine="527" w:firstLineChars="0"/>
      <w:textAlignment w:val="baseline"/>
    </w:pPr>
    <w:rPr>
      <w:rFonts w:ascii="宋体"/>
      <w:szCs w:val="28"/>
    </w:rPr>
  </w:style>
  <w:style w:type="paragraph" w:customStyle="1" w:styleId="3661">
    <w:name w:val="基准篇眉"/>
    <w:basedOn w:val="1"/>
    <w:autoRedefine/>
    <w:qFormat/>
    <w:uiPriority w:val="0"/>
    <w:pPr>
      <w:keepLines/>
      <w:widowControl/>
      <w:tabs>
        <w:tab w:val="center" w:pos="7200"/>
        <w:tab w:val="right" w:pos="14400"/>
      </w:tabs>
      <w:overflowPunct w:val="0"/>
      <w:autoSpaceDE w:val="0"/>
      <w:autoSpaceDN w:val="0"/>
      <w:adjustRightInd w:val="0"/>
      <w:jc w:val="center"/>
      <w:textAlignment w:val="baseline"/>
    </w:pPr>
    <w:rPr>
      <w:spacing w:val="80"/>
      <w:kern w:val="0"/>
      <w:sz w:val="20"/>
      <w:szCs w:val="20"/>
    </w:rPr>
  </w:style>
  <w:style w:type="paragraph" w:customStyle="1" w:styleId="3662">
    <w:name w:val="Char Char Char2 Char Char Char Char Char Char Char Char Char Char Char Char Char Char Char Char Char Char Char Char Char Char Char Char"/>
    <w:basedOn w:val="1"/>
    <w:autoRedefine/>
    <w:qFormat/>
    <w:uiPriority w:val="0"/>
    <w:rPr>
      <w:rFonts w:ascii="黑体" w:hAnsi="黑体" w:eastAsia="黑体"/>
      <w:b/>
      <w:spacing w:val="10"/>
      <w:kern w:val="44"/>
      <w:sz w:val="28"/>
      <w:szCs w:val="20"/>
    </w:rPr>
  </w:style>
  <w:style w:type="paragraph" w:customStyle="1" w:styleId="3663">
    <w:name w:val="Char Char21 Char Char Char Char Char Char Char"/>
    <w:basedOn w:val="1"/>
    <w:autoRedefine/>
    <w:qFormat/>
    <w:uiPriority w:val="0"/>
    <w:rPr>
      <w:rFonts w:ascii="黑体" w:hAnsi="黑体" w:eastAsia="黑体"/>
      <w:b/>
      <w:spacing w:val="10"/>
      <w:kern w:val="44"/>
      <w:sz w:val="28"/>
      <w:szCs w:val="20"/>
    </w:rPr>
  </w:style>
  <w:style w:type="paragraph" w:customStyle="1" w:styleId="3664">
    <w:name w:val="Char Char5 Char Char Char Char Char Char"/>
    <w:basedOn w:val="1"/>
    <w:autoRedefine/>
    <w:qFormat/>
    <w:uiPriority w:val="0"/>
    <w:rPr>
      <w:sz w:val="24"/>
    </w:rPr>
  </w:style>
  <w:style w:type="paragraph" w:customStyle="1" w:styleId="3665">
    <w:name w:val="图型标题"/>
    <w:basedOn w:val="1"/>
    <w:autoRedefine/>
    <w:qFormat/>
    <w:uiPriority w:val="0"/>
    <w:pPr>
      <w:widowControl/>
      <w:spacing w:beforeLines="50" w:afterLines="50"/>
      <w:ind w:firstLine="200" w:firstLineChars="200"/>
      <w:jc w:val="center"/>
    </w:pPr>
    <w:rPr>
      <w:rFonts w:ascii="黑体" w:hAnsi="仿宋_GB2312" w:eastAsia="黑体"/>
      <w:kern w:val="0"/>
      <w:sz w:val="24"/>
      <w:lang w:val="zh-CN"/>
    </w:rPr>
  </w:style>
  <w:style w:type="paragraph" w:customStyle="1" w:styleId="3666">
    <w:name w:val="xd"/>
    <w:basedOn w:val="1"/>
    <w:autoRedefine/>
    <w:qFormat/>
    <w:uiPriority w:val="0"/>
    <w:pPr>
      <w:widowControl/>
      <w:spacing w:line="400" w:lineRule="exact"/>
      <w:jc w:val="left"/>
    </w:pPr>
    <w:rPr>
      <w:rFonts w:ascii="仿宋_GB2312" w:hAnsi="仿宋_GB2312" w:eastAsia="仿宋_GB2312"/>
      <w:color w:val="000000"/>
      <w:kern w:val="0"/>
      <w:sz w:val="24"/>
      <w:lang w:val="zh-CN"/>
    </w:rPr>
  </w:style>
  <w:style w:type="paragraph" w:customStyle="1" w:styleId="3667">
    <w:name w:val="项目符号1"/>
    <w:basedOn w:val="1"/>
    <w:autoRedefine/>
    <w:qFormat/>
    <w:uiPriority w:val="0"/>
    <w:pPr>
      <w:tabs>
        <w:tab w:val="left" w:pos="360"/>
        <w:tab w:val="left" w:pos="935"/>
      </w:tabs>
      <w:snapToGrid w:val="0"/>
      <w:spacing w:before="120" w:after="120" w:line="312" w:lineRule="auto"/>
      <w:ind w:left="935" w:hanging="360" w:hangingChars="200"/>
    </w:pPr>
    <w:rPr>
      <w:rFonts w:ascii="Arial" w:hAnsi="Arial" w:eastAsia="楷体_GB2312"/>
      <w:b/>
      <w:sz w:val="28"/>
      <w:szCs w:val="20"/>
    </w:rPr>
  </w:style>
  <w:style w:type="paragraph" w:customStyle="1" w:styleId="3668">
    <w:name w:val="自定义正文"/>
    <w:basedOn w:val="1"/>
    <w:autoRedefine/>
    <w:qFormat/>
    <w:uiPriority w:val="0"/>
    <w:pPr>
      <w:adjustRightInd w:val="0"/>
      <w:snapToGrid w:val="0"/>
      <w:spacing w:line="360" w:lineRule="auto"/>
      <w:ind w:firstLine="560" w:firstLineChars="200"/>
      <w:textAlignment w:val="baseline"/>
    </w:pPr>
    <w:rPr>
      <w:rFonts w:ascii="宋体" w:hAnsi="宋体"/>
      <w:kern w:val="0"/>
      <w:sz w:val="24"/>
      <w:szCs w:val="20"/>
    </w:rPr>
  </w:style>
  <w:style w:type="paragraph" w:customStyle="1" w:styleId="3669">
    <w:name w:val="xl340"/>
    <w:basedOn w:val="1"/>
    <w:autoRedefine/>
    <w:qFormat/>
    <w:uiPriority w:val="0"/>
    <w:pPr>
      <w:widowControl/>
      <w:snapToGrid w:val="0"/>
      <w:spacing w:before="100" w:after="100" w:line="360" w:lineRule="auto"/>
      <w:ind w:firstLine="590" w:firstLineChars="200"/>
      <w:textAlignment w:val="center"/>
    </w:pPr>
    <w:rPr>
      <w:rFonts w:ascii="宋体" w:hAnsi="宋体"/>
      <w:kern w:val="0"/>
      <w:sz w:val="24"/>
      <w:szCs w:val="20"/>
    </w:rPr>
  </w:style>
  <w:style w:type="paragraph" w:customStyle="1" w:styleId="3670">
    <w:name w:val="样式 标题 3 + (中文) 黑体 小四 非加粗"/>
    <w:basedOn w:val="5"/>
    <w:autoRedefine/>
    <w:qFormat/>
    <w:uiPriority w:val="0"/>
    <w:pPr>
      <w:tabs>
        <w:tab w:val="left" w:pos="7200"/>
      </w:tabs>
      <w:spacing w:before="120" w:after="120" w:line="360" w:lineRule="auto"/>
    </w:pPr>
    <w:rPr>
      <w:rFonts w:ascii="楷体_GB2312" w:eastAsia="楷体_GB2312"/>
      <w:bCs w:val="0"/>
      <w:kern w:val="0"/>
      <w:sz w:val="30"/>
      <w:szCs w:val="30"/>
      <w:lang w:val="en-US"/>
    </w:rPr>
  </w:style>
  <w:style w:type="paragraph" w:customStyle="1" w:styleId="3671">
    <w:name w:val="表内文字小31312"/>
    <w:basedOn w:val="1"/>
    <w:autoRedefine/>
    <w:qFormat/>
    <w:uiPriority w:val="0"/>
    <w:pPr>
      <w:adjustRightInd w:val="0"/>
      <w:snapToGrid w:val="0"/>
      <w:jc w:val="center"/>
    </w:pPr>
    <w:rPr>
      <w:rFonts w:ascii="宋体" w:hAnsi="Times" w:cs="宋体"/>
      <w:bCs/>
      <w:color w:val="003366"/>
      <w:szCs w:val="20"/>
    </w:rPr>
  </w:style>
  <w:style w:type="paragraph" w:customStyle="1" w:styleId="3672">
    <w:name w:val="燕山正文11312"/>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3673">
    <w:name w:val="23-47表名12"/>
    <w:basedOn w:val="1"/>
    <w:autoRedefine/>
    <w:qFormat/>
    <w:uiPriority w:val="0"/>
    <w:pPr>
      <w:spacing w:afterLines="50" w:line="440" w:lineRule="exact"/>
      <w:jc w:val="center"/>
    </w:pPr>
    <w:rPr>
      <w:rFonts w:ascii="宋体" w:hAnsi="宋体"/>
      <w:b/>
      <w:sz w:val="24"/>
    </w:rPr>
  </w:style>
  <w:style w:type="paragraph" w:customStyle="1" w:styleId="3674">
    <w:name w:val="Char Char Char Char Char Char Char212"/>
    <w:basedOn w:val="1"/>
    <w:autoRedefine/>
    <w:qFormat/>
    <w:uiPriority w:val="0"/>
  </w:style>
  <w:style w:type="paragraph" w:customStyle="1" w:styleId="3675">
    <w:name w:val="大表格"/>
    <w:basedOn w:val="2481"/>
    <w:autoRedefine/>
    <w:qFormat/>
    <w:uiPriority w:val="0"/>
    <w:pPr>
      <w:spacing w:line="480" w:lineRule="exact"/>
    </w:pPr>
    <w:rPr>
      <w:sz w:val="28"/>
    </w:rPr>
  </w:style>
  <w:style w:type="paragraph" w:customStyle="1" w:styleId="3676">
    <w:name w:val="标题41112"/>
    <w:basedOn w:val="1"/>
    <w:autoRedefine/>
    <w:qFormat/>
    <w:uiPriority w:val="0"/>
    <w:pPr>
      <w:adjustRightInd w:val="0"/>
      <w:snapToGrid w:val="0"/>
      <w:spacing w:line="300" w:lineRule="auto"/>
      <w:jc w:val="left"/>
    </w:pPr>
    <w:rPr>
      <w:rFonts w:ascii="黑体" w:hAnsi="宋体" w:eastAsia="黑体" w:cs="宋体"/>
      <w:bCs/>
      <w:sz w:val="24"/>
      <w:szCs w:val="20"/>
    </w:rPr>
  </w:style>
  <w:style w:type="paragraph" w:customStyle="1" w:styleId="3677">
    <w:name w:val="标题422"/>
    <w:basedOn w:val="1"/>
    <w:autoRedefine/>
    <w:qFormat/>
    <w:uiPriority w:val="0"/>
    <w:pPr>
      <w:adjustRightInd w:val="0"/>
      <w:snapToGrid w:val="0"/>
      <w:spacing w:line="300" w:lineRule="auto"/>
      <w:jc w:val="left"/>
    </w:pPr>
    <w:rPr>
      <w:rFonts w:ascii="黑体" w:eastAsia="黑体"/>
      <w:bCs/>
      <w:sz w:val="24"/>
    </w:rPr>
  </w:style>
  <w:style w:type="paragraph" w:customStyle="1" w:styleId="3678">
    <w:name w:val="文本框文字"/>
    <w:basedOn w:val="1"/>
    <w:autoRedefine/>
    <w:qFormat/>
    <w:uiPriority w:val="0"/>
    <w:pPr>
      <w:adjustRightInd w:val="0"/>
      <w:jc w:val="center"/>
      <w:textAlignment w:val="baseline"/>
    </w:pPr>
    <w:rPr>
      <w:kern w:val="0"/>
      <w:szCs w:val="20"/>
    </w:rPr>
  </w:style>
  <w:style w:type="paragraph" w:customStyle="1" w:styleId="3679">
    <w:name w:val="表内宋5中122"/>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3680">
    <w:name w:val="表内宋5中1112"/>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3681">
    <w:name w:val="样式 标题 2节 + 宋体 加粗"/>
    <w:basedOn w:val="4"/>
    <w:autoRedefine/>
    <w:qFormat/>
    <w:uiPriority w:val="0"/>
    <w:pPr>
      <w:tabs>
        <w:tab w:val="left" w:pos="1505"/>
      </w:tabs>
      <w:adjustRightInd w:val="0"/>
      <w:snapToGrid w:val="0"/>
      <w:spacing w:before="0" w:after="0" w:line="360" w:lineRule="auto"/>
      <w:ind w:left="200" w:hanging="200" w:hangingChars="200"/>
    </w:pPr>
    <w:rPr>
      <w:rFonts w:ascii="宋体" w:hAnsi="宋体"/>
      <w:bCs w:val="0"/>
      <w:sz w:val="28"/>
      <w:szCs w:val="24"/>
    </w:rPr>
  </w:style>
  <w:style w:type="paragraph" w:customStyle="1" w:styleId="3682">
    <w:name w:val="重钢院"/>
    <w:basedOn w:val="1"/>
    <w:autoRedefine/>
    <w:qFormat/>
    <w:uiPriority w:val="0"/>
    <w:pPr>
      <w:adjustRightInd w:val="0"/>
      <w:spacing w:line="372" w:lineRule="auto"/>
      <w:textAlignment w:val="baseline"/>
    </w:pPr>
    <w:rPr>
      <w:spacing w:val="10"/>
      <w:kern w:val="0"/>
      <w:sz w:val="28"/>
      <w:szCs w:val="20"/>
    </w:rPr>
  </w:style>
  <w:style w:type="paragraph" w:customStyle="1" w:styleId="3683">
    <w:name w:val="A正文12"/>
    <w:basedOn w:val="1"/>
    <w:autoRedefine/>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kern w:val="0"/>
      <w:sz w:val="24"/>
    </w:rPr>
  </w:style>
  <w:style w:type="paragraph" w:customStyle="1" w:styleId="3684">
    <w:name w:val="目录5"/>
    <w:basedOn w:val="1"/>
    <w:autoRedefine/>
    <w:qFormat/>
    <w:uiPriority w:val="0"/>
    <w:rPr>
      <w:rFonts w:ascii="宋体" w:hAnsi="宋体"/>
      <w:szCs w:val="21"/>
    </w:rPr>
  </w:style>
  <w:style w:type="paragraph" w:customStyle="1" w:styleId="3685">
    <w:name w:val="表内文字小812"/>
    <w:basedOn w:val="1"/>
    <w:autoRedefine/>
    <w:qFormat/>
    <w:uiPriority w:val="0"/>
    <w:pPr>
      <w:adjustRightInd w:val="0"/>
      <w:snapToGrid w:val="0"/>
      <w:jc w:val="center"/>
    </w:pPr>
    <w:rPr>
      <w:rFonts w:ascii="宋体" w:hAnsi="Times" w:cs="宋体"/>
      <w:szCs w:val="20"/>
    </w:rPr>
  </w:style>
  <w:style w:type="paragraph" w:customStyle="1" w:styleId="3686">
    <w:name w:val="样式412"/>
    <w:basedOn w:val="34"/>
    <w:autoRedefine/>
    <w:qFormat/>
    <w:uiPriority w:val="0"/>
    <w:pPr>
      <w:widowControl w:val="0"/>
      <w:tabs>
        <w:tab w:val="left" w:pos="1820"/>
      </w:tabs>
      <w:spacing w:before="0" w:after="0" w:line="240" w:lineRule="atLeast"/>
      <w:ind w:right="0"/>
      <w:jc w:val="center"/>
    </w:pPr>
    <w:rPr>
      <w:rFonts w:eastAsia="幼圆"/>
      <w:sz w:val="20"/>
      <w:lang w:val="en-US"/>
    </w:rPr>
  </w:style>
  <w:style w:type="paragraph" w:customStyle="1" w:styleId="3687">
    <w:name w:val="9 Char Char Char5"/>
    <w:basedOn w:val="1"/>
    <w:autoRedefine/>
    <w:qFormat/>
    <w:uiPriority w:val="0"/>
    <w:pPr>
      <w:spacing w:line="240" w:lineRule="exact"/>
      <w:ind w:firstLine="200" w:firstLineChars="200"/>
    </w:pPr>
    <w:rPr>
      <w:sz w:val="28"/>
      <w:szCs w:val="28"/>
    </w:rPr>
  </w:style>
  <w:style w:type="paragraph" w:customStyle="1" w:styleId="3688">
    <w:name w:val="表内宋5中212"/>
    <w:basedOn w:val="1"/>
    <w:autoRedefine/>
    <w:qFormat/>
    <w:uiPriority w:val="0"/>
    <w:pPr>
      <w:adjustRightInd w:val="0"/>
      <w:snapToGrid w:val="0"/>
      <w:jc w:val="center"/>
      <w:textAlignment w:val="baseline"/>
    </w:pPr>
    <w:rPr>
      <w:rFonts w:ascii="宋体" w:hAnsi="宋体"/>
      <w:kern w:val="0"/>
      <w:szCs w:val="20"/>
    </w:rPr>
  </w:style>
  <w:style w:type="paragraph" w:customStyle="1" w:styleId="3689">
    <w:name w:val="Char Char2 Char Char Char Char32"/>
    <w:basedOn w:val="1"/>
    <w:autoRedefine/>
    <w:qFormat/>
    <w:uiPriority w:val="0"/>
  </w:style>
  <w:style w:type="paragraph" w:customStyle="1" w:styleId="3690">
    <w:name w:val="Char Char7 Char Char1 Char Char Char1 Char"/>
    <w:basedOn w:val="1"/>
    <w:autoRedefine/>
    <w:qFormat/>
    <w:uiPriority w:val="0"/>
    <w:pPr>
      <w:spacing w:line="240" w:lineRule="exact"/>
      <w:ind w:firstLine="200" w:firstLineChars="200"/>
    </w:pPr>
    <w:rPr>
      <w:sz w:val="28"/>
      <w:szCs w:val="28"/>
    </w:rPr>
  </w:style>
  <w:style w:type="paragraph" w:customStyle="1" w:styleId="3691">
    <w:name w:val="Char Char7 Char Char"/>
    <w:basedOn w:val="1"/>
    <w:autoRedefine/>
    <w:qFormat/>
    <w:uiPriority w:val="0"/>
    <w:pPr>
      <w:spacing w:line="240" w:lineRule="exact"/>
      <w:ind w:firstLine="200" w:firstLineChars="200"/>
    </w:pPr>
    <w:rPr>
      <w:sz w:val="28"/>
      <w:szCs w:val="28"/>
    </w:rPr>
  </w:style>
  <w:style w:type="paragraph" w:customStyle="1" w:styleId="3692">
    <w:name w:val="Char Char7 Char Char1 Char Char Char"/>
    <w:basedOn w:val="1"/>
    <w:autoRedefine/>
    <w:qFormat/>
    <w:uiPriority w:val="0"/>
    <w:pPr>
      <w:spacing w:line="240" w:lineRule="exact"/>
      <w:ind w:firstLine="200" w:firstLineChars="200"/>
    </w:pPr>
    <w:rPr>
      <w:sz w:val="28"/>
      <w:szCs w:val="28"/>
    </w:rPr>
  </w:style>
  <w:style w:type="paragraph" w:customStyle="1" w:styleId="3693">
    <w:name w:val="附件312"/>
    <w:basedOn w:val="3"/>
    <w:next w:val="416"/>
    <w:autoRedefine/>
    <w:qFormat/>
    <w:uiPriority w:val="0"/>
    <w:pPr>
      <w:keepLines/>
      <w:tabs>
        <w:tab w:val="left" w:pos="1566"/>
      </w:tabs>
      <w:overflowPunct/>
      <w:adjustRightInd w:val="0"/>
      <w:spacing w:before="0" w:after="120" w:line="360" w:lineRule="auto"/>
      <w:ind w:left="0" w:firstLine="0"/>
      <w:jc w:val="left"/>
    </w:pPr>
    <w:rPr>
      <w:rFonts w:ascii="黑体" w:hAnsi="宋体"/>
      <w:b w:val="0"/>
      <w:color w:val="auto"/>
      <w:sz w:val="32"/>
      <w:szCs w:val="32"/>
    </w:rPr>
  </w:style>
  <w:style w:type="paragraph" w:customStyle="1" w:styleId="3694">
    <w:name w:val="Char Char2 Char Char Char Char112"/>
    <w:basedOn w:val="1"/>
    <w:autoRedefine/>
    <w:qFormat/>
    <w:uiPriority w:val="0"/>
  </w:style>
  <w:style w:type="paragraph" w:customStyle="1" w:styleId="3695">
    <w:name w:val="Char Char7 Char Char1 Char Char Char1 Char Char Char Char Char Char Char Char Char Char Char Char"/>
    <w:basedOn w:val="1"/>
    <w:autoRedefine/>
    <w:qFormat/>
    <w:uiPriority w:val="0"/>
    <w:pPr>
      <w:spacing w:line="240" w:lineRule="exact"/>
      <w:ind w:firstLine="200" w:firstLineChars="200"/>
    </w:pPr>
    <w:rPr>
      <w:sz w:val="28"/>
      <w:szCs w:val="28"/>
    </w:rPr>
  </w:style>
  <w:style w:type="paragraph" w:customStyle="1" w:styleId="3696">
    <w:name w:val="表中文字512"/>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697">
    <w:name w:val="正文斜体12"/>
    <w:basedOn w:val="416"/>
    <w:next w:val="416"/>
    <w:autoRedefine/>
    <w:qFormat/>
    <w:uiPriority w:val="0"/>
    <w:rPr>
      <w:rFonts w:ascii="宋体" w:hAnsi="宋体"/>
      <w:b w:val="0"/>
      <w:i/>
      <w:iCs/>
      <w:spacing w:val="0"/>
      <w:sz w:val="24"/>
      <w:szCs w:val="24"/>
    </w:rPr>
  </w:style>
  <w:style w:type="paragraph" w:customStyle="1" w:styleId="3698">
    <w:name w:val="Char3 Char Char Char1 Char Char1 Char Char Char1 Char Char Char Char Char Char Char Char Char"/>
    <w:basedOn w:val="1"/>
    <w:autoRedefine/>
    <w:qFormat/>
    <w:uiPriority w:val="0"/>
    <w:rPr>
      <w:szCs w:val="21"/>
    </w:rPr>
  </w:style>
  <w:style w:type="paragraph" w:customStyle="1" w:styleId="3699">
    <w:name w:val="Char Char Char2 Char Char Char Char Char Char Char Char Char Char Char Char Char Char Char Char Char Char Char Char Char Char Char"/>
    <w:basedOn w:val="1"/>
    <w:autoRedefine/>
    <w:qFormat/>
    <w:uiPriority w:val="0"/>
    <w:rPr>
      <w:szCs w:val="21"/>
    </w:rPr>
  </w:style>
  <w:style w:type="paragraph" w:customStyle="1" w:styleId="3700">
    <w:name w:val="默认段落字体 Para Char312"/>
    <w:basedOn w:val="1"/>
    <w:autoRedefine/>
    <w:qFormat/>
    <w:uiPriority w:val="0"/>
    <w:pPr>
      <w:spacing w:line="360" w:lineRule="auto"/>
      <w:ind w:firstLine="200" w:firstLineChars="200"/>
    </w:pPr>
    <w:rPr>
      <w:rFonts w:ascii="宋体" w:hAnsi="宋体" w:cs="宋体"/>
      <w:sz w:val="24"/>
    </w:rPr>
  </w:style>
  <w:style w:type="paragraph" w:customStyle="1" w:styleId="3701">
    <w:name w:val="缩进2个字"/>
    <w:basedOn w:val="1"/>
    <w:autoRedefine/>
    <w:qFormat/>
    <w:uiPriority w:val="0"/>
    <w:pPr>
      <w:spacing w:line="0" w:lineRule="atLeast"/>
      <w:jc w:val="center"/>
    </w:pPr>
    <w:rPr>
      <w:snapToGrid w:val="0"/>
      <w:spacing w:val="12"/>
      <w:kern w:val="24"/>
      <w:szCs w:val="20"/>
    </w:rPr>
  </w:style>
  <w:style w:type="paragraph" w:customStyle="1" w:styleId="3702">
    <w:name w:val="样式 Arial 行距: 多倍行距 1.45 字行"/>
    <w:basedOn w:val="1"/>
    <w:autoRedefine/>
    <w:qFormat/>
    <w:uiPriority w:val="0"/>
    <w:pPr>
      <w:spacing w:line="500" w:lineRule="exact"/>
      <w:ind w:firstLine="560" w:firstLineChars="200"/>
      <w:jc w:val="center"/>
    </w:pPr>
    <w:rPr>
      <w:rFonts w:ascii="仿宋_GB2312" w:eastAsia="仿宋_GB2312"/>
      <w:sz w:val="28"/>
    </w:rPr>
  </w:style>
  <w:style w:type="paragraph" w:customStyle="1" w:styleId="3703">
    <w:name w:val="Char 字元 字元"/>
    <w:basedOn w:val="1"/>
    <w:autoRedefine/>
    <w:qFormat/>
    <w:uiPriority w:val="0"/>
    <w:rPr>
      <w:sz w:val="24"/>
    </w:rPr>
  </w:style>
  <w:style w:type="paragraph" w:customStyle="1" w:styleId="3704">
    <w:name w:val="Char Char2 Char Char Char Char42"/>
    <w:basedOn w:val="1"/>
    <w:autoRedefine/>
    <w:qFormat/>
    <w:uiPriority w:val="0"/>
  </w:style>
  <w:style w:type="paragraph" w:customStyle="1" w:styleId="3705">
    <w:name w:val="文本123-II"/>
    <w:basedOn w:val="6"/>
    <w:autoRedefine/>
    <w:qFormat/>
    <w:uiPriority w:val="0"/>
    <w:pPr>
      <w:keepNext w:val="0"/>
      <w:keepLines w:val="0"/>
      <w:tabs>
        <w:tab w:val="left" w:pos="3990"/>
      </w:tabs>
      <w:spacing w:beforeLines="50" w:after="0" w:line="240" w:lineRule="auto"/>
      <w:ind w:left="3990" w:hanging="420"/>
    </w:pPr>
    <w:rPr>
      <w:rFonts w:ascii="Times New Roman" w:hAnsi="Times New Roman" w:eastAsia="宋体"/>
      <w:b w:val="0"/>
      <w:bCs w:val="0"/>
      <w:sz w:val="24"/>
      <w:szCs w:val="24"/>
    </w:rPr>
  </w:style>
  <w:style w:type="paragraph" w:customStyle="1" w:styleId="3706">
    <w:name w:val="样式 宋体 首行缩进:  2 字符 行距: 1.5 倍行距"/>
    <w:basedOn w:val="1"/>
    <w:autoRedefine/>
    <w:qFormat/>
    <w:uiPriority w:val="0"/>
    <w:pPr>
      <w:spacing w:line="360" w:lineRule="auto"/>
      <w:ind w:firstLine="480" w:firstLineChars="200"/>
    </w:pPr>
    <w:rPr>
      <w:sz w:val="24"/>
    </w:rPr>
  </w:style>
  <w:style w:type="paragraph" w:customStyle="1" w:styleId="3707">
    <w:name w:val="表内5中112"/>
    <w:basedOn w:val="1"/>
    <w:autoRedefine/>
    <w:qFormat/>
    <w:uiPriority w:val="0"/>
    <w:pPr>
      <w:adjustRightInd w:val="0"/>
      <w:snapToGrid w:val="0"/>
      <w:jc w:val="center"/>
    </w:pPr>
    <w:rPr>
      <w:rFonts w:ascii="宋体" w:hAnsi="宋体" w:cs="Arial"/>
      <w:snapToGrid w:val="0"/>
      <w:color w:val="000000"/>
      <w:szCs w:val="21"/>
    </w:rPr>
  </w:style>
  <w:style w:type="paragraph" w:customStyle="1" w:styleId="3708">
    <w:name w:val="大标题"/>
    <w:basedOn w:val="3"/>
    <w:autoRedefine/>
    <w:qFormat/>
    <w:uiPriority w:val="0"/>
    <w:pPr>
      <w:keepLines/>
      <w:tabs>
        <w:tab w:val="left" w:pos="8640"/>
      </w:tabs>
      <w:overflowPunct/>
      <w:snapToGrid/>
      <w:spacing w:before="340" w:afterLines="100" w:line="480" w:lineRule="auto"/>
      <w:ind w:left="0" w:firstLine="200" w:firstLineChars="200"/>
      <w:jc w:val="center"/>
    </w:pPr>
    <w:rPr>
      <w:rFonts w:eastAsia="宋体"/>
      <w:sz w:val="44"/>
      <w:szCs w:val="44"/>
    </w:rPr>
  </w:style>
  <w:style w:type="paragraph" w:customStyle="1" w:styleId="3709">
    <w:name w:val="Char1012"/>
    <w:basedOn w:val="1"/>
    <w:autoRedefine/>
    <w:qFormat/>
    <w:uiPriority w:val="0"/>
    <w:pPr>
      <w:adjustRightInd w:val="0"/>
      <w:snapToGrid w:val="0"/>
      <w:spacing w:line="360" w:lineRule="auto"/>
    </w:pPr>
  </w:style>
  <w:style w:type="paragraph" w:customStyle="1" w:styleId="3710">
    <w:name w:val="my1"/>
    <w:basedOn w:val="59"/>
    <w:autoRedefine/>
    <w:qFormat/>
    <w:uiPriority w:val="0"/>
    <w:pPr>
      <w:tabs>
        <w:tab w:val="left" w:pos="450"/>
        <w:tab w:val="right" w:leader="dot" w:pos="9061"/>
      </w:tabs>
      <w:spacing w:line="300" w:lineRule="auto"/>
      <w:ind w:left="450" w:hanging="450"/>
    </w:pPr>
    <w:rPr>
      <w:rFonts w:ascii="仿宋_GB2312" w:hAnsi="华文细黑" w:eastAsia="仿宋_GB2312"/>
      <w:bCs w:val="0"/>
      <w:sz w:val="28"/>
      <w:szCs w:val="28"/>
    </w:rPr>
  </w:style>
  <w:style w:type="paragraph" w:customStyle="1" w:styleId="3711">
    <w:name w:val="Table Title Char1 Char"/>
    <w:basedOn w:val="1"/>
    <w:autoRedefine/>
    <w:qFormat/>
    <w:uiPriority w:val="0"/>
    <w:pPr>
      <w:widowControl/>
      <w:snapToGrid w:val="0"/>
      <w:spacing w:beforeLines="50" w:afterLines="50" w:line="400" w:lineRule="exact"/>
      <w:jc w:val="center"/>
    </w:pPr>
    <w:rPr>
      <w:sz w:val="24"/>
      <w:lang w:eastAsia="en-US"/>
    </w:rPr>
  </w:style>
  <w:style w:type="paragraph" w:customStyle="1" w:styleId="3712">
    <w:name w:val="样式 标题 3 + 段前: 12 磅2"/>
    <w:basedOn w:val="5"/>
    <w:autoRedefine/>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lang w:val="en-US"/>
    </w:rPr>
  </w:style>
  <w:style w:type="paragraph" w:customStyle="1" w:styleId="3713">
    <w:name w:val="11 Char Char Char Char Char Char Char Char Char Char Char Char Char Char Char1 Char"/>
    <w:basedOn w:val="1"/>
    <w:autoRedefine/>
    <w:qFormat/>
    <w:uiPriority w:val="0"/>
    <w:pPr>
      <w:snapToGrid w:val="0"/>
      <w:spacing w:line="360" w:lineRule="auto"/>
      <w:ind w:firstLine="200" w:firstLineChars="200"/>
    </w:pPr>
    <w:rPr>
      <w:rFonts w:eastAsia="仿宋_GB2312"/>
      <w:sz w:val="24"/>
    </w:rPr>
  </w:style>
  <w:style w:type="paragraph" w:customStyle="1" w:styleId="3714">
    <w:name w:val="表格内字体6"/>
    <w:basedOn w:val="416"/>
    <w:next w:val="416"/>
    <w:autoRedefine/>
    <w:qFormat/>
    <w:uiPriority w:val="0"/>
    <w:pPr>
      <w:spacing w:line="240" w:lineRule="auto"/>
      <w:ind w:firstLine="0"/>
      <w:jc w:val="center"/>
    </w:pPr>
    <w:rPr>
      <w:rFonts w:ascii="宋体" w:hAnsi="宋体"/>
      <w:b w:val="0"/>
      <w:spacing w:val="0"/>
      <w:szCs w:val="24"/>
    </w:rPr>
  </w:style>
  <w:style w:type="paragraph" w:customStyle="1" w:styleId="3715">
    <w:name w:val="样式 首行缩进:  2 字符1"/>
    <w:basedOn w:val="1"/>
    <w:autoRedefine/>
    <w:qFormat/>
    <w:uiPriority w:val="0"/>
    <w:pPr>
      <w:spacing w:line="440" w:lineRule="exact"/>
      <w:ind w:firstLine="200" w:firstLineChars="200"/>
    </w:pPr>
    <w:rPr>
      <w:sz w:val="24"/>
    </w:rPr>
  </w:style>
  <w:style w:type="paragraph" w:customStyle="1" w:styleId="3716">
    <w:name w:val="表题14"/>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3717">
    <w:name w:val="Char39"/>
    <w:basedOn w:val="1"/>
    <w:autoRedefine/>
    <w:qFormat/>
    <w:uiPriority w:val="0"/>
    <w:pPr>
      <w:adjustRightInd w:val="0"/>
      <w:snapToGrid w:val="0"/>
      <w:spacing w:beforeLines="50" w:line="360" w:lineRule="auto"/>
    </w:pPr>
    <w:rPr>
      <w:rFonts w:ascii="黑体" w:eastAsia="黑体"/>
      <w:sz w:val="32"/>
      <w:szCs w:val="32"/>
    </w:rPr>
  </w:style>
  <w:style w:type="paragraph" w:customStyle="1" w:styleId="3718">
    <w:name w:val="表内宋5中111"/>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3719">
    <w:name w:val="表题317"/>
    <w:basedOn w:val="35"/>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3720">
    <w:name w:val="燕山正文31"/>
    <w:basedOn w:val="1"/>
    <w:autoRedefine/>
    <w:qFormat/>
    <w:uiPriority w:val="0"/>
    <w:pPr>
      <w:tabs>
        <w:tab w:val="left" w:pos="4680"/>
      </w:tabs>
      <w:adjustRightInd w:val="0"/>
      <w:snapToGrid w:val="0"/>
      <w:spacing w:line="480" w:lineRule="exact"/>
    </w:pPr>
    <w:rPr>
      <w:rFonts w:ascii="宋体" w:cs="宋体"/>
      <w:sz w:val="24"/>
    </w:rPr>
  </w:style>
  <w:style w:type="paragraph" w:customStyle="1" w:styleId="3721">
    <w:name w:val="正文格式42"/>
    <w:basedOn w:val="1"/>
    <w:autoRedefine/>
    <w:qFormat/>
    <w:uiPriority w:val="0"/>
    <w:pPr>
      <w:spacing w:line="360" w:lineRule="auto"/>
      <w:ind w:firstLine="482"/>
    </w:pPr>
    <w:rPr>
      <w:rFonts w:ascii="宋体" w:hAnsi="宋体"/>
      <w:sz w:val="24"/>
    </w:rPr>
  </w:style>
  <w:style w:type="paragraph" w:customStyle="1" w:styleId="3722">
    <w:name w:val="样式 标题 4无效格式无效格式1河石管道4H4H41小小节河石管道41H42H411小小节1河石管道42..."/>
    <w:basedOn w:val="6"/>
    <w:autoRedefine/>
    <w:qFormat/>
    <w:uiPriority w:val="0"/>
    <w:pPr>
      <w:adjustRightInd w:val="0"/>
      <w:snapToGrid w:val="0"/>
      <w:spacing w:before="0" w:after="0" w:line="360" w:lineRule="auto"/>
      <w:ind w:left="664" w:hanging="864"/>
    </w:pPr>
    <w:rPr>
      <w:rFonts w:ascii="黑体"/>
      <w:b w:val="0"/>
      <w:bCs w:val="0"/>
      <w:sz w:val="24"/>
      <w:szCs w:val="24"/>
    </w:rPr>
  </w:style>
  <w:style w:type="paragraph" w:customStyle="1" w:styleId="3723">
    <w:name w:val="主要条文"/>
    <w:basedOn w:val="1"/>
    <w:autoRedefine/>
    <w:qFormat/>
    <w:uiPriority w:val="0"/>
    <w:pPr>
      <w:tabs>
        <w:tab w:val="left" w:pos="1260"/>
        <w:tab w:val="left" w:pos="3312"/>
      </w:tabs>
      <w:ind w:left="3312" w:hanging="432"/>
    </w:pPr>
    <w:rPr>
      <w:sz w:val="24"/>
    </w:rPr>
  </w:style>
  <w:style w:type="paragraph" w:customStyle="1" w:styleId="3724">
    <w:name w:val="Char232"/>
    <w:basedOn w:val="1"/>
    <w:autoRedefine/>
    <w:qFormat/>
    <w:uiPriority w:val="0"/>
    <w:pPr>
      <w:ind w:left="-48"/>
    </w:pPr>
  </w:style>
  <w:style w:type="paragraph" w:customStyle="1" w:styleId="3725">
    <w:name w:val="表题2111"/>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3726">
    <w:name w:val="表题2113"/>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3727">
    <w:name w:val="Char1 Char Char Char Char Char1 Char1"/>
    <w:basedOn w:val="1"/>
    <w:autoRedefine/>
    <w:qFormat/>
    <w:uiPriority w:val="0"/>
    <w:rPr>
      <w:szCs w:val="21"/>
    </w:rPr>
  </w:style>
  <w:style w:type="paragraph" w:customStyle="1" w:styleId="3728">
    <w:name w:val="xl749"/>
    <w:basedOn w:val="1"/>
    <w:autoRedefine/>
    <w:qFormat/>
    <w:uiPriority w:val="0"/>
    <w:pPr>
      <w:widowControl/>
      <w:spacing w:before="100" w:beforeAutospacing="1" w:after="100" w:afterAutospacing="1"/>
      <w:jc w:val="center"/>
    </w:pPr>
    <w:rPr>
      <w:rFonts w:ascii="Courier New" w:hAnsi="Courier New" w:eastAsia="Arial Unicode MS"/>
      <w:b/>
      <w:bCs/>
      <w:kern w:val="0"/>
      <w:sz w:val="44"/>
      <w:szCs w:val="44"/>
    </w:rPr>
  </w:style>
  <w:style w:type="paragraph" w:customStyle="1" w:styleId="3729">
    <w:name w:val="样式 表格内字体 +1"/>
    <w:basedOn w:val="415"/>
    <w:autoRedefine/>
    <w:qFormat/>
    <w:uiPriority w:val="0"/>
    <w:pPr>
      <w:spacing w:line="280" w:lineRule="exact"/>
      <w:ind w:firstLine="36"/>
      <w:jc w:val="both"/>
    </w:pPr>
  </w:style>
  <w:style w:type="paragraph" w:customStyle="1" w:styleId="3730">
    <w:name w:val="黑体三号24"/>
    <w:basedOn w:val="416"/>
    <w:autoRedefine/>
    <w:qFormat/>
    <w:uiPriority w:val="0"/>
    <w:pPr>
      <w:jc w:val="center"/>
    </w:pPr>
    <w:rPr>
      <w:rFonts w:ascii="黑体" w:hAnsi="宋体" w:eastAsia="黑体" w:cs="宋体"/>
      <w:bCs/>
      <w:spacing w:val="0"/>
      <w:sz w:val="32"/>
    </w:rPr>
  </w:style>
  <w:style w:type="paragraph" w:customStyle="1" w:styleId="3731">
    <w:name w:val="样式 chen + 首行缩进:  2 字符"/>
    <w:basedOn w:val="1"/>
    <w:autoRedefine/>
    <w:qFormat/>
    <w:uiPriority w:val="0"/>
    <w:pPr>
      <w:spacing w:line="500" w:lineRule="exact"/>
      <w:ind w:firstLine="560" w:firstLineChars="200"/>
    </w:pPr>
    <w:rPr>
      <w:rFonts w:cs="宋体"/>
      <w:color w:val="000000"/>
      <w:sz w:val="28"/>
      <w:szCs w:val="20"/>
    </w:rPr>
  </w:style>
  <w:style w:type="paragraph" w:customStyle="1" w:styleId="3732">
    <w:name w:val="表内宋5中12"/>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3733">
    <w:name w:val="Char8"/>
    <w:basedOn w:val="1"/>
    <w:autoRedefine/>
    <w:qFormat/>
    <w:uiPriority w:val="0"/>
    <w:pPr>
      <w:ind w:left="-48"/>
    </w:pPr>
  </w:style>
  <w:style w:type="paragraph" w:customStyle="1" w:styleId="3734">
    <w:name w:val="Char Char Char1 Char Char Char Char Char Char Char Char Char Char Char Char Char Char Char Char"/>
    <w:basedOn w:val="1"/>
    <w:autoRedefine/>
    <w:qFormat/>
    <w:uiPriority w:val="0"/>
    <w:pPr>
      <w:spacing w:line="240" w:lineRule="exact"/>
      <w:ind w:firstLine="200" w:firstLineChars="200"/>
    </w:pPr>
    <w:rPr>
      <w:sz w:val="28"/>
      <w:szCs w:val="28"/>
    </w:rPr>
  </w:style>
  <w:style w:type="paragraph" w:customStyle="1" w:styleId="3735">
    <w:name w:val="Char81"/>
    <w:basedOn w:val="1"/>
    <w:autoRedefine/>
    <w:qFormat/>
    <w:uiPriority w:val="0"/>
    <w:pPr>
      <w:ind w:left="-48"/>
    </w:pPr>
  </w:style>
  <w:style w:type="paragraph" w:customStyle="1" w:styleId="3736">
    <w:name w:val="燕山正文4"/>
    <w:basedOn w:val="1"/>
    <w:autoRedefine/>
    <w:qFormat/>
    <w:uiPriority w:val="0"/>
    <w:pPr>
      <w:tabs>
        <w:tab w:val="left" w:pos="4680"/>
      </w:tabs>
      <w:adjustRightInd w:val="0"/>
      <w:snapToGrid w:val="0"/>
      <w:spacing w:line="480" w:lineRule="exact"/>
    </w:pPr>
    <w:rPr>
      <w:rFonts w:ascii="宋体" w:cs="宋体"/>
      <w:sz w:val="24"/>
    </w:rPr>
  </w:style>
  <w:style w:type="paragraph" w:customStyle="1" w:styleId="3737">
    <w:name w:val="表内5中41"/>
    <w:basedOn w:val="1"/>
    <w:autoRedefine/>
    <w:qFormat/>
    <w:uiPriority w:val="0"/>
    <w:pPr>
      <w:adjustRightInd w:val="0"/>
      <w:snapToGrid w:val="0"/>
      <w:jc w:val="center"/>
    </w:pPr>
    <w:rPr>
      <w:rFonts w:ascii="宋体"/>
      <w:bCs/>
      <w:szCs w:val="20"/>
    </w:rPr>
  </w:style>
  <w:style w:type="paragraph" w:customStyle="1" w:styleId="3738">
    <w:name w:val="表题16"/>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3739">
    <w:name w:val="表文字57"/>
    <w:basedOn w:val="1"/>
    <w:autoRedefine/>
    <w:qFormat/>
    <w:uiPriority w:val="0"/>
    <w:pPr>
      <w:adjustRightInd w:val="0"/>
      <w:jc w:val="left"/>
      <w:textAlignment w:val="baseline"/>
    </w:pPr>
    <w:rPr>
      <w:rFonts w:ascii="宋体"/>
      <w:kern w:val="0"/>
      <w:szCs w:val="20"/>
    </w:rPr>
  </w:style>
  <w:style w:type="paragraph" w:customStyle="1" w:styleId="3740">
    <w:name w:val="正文格式73"/>
    <w:basedOn w:val="1"/>
    <w:autoRedefine/>
    <w:qFormat/>
    <w:uiPriority w:val="0"/>
    <w:pPr>
      <w:spacing w:line="360" w:lineRule="auto"/>
      <w:ind w:firstLine="482"/>
    </w:pPr>
    <w:rPr>
      <w:rFonts w:ascii="宋体" w:hAnsi="宋体"/>
      <w:sz w:val="24"/>
    </w:rPr>
  </w:style>
  <w:style w:type="paragraph" w:customStyle="1" w:styleId="3741">
    <w:name w:val="Char151"/>
    <w:basedOn w:val="1"/>
    <w:autoRedefine/>
    <w:qFormat/>
    <w:uiPriority w:val="0"/>
    <w:pPr>
      <w:adjustRightInd w:val="0"/>
      <w:snapToGrid w:val="0"/>
      <w:spacing w:beforeLines="50" w:line="360" w:lineRule="auto"/>
    </w:pPr>
    <w:rPr>
      <w:rFonts w:ascii="黑体" w:eastAsia="黑体"/>
      <w:sz w:val="32"/>
      <w:szCs w:val="32"/>
    </w:rPr>
  </w:style>
  <w:style w:type="paragraph" w:customStyle="1" w:styleId="3742">
    <w:name w:val="Char141"/>
    <w:basedOn w:val="1"/>
    <w:autoRedefine/>
    <w:qFormat/>
    <w:uiPriority w:val="0"/>
    <w:pPr>
      <w:ind w:left="-48"/>
    </w:pPr>
  </w:style>
  <w:style w:type="paragraph" w:customStyle="1" w:styleId="3743">
    <w:name w:val="标题43"/>
    <w:basedOn w:val="1"/>
    <w:autoRedefine/>
    <w:qFormat/>
    <w:uiPriority w:val="0"/>
    <w:pPr>
      <w:adjustRightInd w:val="0"/>
      <w:snapToGrid w:val="0"/>
      <w:spacing w:line="300" w:lineRule="auto"/>
      <w:jc w:val="left"/>
    </w:pPr>
    <w:rPr>
      <w:rFonts w:ascii="黑体" w:eastAsia="黑体"/>
      <w:bCs/>
      <w:sz w:val="24"/>
    </w:rPr>
  </w:style>
  <w:style w:type="paragraph" w:customStyle="1" w:styleId="3744">
    <w:name w:val="正文缩4"/>
    <w:basedOn w:val="1"/>
    <w:autoRedefine/>
    <w:qFormat/>
    <w:uiPriority w:val="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3745">
    <w:name w:val="表内文字小2111"/>
    <w:basedOn w:val="1"/>
    <w:autoRedefine/>
    <w:qFormat/>
    <w:uiPriority w:val="0"/>
    <w:pPr>
      <w:adjustRightInd w:val="0"/>
      <w:snapToGrid w:val="0"/>
      <w:jc w:val="center"/>
    </w:pPr>
    <w:rPr>
      <w:rFonts w:ascii="宋体" w:hAnsi="Times"/>
      <w:bCs/>
      <w:color w:val="000000"/>
      <w:szCs w:val="20"/>
    </w:rPr>
  </w:style>
  <w:style w:type="paragraph" w:customStyle="1" w:styleId="3746">
    <w:name w:val="Char Char Char Char Char Char Char151"/>
    <w:basedOn w:val="1"/>
    <w:autoRedefine/>
    <w:qFormat/>
    <w:uiPriority w:val="0"/>
    <w:rPr>
      <w:szCs w:val="20"/>
    </w:rPr>
  </w:style>
  <w:style w:type="paragraph" w:customStyle="1" w:styleId="3747">
    <w:name w:val="正文格式＝14"/>
    <w:basedOn w:val="416"/>
    <w:next w:val="416"/>
    <w:autoRedefine/>
    <w:qFormat/>
    <w:uiPriority w:val="0"/>
    <w:rPr>
      <w:rFonts w:ascii="宋体" w:hAnsi="宋体"/>
      <w:b w:val="0"/>
      <w:spacing w:val="0"/>
      <w:sz w:val="24"/>
      <w:szCs w:val="24"/>
    </w:rPr>
  </w:style>
  <w:style w:type="paragraph" w:customStyle="1" w:styleId="3748">
    <w:name w:val="样式123"/>
    <w:basedOn w:val="1604"/>
    <w:autoRedefine/>
    <w:qFormat/>
    <w:uiPriority w:val="0"/>
    <w:pPr>
      <w:spacing w:line="240" w:lineRule="auto"/>
      <w:ind w:firstLine="0"/>
      <w:jc w:val="center"/>
    </w:pPr>
    <w:rPr>
      <w:rFonts w:cs="Times New Roman"/>
      <w:b/>
      <w:color w:val="auto"/>
      <w:szCs w:val="20"/>
    </w:rPr>
  </w:style>
  <w:style w:type="paragraph" w:customStyle="1" w:styleId="3749">
    <w:name w:val="标题431"/>
    <w:basedOn w:val="1"/>
    <w:autoRedefine/>
    <w:qFormat/>
    <w:uiPriority w:val="0"/>
    <w:pPr>
      <w:adjustRightInd w:val="0"/>
      <w:snapToGrid w:val="0"/>
      <w:spacing w:line="480" w:lineRule="exact"/>
      <w:jc w:val="center"/>
    </w:pPr>
    <w:rPr>
      <w:rFonts w:ascii="宋体" w:hAnsi="宋体" w:cs="宋体"/>
      <w:sz w:val="24"/>
    </w:rPr>
  </w:style>
  <w:style w:type="paragraph" w:customStyle="1" w:styleId="3750">
    <w:name w:val="样式 正文缩进 + 宋体 黑色 首行缩进:  2 字符"/>
    <w:basedOn w:val="9"/>
    <w:autoRedefine/>
    <w:qFormat/>
    <w:uiPriority w:val="0"/>
    <w:pPr>
      <w:spacing w:line="360" w:lineRule="auto"/>
      <w:ind w:firstLine="480"/>
      <w:jc w:val="left"/>
    </w:pPr>
    <w:rPr>
      <w:rFonts w:ascii="宋体" w:hAnsi="宋体" w:cs="宋体"/>
      <w:color w:val="FF00FF"/>
      <w:kern w:val="0"/>
      <w:sz w:val="24"/>
      <w:szCs w:val="20"/>
      <w:lang w:val="en-US"/>
    </w:rPr>
  </w:style>
  <w:style w:type="paragraph" w:customStyle="1" w:styleId="3751">
    <w:name w:val="附件"/>
    <w:basedOn w:val="3"/>
    <w:next w:val="416"/>
    <w:autoRedefine/>
    <w:qFormat/>
    <w:uiPriority w:val="0"/>
    <w:pPr>
      <w:keepLines/>
      <w:tabs>
        <w:tab w:val="left" w:pos="1566"/>
      </w:tabs>
      <w:overflowPunct/>
      <w:snapToGrid/>
      <w:spacing w:before="0" w:after="210" w:line="360" w:lineRule="auto"/>
      <w:ind w:left="0" w:firstLine="0"/>
      <w:jc w:val="left"/>
    </w:pPr>
    <w:rPr>
      <w:rFonts w:ascii="黑体" w:hAnsi="宋体"/>
      <w:color w:val="auto"/>
      <w:sz w:val="32"/>
      <w:szCs w:val="32"/>
    </w:rPr>
  </w:style>
  <w:style w:type="paragraph" w:customStyle="1" w:styleId="3752">
    <w:name w:val="正文."/>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753">
    <w:name w:val="正文缩"/>
    <w:basedOn w:val="1"/>
    <w:autoRedefine/>
    <w:qFormat/>
    <w:uiPriority w:val="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3754">
    <w:name w:val="表内5"/>
    <w:basedOn w:val="1"/>
    <w:autoRedefine/>
    <w:qFormat/>
    <w:uiPriority w:val="0"/>
    <w:pPr>
      <w:adjustRightInd w:val="0"/>
      <w:snapToGrid w:val="0"/>
      <w:spacing w:line="300" w:lineRule="auto"/>
      <w:jc w:val="left"/>
    </w:pPr>
    <w:rPr>
      <w:rFonts w:ascii="宋体"/>
      <w:sz w:val="18"/>
      <w:szCs w:val="20"/>
    </w:rPr>
  </w:style>
  <w:style w:type="paragraph" w:customStyle="1" w:styleId="3755">
    <w:name w:val="正文格式＝1"/>
    <w:basedOn w:val="416"/>
    <w:next w:val="416"/>
    <w:autoRedefine/>
    <w:qFormat/>
    <w:uiPriority w:val="0"/>
    <w:rPr>
      <w:rFonts w:ascii="宋体" w:hAnsi="宋体"/>
      <w:b w:val="0"/>
      <w:spacing w:val="0"/>
      <w:sz w:val="24"/>
      <w:szCs w:val="24"/>
    </w:rPr>
  </w:style>
  <w:style w:type="paragraph" w:customStyle="1" w:styleId="3756">
    <w:name w:val="正文格式2"/>
    <w:basedOn w:val="1"/>
    <w:autoRedefine/>
    <w:qFormat/>
    <w:uiPriority w:val="0"/>
    <w:pPr>
      <w:spacing w:line="360" w:lineRule="auto"/>
      <w:ind w:firstLine="482"/>
    </w:pPr>
    <w:rPr>
      <w:rFonts w:ascii="宋体" w:hAnsi="宋体"/>
      <w:sz w:val="24"/>
    </w:rPr>
  </w:style>
  <w:style w:type="paragraph" w:customStyle="1" w:styleId="3757">
    <w:name w:val="表内5411"/>
    <w:basedOn w:val="1"/>
    <w:autoRedefine/>
    <w:qFormat/>
    <w:uiPriority w:val="0"/>
    <w:pPr>
      <w:adjustRightInd w:val="0"/>
      <w:snapToGrid w:val="0"/>
      <w:spacing w:line="300" w:lineRule="auto"/>
      <w:jc w:val="center"/>
    </w:pPr>
    <w:rPr>
      <w:rFonts w:ascii="宋体" w:hAnsi="宋体" w:cs="宋体"/>
      <w:szCs w:val="20"/>
    </w:rPr>
  </w:style>
  <w:style w:type="paragraph" w:customStyle="1" w:styleId="3758">
    <w:name w:val="表格内字体44"/>
    <w:basedOn w:val="416"/>
    <w:next w:val="416"/>
    <w:autoRedefine/>
    <w:qFormat/>
    <w:uiPriority w:val="0"/>
    <w:pPr>
      <w:spacing w:line="240" w:lineRule="auto"/>
      <w:ind w:firstLine="0"/>
      <w:jc w:val="center"/>
    </w:pPr>
    <w:rPr>
      <w:rFonts w:ascii="宋体" w:hAnsi="宋体"/>
      <w:b w:val="0"/>
      <w:spacing w:val="0"/>
      <w:szCs w:val="24"/>
    </w:rPr>
  </w:style>
  <w:style w:type="paragraph" w:customStyle="1" w:styleId="3759">
    <w:name w:val="表题11"/>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3760">
    <w:name w:val="xl244"/>
    <w:basedOn w:val="1"/>
    <w:autoRedefine/>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3761">
    <w:name w:val="表文字51"/>
    <w:basedOn w:val="1"/>
    <w:autoRedefine/>
    <w:qFormat/>
    <w:uiPriority w:val="0"/>
    <w:pPr>
      <w:adjustRightInd w:val="0"/>
      <w:jc w:val="left"/>
      <w:textAlignment w:val="baseline"/>
    </w:pPr>
    <w:rPr>
      <w:rFonts w:ascii="宋体"/>
      <w:kern w:val="0"/>
      <w:szCs w:val="20"/>
    </w:rPr>
  </w:style>
  <w:style w:type="paragraph" w:customStyle="1" w:styleId="3762">
    <w:name w:val="图题3"/>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3763">
    <w:name w:val="燕山正文112"/>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764">
    <w:name w:val="表文字52"/>
    <w:basedOn w:val="1"/>
    <w:autoRedefine/>
    <w:qFormat/>
    <w:uiPriority w:val="0"/>
    <w:pPr>
      <w:adjustRightInd w:val="0"/>
      <w:jc w:val="left"/>
      <w:textAlignment w:val="baseline"/>
    </w:pPr>
    <w:rPr>
      <w:rFonts w:ascii="宋体"/>
      <w:kern w:val="0"/>
      <w:szCs w:val="20"/>
    </w:rPr>
  </w:style>
  <w:style w:type="paragraph" w:customStyle="1" w:styleId="3765">
    <w:name w:val="表题111"/>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3766">
    <w:name w:val="图题4"/>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3767">
    <w:name w:val="默认段落字体 Para Char Char Char Char11"/>
    <w:basedOn w:val="1"/>
    <w:autoRedefine/>
    <w:qFormat/>
    <w:uiPriority w:val="0"/>
  </w:style>
  <w:style w:type="paragraph" w:customStyle="1" w:styleId="3768">
    <w:name w:val="燕山正文113"/>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3769">
    <w:name w:val="表格内字体5"/>
    <w:basedOn w:val="416"/>
    <w:next w:val="416"/>
    <w:autoRedefine/>
    <w:qFormat/>
    <w:uiPriority w:val="0"/>
    <w:pPr>
      <w:adjustRightInd w:val="0"/>
      <w:snapToGrid w:val="0"/>
      <w:spacing w:line="240" w:lineRule="auto"/>
      <w:ind w:firstLine="0"/>
    </w:pPr>
    <w:rPr>
      <w:rFonts w:ascii="宋体" w:hAnsi="宋体"/>
      <w:b w:val="0"/>
      <w:spacing w:val="0"/>
      <w:szCs w:val="24"/>
    </w:rPr>
  </w:style>
  <w:style w:type="paragraph" w:customStyle="1" w:styleId="3770">
    <w:name w:val="表内5413"/>
    <w:basedOn w:val="1"/>
    <w:autoRedefine/>
    <w:qFormat/>
    <w:uiPriority w:val="0"/>
    <w:pPr>
      <w:adjustRightInd w:val="0"/>
      <w:snapToGrid w:val="0"/>
      <w:spacing w:line="300" w:lineRule="auto"/>
      <w:jc w:val="center"/>
    </w:pPr>
    <w:rPr>
      <w:rFonts w:ascii="宋体" w:hAnsi="宋体" w:cs="宋体"/>
      <w:szCs w:val="20"/>
    </w:rPr>
  </w:style>
  <w:style w:type="paragraph" w:customStyle="1" w:styleId="3771">
    <w:name w:val="表内文字小8"/>
    <w:basedOn w:val="1"/>
    <w:autoRedefine/>
    <w:qFormat/>
    <w:uiPriority w:val="0"/>
    <w:pPr>
      <w:adjustRightInd w:val="0"/>
      <w:snapToGrid w:val="0"/>
      <w:jc w:val="center"/>
    </w:pPr>
    <w:rPr>
      <w:rFonts w:ascii="宋体" w:hAnsi="Times" w:cs="宋体"/>
      <w:szCs w:val="20"/>
    </w:rPr>
  </w:style>
  <w:style w:type="paragraph" w:customStyle="1" w:styleId="3772">
    <w:name w:val="表文字531"/>
    <w:basedOn w:val="1"/>
    <w:autoRedefine/>
    <w:qFormat/>
    <w:uiPriority w:val="0"/>
    <w:pPr>
      <w:adjustRightInd w:val="0"/>
      <w:jc w:val="left"/>
      <w:textAlignment w:val="baseline"/>
    </w:pPr>
    <w:rPr>
      <w:rFonts w:ascii="宋体"/>
      <w:kern w:val="0"/>
      <w:szCs w:val="20"/>
    </w:rPr>
  </w:style>
  <w:style w:type="paragraph" w:customStyle="1" w:styleId="3773">
    <w:name w:val="表内宋51111"/>
    <w:basedOn w:val="81"/>
    <w:autoRedefine/>
    <w:qFormat/>
    <w:uiPriority w:val="0"/>
    <w:pPr>
      <w:adjustRightInd w:val="0"/>
      <w:snapToGrid w:val="0"/>
      <w:spacing w:before="0" w:beforeAutospacing="0" w:after="0" w:afterAutospacing="0"/>
      <w:jc w:val="both"/>
    </w:pPr>
    <w:rPr>
      <w:rFonts w:cs="宋体"/>
      <w:color w:val="000000"/>
      <w:sz w:val="21"/>
      <w:szCs w:val="24"/>
      <w:lang w:val="en-US"/>
    </w:rPr>
  </w:style>
  <w:style w:type="paragraph" w:customStyle="1" w:styleId="3774">
    <w:name w:val="Char Char2 Char Char Char Char1"/>
    <w:basedOn w:val="1"/>
    <w:autoRedefine/>
    <w:qFormat/>
    <w:uiPriority w:val="0"/>
  </w:style>
  <w:style w:type="paragraph" w:customStyle="1" w:styleId="3775">
    <w:name w:val="图题31"/>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3776">
    <w:name w:val="表格内字体51"/>
    <w:basedOn w:val="416"/>
    <w:next w:val="416"/>
    <w:autoRedefine/>
    <w:qFormat/>
    <w:uiPriority w:val="0"/>
    <w:pPr>
      <w:adjustRightInd w:val="0"/>
      <w:snapToGrid w:val="0"/>
      <w:spacing w:line="240" w:lineRule="auto"/>
      <w:ind w:firstLine="0"/>
    </w:pPr>
    <w:rPr>
      <w:rFonts w:ascii="宋体" w:hAnsi="宋体"/>
      <w:b w:val="0"/>
      <w:spacing w:val="0"/>
      <w:szCs w:val="24"/>
    </w:rPr>
  </w:style>
  <w:style w:type="paragraph" w:customStyle="1" w:styleId="3777">
    <w:name w:val="表格内字体7"/>
    <w:basedOn w:val="416"/>
    <w:next w:val="416"/>
    <w:autoRedefine/>
    <w:qFormat/>
    <w:uiPriority w:val="0"/>
    <w:pPr>
      <w:spacing w:line="240" w:lineRule="auto"/>
      <w:ind w:firstLine="0"/>
      <w:jc w:val="center"/>
    </w:pPr>
    <w:rPr>
      <w:rFonts w:ascii="宋体" w:hAnsi="宋体"/>
      <w:b w:val="0"/>
      <w:spacing w:val="0"/>
      <w:szCs w:val="24"/>
    </w:rPr>
  </w:style>
  <w:style w:type="paragraph" w:customStyle="1" w:styleId="3778">
    <w:name w:val="默认段落字体 Para Char Char Char Char5"/>
    <w:basedOn w:val="1"/>
    <w:autoRedefine/>
    <w:qFormat/>
    <w:uiPriority w:val="0"/>
  </w:style>
  <w:style w:type="paragraph" w:customStyle="1" w:styleId="3779">
    <w:name w:val="附件24"/>
    <w:basedOn w:val="3"/>
    <w:next w:val="416"/>
    <w:autoRedefine/>
    <w:qFormat/>
    <w:uiPriority w:val="0"/>
    <w:pPr>
      <w:keepLines/>
      <w:tabs>
        <w:tab w:val="left" w:pos="1566"/>
      </w:tabs>
      <w:overflowPunct/>
      <w:snapToGrid/>
      <w:spacing w:before="0" w:after="210" w:line="360" w:lineRule="auto"/>
      <w:ind w:left="0" w:firstLine="0"/>
      <w:jc w:val="left"/>
    </w:pPr>
    <w:rPr>
      <w:rFonts w:ascii="黑体" w:hAnsi="宋体"/>
      <w:b w:val="0"/>
      <w:color w:val="auto"/>
      <w:sz w:val="32"/>
      <w:szCs w:val="32"/>
    </w:rPr>
  </w:style>
  <w:style w:type="paragraph" w:customStyle="1" w:styleId="3780">
    <w:name w:val="燕山正文13"/>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3781">
    <w:name w:val="表格内字体111"/>
    <w:basedOn w:val="416"/>
    <w:autoRedefine/>
    <w:qFormat/>
    <w:uiPriority w:val="0"/>
    <w:pPr>
      <w:spacing w:line="240" w:lineRule="auto"/>
      <w:ind w:firstLine="0"/>
      <w:jc w:val="center"/>
    </w:pPr>
    <w:rPr>
      <w:rFonts w:ascii="宋体" w:hAnsi="Times New Roman" w:cs="宋体"/>
      <w:b w:val="0"/>
      <w:spacing w:val="0"/>
    </w:rPr>
  </w:style>
  <w:style w:type="paragraph" w:customStyle="1" w:styleId="3782">
    <w:name w:val="默认段落字体 Para Char31"/>
    <w:basedOn w:val="1"/>
    <w:autoRedefine/>
    <w:qFormat/>
    <w:uiPriority w:val="0"/>
    <w:pPr>
      <w:spacing w:line="360" w:lineRule="auto"/>
      <w:ind w:firstLine="200" w:firstLineChars="200"/>
    </w:pPr>
    <w:rPr>
      <w:rFonts w:ascii="宋体" w:hAnsi="宋体" w:cs="宋体"/>
      <w:sz w:val="24"/>
    </w:rPr>
  </w:style>
  <w:style w:type="paragraph" w:customStyle="1" w:styleId="3783">
    <w:name w:val="Char Char Char Char1 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784">
    <w:name w:val="Char43"/>
    <w:basedOn w:val="1"/>
    <w:autoRedefine/>
    <w:qFormat/>
    <w:uiPriority w:val="0"/>
    <w:pPr>
      <w:ind w:left="-48"/>
    </w:pPr>
  </w:style>
  <w:style w:type="paragraph" w:customStyle="1" w:styleId="3785">
    <w:name w:val="表内54124"/>
    <w:basedOn w:val="1"/>
    <w:autoRedefine/>
    <w:qFormat/>
    <w:uiPriority w:val="0"/>
    <w:pPr>
      <w:adjustRightInd w:val="0"/>
      <w:snapToGrid w:val="0"/>
      <w:spacing w:line="300" w:lineRule="auto"/>
      <w:jc w:val="center"/>
    </w:pPr>
    <w:rPr>
      <w:rFonts w:ascii="宋体" w:hAnsi="宋体" w:cs="宋体"/>
      <w:szCs w:val="20"/>
    </w:rPr>
  </w:style>
  <w:style w:type="paragraph" w:customStyle="1" w:styleId="3786">
    <w:name w:val="正文修改5"/>
    <w:basedOn w:val="192"/>
    <w:autoRedefine/>
    <w:qFormat/>
    <w:uiPriority w:val="0"/>
    <w:rPr>
      <w:rFonts w:hAnsi="宋体"/>
      <w:color w:val="000000"/>
    </w:rPr>
  </w:style>
  <w:style w:type="paragraph" w:customStyle="1" w:styleId="3787">
    <w:name w:val="表格11"/>
    <w:basedOn w:val="1"/>
    <w:autoRedefine/>
    <w:qFormat/>
    <w:uiPriority w:val="0"/>
    <w:pPr>
      <w:adjustRightInd w:val="0"/>
      <w:jc w:val="center"/>
      <w:textAlignment w:val="baseline"/>
    </w:pPr>
    <w:rPr>
      <w:rFonts w:ascii="宋体"/>
      <w:kern w:val="0"/>
      <w:sz w:val="24"/>
      <w:szCs w:val="20"/>
    </w:rPr>
  </w:style>
  <w:style w:type="paragraph" w:customStyle="1" w:styleId="3788">
    <w:name w:val="黑体三号8"/>
    <w:basedOn w:val="416"/>
    <w:autoRedefine/>
    <w:qFormat/>
    <w:uiPriority w:val="0"/>
    <w:pPr>
      <w:jc w:val="center"/>
    </w:pPr>
    <w:rPr>
      <w:rFonts w:ascii="黑体" w:hAnsi="宋体" w:eastAsia="黑体" w:cs="宋体"/>
      <w:bCs/>
      <w:spacing w:val="0"/>
      <w:sz w:val="32"/>
    </w:rPr>
  </w:style>
  <w:style w:type="paragraph" w:customStyle="1" w:styleId="3789">
    <w:name w:val="表内54114"/>
    <w:basedOn w:val="1"/>
    <w:autoRedefine/>
    <w:qFormat/>
    <w:uiPriority w:val="0"/>
    <w:pPr>
      <w:adjustRightInd w:val="0"/>
      <w:snapToGrid w:val="0"/>
      <w:spacing w:line="300" w:lineRule="auto"/>
      <w:jc w:val="center"/>
    </w:pPr>
    <w:rPr>
      <w:rFonts w:ascii="宋体" w:hAnsi="宋体" w:cs="宋体"/>
      <w:szCs w:val="20"/>
    </w:rPr>
  </w:style>
  <w:style w:type="paragraph" w:customStyle="1" w:styleId="3790">
    <w:name w:val="表内591"/>
    <w:basedOn w:val="1"/>
    <w:autoRedefine/>
    <w:qFormat/>
    <w:uiPriority w:val="0"/>
    <w:pPr>
      <w:adjustRightInd w:val="0"/>
      <w:snapToGrid w:val="0"/>
      <w:spacing w:line="300" w:lineRule="auto"/>
      <w:jc w:val="center"/>
    </w:pPr>
    <w:rPr>
      <w:rFonts w:ascii="宋体"/>
      <w:snapToGrid w:val="0"/>
      <w:szCs w:val="21"/>
    </w:rPr>
  </w:style>
  <w:style w:type="paragraph" w:customStyle="1" w:styleId="3791">
    <w:name w:val="正文格式1111"/>
    <w:basedOn w:val="1"/>
    <w:autoRedefine/>
    <w:qFormat/>
    <w:uiPriority w:val="0"/>
    <w:pPr>
      <w:spacing w:line="360" w:lineRule="auto"/>
      <w:ind w:firstLine="482"/>
    </w:pPr>
    <w:rPr>
      <w:rFonts w:ascii="宋体" w:hAnsi="宋体"/>
      <w:sz w:val="24"/>
    </w:rPr>
  </w:style>
  <w:style w:type="paragraph" w:customStyle="1" w:styleId="3792">
    <w:name w:val="Char Char Char Char Char Char Char2111"/>
    <w:basedOn w:val="1"/>
    <w:autoRedefine/>
    <w:qFormat/>
    <w:uiPriority w:val="0"/>
  </w:style>
  <w:style w:type="paragraph" w:customStyle="1" w:styleId="3793">
    <w:name w:val="Char Char Char Char Char Char Char1111"/>
    <w:basedOn w:val="1"/>
    <w:autoRedefine/>
    <w:qFormat/>
    <w:uiPriority w:val="0"/>
  </w:style>
  <w:style w:type="paragraph" w:customStyle="1" w:styleId="3794">
    <w:name w:val="样式 标题 4无效格式无效格式1河石管道4H4H41小小节河石管道41H42H411小小节1河石管道42...11"/>
    <w:basedOn w:val="6"/>
    <w:autoRedefine/>
    <w:qFormat/>
    <w:uiPriority w:val="0"/>
    <w:pPr>
      <w:adjustRightInd w:val="0"/>
      <w:snapToGrid w:val="0"/>
      <w:spacing w:before="0" w:after="0" w:line="360" w:lineRule="auto"/>
      <w:ind w:left="664" w:hanging="864"/>
      <w:jc w:val="left"/>
    </w:pPr>
    <w:rPr>
      <w:rFonts w:ascii="黑体" w:cs="宋体"/>
      <w:b w:val="0"/>
      <w:bCs w:val="0"/>
      <w:sz w:val="24"/>
      <w:szCs w:val="20"/>
    </w:rPr>
  </w:style>
  <w:style w:type="paragraph" w:customStyle="1" w:styleId="3795">
    <w:name w:val="表题411"/>
    <w:basedOn w:val="35"/>
    <w:autoRedefine/>
    <w:qFormat/>
    <w:uiPriority w:val="0"/>
    <w:pPr>
      <w:tabs>
        <w:tab w:val="left" w:pos="4305"/>
      </w:tabs>
      <w:adjustRightInd w:val="0"/>
      <w:snapToGrid w:val="0"/>
      <w:spacing w:after="0"/>
      <w:ind w:left="0" w:leftChars="0"/>
      <w:jc w:val="center"/>
    </w:pPr>
    <w:rPr>
      <w:rFonts w:ascii="宋体" w:hAnsi="宋体" w:cs="宋体"/>
      <w:color w:val="000000"/>
      <w:szCs w:val="24"/>
      <w:lang w:val="en-US"/>
    </w:rPr>
  </w:style>
  <w:style w:type="paragraph" w:customStyle="1" w:styleId="3796">
    <w:name w:val="正文2111"/>
    <w:autoRedefine/>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797">
    <w:name w:val="Char Char Char Char1 Char Char Char3"/>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798">
    <w:name w:val="默认段落字体 Para Char23"/>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799">
    <w:name w:val="文本框2"/>
    <w:basedOn w:val="1"/>
    <w:autoRedefine/>
    <w:qFormat/>
    <w:uiPriority w:val="0"/>
    <w:pPr>
      <w:adjustRightInd w:val="0"/>
      <w:snapToGrid w:val="0"/>
      <w:spacing w:after="6"/>
      <w:jc w:val="center"/>
    </w:pPr>
    <w:rPr>
      <w:rFonts w:eastAsia="仿宋_GB2312"/>
    </w:rPr>
  </w:style>
  <w:style w:type="paragraph" w:customStyle="1" w:styleId="3800">
    <w:name w:val="表4"/>
    <w:basedOn w:val="1"/>
    <w:autoRedefine/>
    <w:qFormat/>
    <w:uiPriority w:val="0"/>
    <w:pPr>
      <w:adjustRightInd w:val="0"/>
      <w:snapToGrid w:val="0"/>
      <w:jc w:val="center"/>
    </w:pPr>
    <w:rPr>
      <w:rFonts w:eastAsia="仿宋_GB2312"/>
      <w:sz w:val="24"/>
    </w:rPr>
  </w:style>
  <w:style w:type="paragraph" w:customStyle="1" w:styleId="3801">
    <w:name w:val="Char131"/>
    <w:basedOn w:val="1"/>
    <w:autoRedefine/>
    <w:qFormat/>
    <w:uiPriority w:val="0"/>
    <w:pPr>
      <w:ind w:left="-48"/>
    </w:pPr>
  </w:style>
  <w:style w:type="paragraph" w:customStyle="1" w:styleId="3802">
    <w:name w:val="黑体三号111"/>
    <w:basedOn w:val="416"/>
    <w:autoRedefine/>
    <w:qFormat/>
    <w:uiPriority w:val="0"/>
    <w:pPr>
      <w:jc w:val="center"/>
    </w:pPr>
    <w:rPr>
      <w:rFonts w:ascii="黑体" w:hAnsi="宋体" w:eastAsia="黑体" w:cs="宋体"/>
      <w:bCs/>
      <w:spacing w:val="0"/>
      <w:sz w:val="32"/>
    </w:rPr>
  </w:style>
  <w:style w:type="paragraph" w:customStyle="1" w:styleId="3803">
    <w:name w:val="表内宋5中121"/>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3804">
    <w:name w:val="表题1121"/>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3805">
    <w:name w:val="表内宋51"/>
    <w:basedOn w:val="1718"/>
    <w:autoRedefine/>
    <w:qFormat/>
    <w:uiPriority w:val="0"/>
    <w:pPr>
      <w:widowControl/>
      <w:autoSpaceDE w:val="0"/>
      <w:autoSpaceDN w:val="0"/>
      <w:jc w:val="left"/>
      <w:textAlignment w:val="auto"/>
    </w:pPr>
    <w:rPr>
      <w:color w:val="auto"/>
      <w:w w:val="90"/>
    </w:rPr>
  </w:style>
  <w:style w:type="paragraph" w:customStyle="1" w:styleId="3806">
    <w:name w:val="表内文字小2134"/>
    <w:basedOn w:val="1"/>
    <w:autoRedefine/>
    <w:qFormat/>
    <w:uiPriority w:val="0"/>
    <w:pPr>
      <w:adjustRightInd w:val="0"/>
      <w:snapToGrid w:val="0"/>
      <w:jc w:val="center"/>
      <w:textAlignment w:val="baseline"/>
    </w:pPr>
    <w:rPr>
      <w:rFonts w:ascii="宋体" w:hAnsi="Times"/>
      <w:bCs/>
      <w:color w:val="000000"/>
      <w:szCs w:val="20"/>
    </w:rPr>
  </w:style>
  <w:style w:type="paragraph" w:customStyle="1" w:styleId="3807">
    <w:name w:val="Char Char Char Char1 Char Char Char7"/>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808">
    <w:name w:val="正文格式＝11"/>
    <w:basedOn w:val="416"/>
    <w:next w:val="416"/>
    <w:autoRedefine/>
    <w:qFormat/>
    <w:uiPriority w:val="0"/>
    <w:rPr>
      <w:rFonts w:ascii="宋体" w:hAnsi="宋体"/>
      <w:b w:val="0"/>
      <w:spacing w:val="0"/>
      <w:sz w:val="24"/>
      <w:szCs w:val="24"/>
    </w:rPr>
  </w:style>
  <w:style w:type="paragraph" w:customStyle="1" w:styleId="3809">
    <w:name w:val="正文格式24"/>
    <w:basedOn w:val="1"/>
    <w:autoRedefine/>
    <w:qFormat/>
    <w:uiPriority w:val="0"/>
    <w:pPr>
      <w:spacing w:line="360" w:lineRule="auto"/>
      <w:ind w:firstLine="482"/>
    </w:pPr>
    <w:rPr>
      <w:rFonts w:ascii="宋体" w:hAnsi="宋体"/>
      <w:sz w:val="24"/>
    </w:rPr>
  </w:style>
  <w:style w:type="paragraph" w:customStyle="1" w:styleId="3810">
    <w:name w:val="图题22"/>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3811">
    <w:name w:val="Char213"/>
    <w:basedOn w:val="1"/>
    <w:autoRedefine/>
    <w:qFormat/>
    <w:uiPriority w:val="0"/>
    <w:pPr>
      <w:ind w:left="-48"/>
    </w:pPr>
  </w:style>
  <w:style w:type="paragraph" w:customStyle="1" w:styleId="3812">
    <w:name w:val="Char Char Char Char Char Char Char311"/>
    <w:basedOn w:val="1"/>
    <w:autoRedefine/>
    <w:qFormat/>
    <w:uiPriority w:val="0"/>
  </w:style>
  <w:style w:type="paragraph" w:customStyle="1" w:styleId="3813">
    <w:name w:val="正文格式41"/>
    <w:basedOn w:val="1"/>
    <w:autoRedefine/>
    <w:qFormat/>
    <w:uiPriority w:val="0"/>
    <w:pPr>
      <w:spacing w:line="360" w:lineRule="auto"/>
      <w:ind w:firstLine="482"/>
    </w:pPr>
    <w:rPr>
      <w:rFonts w:ascii="宋体" w:hAnsi="宋体"/>
      <w:sz w:val="24"/>
    </w:rPr>
  </w:style>
  <w:style w:type="paragraph" w:customStyle="1" w:styleId="3814">
    <w:name w:val="表题1414"/>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3815">
    <w:name w:val="表内宋51121"/>
    <w:basedOn w:val="81"/>
    <w:autoRedefine/>
    <w:qFormat/>
    <w:uiPriority w:val="0"/>
    <w:pPr>
      <w:adjustRightInd w:val="0"/>
      <w:snapToGrid w:val="0"/>
      <w:spacing w:before="0" w:beforeAutospacing="0" w:after="0" w:afterAutospacing="0"/>
      <w:jc w:val="both"/>
    </w:pPr>
    <w:rPr>
      <w:rFonts w:cs="宋体"/>
      <w:color w:val="000000"/>
      <w:sz w:val="21"/>
      <w:szCs w:val="24"/>
      <w:lang w:val="en-US"/>
    </w:rPr>
  </w:style>
  <w:style w:type="paragraph" w:customStyle="1" w:styleId="3816">
    <w:name w:val="Char321"/>
    <w:basedOn w:val="1"/>
    <w:autoRedefine/>
    <w:qFormat/>
    <w:uiPriority w:val="0"/>
    <w:pPr>
      <w:ind w:left="-48"/>
    </w:pPr>
  </w:style>
  <w:style w:type="paragraph" w:customStyle="1" w:styleId="3817">
    <w:name w:val="注释1"/>
    <w:basedOn w:val="416"/>
    <w:next w:val="34"/>
    <w:autoRedefine/>
    <w:qFormat/>
    <w:uiPriority w:val="0"/>
    <w:pPr>
      <w:spacing w:before="120" w:after="120" w:line="240" w:lineRule="auto"/>
      <w:ind w:firstLine="200" w:firstLineChars="200"/>
    </w:pPr>
    <w:rPr>
      <w:rFonts w:ascii="宋体" w:hAnsi="Times New Roman" w:cs="宋体"/>
      <w:b w:val="0"/>
      <w:spacing w:val="0"/>
    </w:rPr>
  </w:style>
  <w:style w:type="paragraph" w:customStyle="1" w:styleId="3818">
    <w:name w:val="表格内字体71"/>
    <w:basedOn w:val="416"/>
    <w:next w:val="416"/>
    <w:autoRedefine/>
    <w:qFormat/>
    <w:uiPriority w:val="0"/>
    <w:pPr>
      <w:spacing w:line="240" w:lineRule="auto"/>
      <w:ind w:firstLine="0"/>
      <w:jc w:val="center"/>
    </w:pPr>
    <w:rPr>
      <w:rFonts w:ascii="宋体" w:hAnsi="宋体"/>
      <w:b w:val="0"/>
      <w:spacing w:val="0"/>
      <w:szCs w:val="24"/>
    </w:rPr>
  </w:style>
  <w:style w:type="paragraph" w:customStyle="1" w:styleId="3819">
    <w:name w:val="默认段落字体 Para Char Char Char Char52"/>
    <w:basedOn w:val="1"/>
    <w:autoRedefine/>
    <w:qFormat/>
    <w:uiPriority w:val="0"/>
  </w:style>
  <w:style w:type="paragraph" w:customStyle="1" w:styleId="3820">
    <w:name w:val="Char91"/>
    <w:basedOn w:val="1"/>
    <w:autoRedefine/>
    <w:qFormat/>
    <w:uiPriority w:val="0"/>
    <w:pPr>
      <w:ind w:left="-48"/>
    </w:pPr>
  </w:style>
  <w:style w:type="paragraph" w:customStyle="1" w:styleId="3821">
    <w:name w:val="环评正文2"/>
    <w:autoRedefine/>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3822">
    <w:name w:val="正文格式＝61"/>
    <w:basedOn w:val="416"/>
    <w:next w:val="416"/>
    <w:autoRedefine/>
    <w:qFormat/>
    <w:uiPriority w:val="0"/>
    <w:rPr>
      <w:rFonts w:ascii="宋体" w:hAnsi="宋体"/>
      <w:b w:val="0"/>
      <w:spacing w:val="0"/>
      <w:sz w:val="24"/>
      <w:szCs w:val="24"/>
    </w:rPr>
  </w:style>
  <w:style w:type="paragraph" w:customStyle="1" w:styleId="3823">
    <w:name w:val="燕山正文41"/>
    <w:basedOn w:val="1"/>
    <w:autoRedefine/>
    <w:qFormat/>
    <w:uiPriority w:val="0"/>
    <w:pPr>
      <w:tabs>
        <w:tab w:val="left" w:pos="4680"/>
      </w:tabs>
      <w:adjustRightInd w:val="0"/>
      <w:snapToGrid w:val="0"/>
      <w:spacing w:line="480" w:lineRule="exact"/>
    </w:pPr>
    <w:rPr>
      <w:rFonts w:ascii="宋体" w:cs="宋体"/>
      <w:sz w:val="24"/>
    </w:rPr>
  </w:style>
  <w:style w:type="paragraph" w:customStyle="1" w:styleId="3824">
    <w:name w:val="正文修改41"/>
    <w:basedOn w:val="192"/>
    <w:autoRedefine/>
    <w:qFormat/>
    <w:uiPriority w:val="0"/>
    <w:rPr>
      <w:rFonts w:hAnsi="宋体"/>
      <w:color w:val="000000"/>
    </w:rPr>
  </w:style>
  <w:style w:type="paragraph" w:customStyle="1" w:styleId="3825">
    <w:name w:val="表中文字51"/>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826">
    <w:name w:val="表内小5中11"/>
    <w:basedOn w:val="1"/>
    <w:autoRedefine/>
    <w:qFormat/>
    <w:uiPriority w:val="0"/>
    <w:pPr>
      <w:adjustRightInd w:val="0"/>
      <w:snapToGrid w:val="0"/>
      <w:jc w:val="center"/>
    </w:pPr>
    <w:rPr>
      <w:rFonts w:ascii="宋体" w:hAnsi="宋体"/>
      <w:sz w:val="18"/>
      <w:szCs w:val="20"/>
    </w:rPr>
  </w:style>
  <w:style w:type="paragraph" w:customStyle="1" w:styleId="3827">
    <w:name w:val="样式 标题 4无效格式无效格式1河石管道4H4H41小小节河石管道41H42H411小小节1河石管道42...13"/>
    <w:basedOn w:val="6"/>
    <w:autoRedefine/>
    <w:qFormat/>
    <w:uiPriority w:val="0"/>
    <w:pPr>
      <w:adjustRightInd w:val="0"/>
      <w:snapToGrid w:val="0"/>
      <w:spacing w:before="0" w:after="0" w:line="360" w:lineRule="auto"/>
      <w:ind w:left="664" w:hanging="864"/>
      <w:jc w:val="left"/>
    </w:pPr>
    <w:rPr>
      <w:rFonts w:ascii="黑体" w:cs="宋体"/>
      <w:b w:val="0"/>
      <w:bCs w:val="0"/>
      <w:sz w:val="24"/>
      <w:szCs w:val="20"/>
    </w:rPr>
  </w:style>
  <w:style w:type="paragraph" w:customStyle="1" w:styleId="3828">
    <w:name w:val="c12"/>
    <w:autoRedefine/>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3829">
    <w:name w:val="默认段落字体 Para Char Char Char Char51"/>
    <w:basedOn w:val="1"/>
    <w:autoRedefine/>
    <w:qFormat/>
    <w:uiPriority w:val="0"/>
  </w:style>
  <w:style w:type="paragraph" w:customStyle="1" w:styleId="3830">
    <w:name w:val="表内文字小14"/>
    <w:basedOn w:val="1"/>
    <w:autoRedefine/>
    <w:qFormat/>
    <w:uiPriority w:val="0"/>
    <w:pPr>
      <w:adjustRightInd w:val="0"/>
      <w:snapToGrid w:val="0"/>
      <w:jc w:val="center"/>
    </w:pPr>
    <w:rPr>
      <w:rFonts w:ascii="宋体" w:hAnsi="Times"/>
      <w:szCs w:val="20"/>
    </w:rPr>
  </w:style>
  <w:style w:type="paragraph" w:customStyle="1" w:styleId="3831">
    <w:name w:val="Char101"/>
    <w:basedOn w:val="1"/>
    <w:autoRedefine/>
    <w:qFormat/>
    <w:uiPriority w:val="0"/>
    <w:pPr>
      <w:adjustRightInd w:val="0"/>
      <w:snapToGrid w:val="0"/>
      <w:spacing w:line="360" w:lineRule="auto"/>
    </w:pPr>
  </w:style>
  <w:style w:type="paragraph" w:customStyle="1" w:styleId="3832">
    <w:name w:val="福建正文缩进3"/>
    <w:basedOn w:val="9"/>
    <w:autoRedefine/>
    <w:qFormat/>
    <w:uiPriority w:val="0"/>
    <w:pPr>
      <w:widowControl/>
      <w:tabs>
        <w:tab w:val="left" w:pos="5837"/>
      </w:tabs>
      <w:adjustRightInd w:val="0"/>
      <w:snapToGrid w:val="0"/>
      <w:spacing w:line="480" w:lineRule="exact"/>
      <w:ind w:firstLine="0" w:firstLineChars="0"/>
    </w:pPr>
    <w:rPr>
      <w:rFonts w:ascii="宋体" w:hAnsi="宋体" w:cs="宋体"/>
      <w:color w:val="000000"/>
      <w:kern w:val="0"/>
      <w:sz w:val="24"/>
      <w:lang w:val="en-US"/>
    </w:rPr>
  </w:style>
  <w:style w:type="paragraph" w:customStyle="1" w:styleId="3833">
    <w:name w:val="表内文字小33"/>
    <w:basedOn w:val="1"/>
    <w:autoRedefine/>
    <w:qFormat/>
    <w:uiPriority w:val="0"/>
    <w:pPr>
      <w:adjustRightInd w:val="0"/>
      <w:snapToGrid w:val="0"/>
      <w:jc w:val="center"/>
    </w:pPr>
    <w:rPr>
      <w:rFonts w:ascii="宋体" w:hAnsi="Times"/>
      <w:szCs w:val="20"/>
    </w:rPr>
  </w:style>
  <w:style w:type="paragraph" w:customStyle="1" w:styleId="3834">
    <w:name w:val="表内54141"/>
    <w:basedOn w:val="1"/>
    <w:autoRedefine/>
    <w:qFormat/>
    <w:uiPriority w:val="0"/>
    <w:pPr>
      <w:adjustRightInd w:val="0"/>
      <w:snapToGrid w:val="0"/>
      <w:spacing w:line="300" w:lineRule="auto"/>
      <w:jc w:val="center"/>
    </w:pPr>
    <w:rPr>
      <w:rFonts w:ascii="宋体" w:hAnsi="宋体" w:cs="宋体"/>
      <w:szCs w:val="20"/>
    </w:rPr>
  </w:style>
  <w:style w:type="paragraph" w:customStyle="1" w:styleId="3835">
    <w:name w:val="表内文字小217"/>
    <w:basedOn w:val="1"/>
    <w:autoRedefine/>
    <w:qFormat/>
    <w:uiPriority w:val="0"/>
    <w:pPr>
      <w:adjustRightInd w:val="0"/>
      <w:snapToGrid w:val="0"/>
      <w:jc w:val="center"/>
    </w:pPr>
    <w:rPr>
      <w:rFonts w:ascii="宋体" w:hAnsi="Times"/>
      <w:bCs/>
      <w:color w:val="000000"/>
      <w:szCs w:val="20"/>
    </w:rPr>
  </w:style>
  <w:style w:type="paragraph" w:customStyle="1" w:styleId="3836">
    <w:name w:val="表内54143"/>
    <w:basedOn w:val="1"/>
    <w:autoRedefine/>
    <w:qFormat/>
    <w:uiPriority w:val="0"/>
    <w:pPr>
      <w:adjustRightInd w:val="0"/>
      <w:snapToGrid w:val="0"/>
      <w:spacing w:line="300" w:lineRule="auto"/>
      <w:jc w:val="center"/>
    </w:pPr>
    <w:rPr>
      <w:rFonts w:ascii="宋体" w:hAnsi="宋体" w:cs="宋体"/>
      <w:szCs w:val="20"/>
    </w:rPr>
  </w:style>
  <w:style w:type="paragraph" w:customStyle="1" w:styleId="3837">
    <w:name w:val="Char Char Char Char Char Char Char24"/>
    <w:basedOn w:val="1"/>
    <w:autoRedefine/>
    <w:qFormat/>
    <w:uiPriority w:val="0"/>
  </w:style>
  <w:style w:type="paragraph" w:customStyle="1" w:styleId="3838">
    <w:name w:val="表内文字小12"/>
    <w:basedOn w:val="1"/>
    <w:autoRedefine/>
    <w:qFormat/>
    <w:uiPriority w:val="0"/>
    <w:pPr>
      <w:adjustRightInd w:val="0"/>
      <w:snapToGrid w:val="0"/>
      <w:jc w:val="center"/>
    </w:pPr>
    <w:rPr>
      <w:rFonts w:ascii="宋体" w:hAnsi="Times"/>
      <w:szCs w:val="20"/>
    </w:rPr>
  </w:style>
  <w:style w:type="paragraph" w:customStyle="1" w:styleId="3839">
    <w:name w:val="表内文字小2113"/>
    <w:basedOn w:val="1"/>
    <w:autoRedefine/>
    <w:qFormat/>
    <w:uiPriority w:val="0"/>
    <w:pPr>
      <w:adjustRightInd w:val="0"/>
      <w:snapToGrid w:val="0"/>
      <w:jc w:val="center"/>
    </w:pPr>
    <w:rPr>
      <w:rFonts w:ascii="宋体" w:hAnsi="Times"/>
      <w:bCs/>
      <w:color w:val="000000"/>
      <w:szCs w:val="20"/>
    </w:rPr>
  </w:style>
  <w:style w:type="paragraph" w:customStyle="1" w:styleId="3840">
    <w:name w:val="默认段落字体 Para Char4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841">
    <w:name w:val="默认段落字体 Para Char Char Char Char13"/>
    <w:basedOn w:val="1"/>
    <w:autoRedefine/>
    <w:qFormat/>
    <w:uiPriority w:val="0"/>
  </w:style>
  <w:style w:type="paragraph" w:customStyle="1" w:styleId="3842">
    <w:name w:val="正文格式81"/>
    <w:basedOn w:val="1"/>
    <w:autoRedefine/>
    <w:qFormat/>
    <w:uiPriority w:val="0"/>
    <w:pPr>
      <w:spacing w:line="360" w:lineRule="auto"/>
      <w:ind w:firstLine="482"/>
    </w:pPr>
    <w:rPr>
      <w:rFonts w:ascii="宋体" w:hAnsi="宋体"/>
      <w:sz w:val="24"/>
    </w:rPr>
  </w:style>
  <w:style w:type="paragraph" w:customStyle="1" w:styleId="3843">
    <w:name w:val="表内593"/>
    <w:basedOn w:val="1"/>
    <w:autoRedefine/>
    <w:qFormat/>
    <w:uiPriority w:val="0"/>
    <w:pPr>
      <w:adjustRightInd w:val="0"/>
      <w:snapToGrid w:val="0"/>
      <w:spacing w:line="300" w:lineRule="auto"/>
      <w:jc w:val="center"/>
    </w:pPr>
    <w:rPr>
      <w:rFonts w:ascii="宋体"/>
      <w:snapToGrid w:val="0"/>
      <w:szCs w:val="21"/>
    </w:rPr>
  </w:style>
  <w:style w:type="paragraph" w:customStyle="1" w:styleId="3844">
    <w:name w:val="正文格式91"/>
    <w:basedOn w:val="1"/>
    <w:autoRedefine/>
    <w:qFormat/>
    <w:uiPriority w:val="0"/>
    <w:pPr>
      <w:spacing w:line="360" w:lineRule="auto"/>
      <w:ind w:firstLine="482"/>
    </w:pPr>
    <w:rPr>
      <w:rFonts w:ascii="宋体" w:hAnsi="宋体"/>
      <w:sz w:val="24"/>
    </w:rPr>
  </w:style>
  <w:style w:type="paragraph" w:customStyle="1" w:styleId="3845">
    <w:name w:val="Char421"/>
    <w:basedOn w:val="1"/>
    <w:autoRedefine/>
    <w:qFormat/>
    <w:uiPriority w:val="0"/>
    <w:pPr>
      <w:ind w:left="-48"/>
    </w:pPr>
  </w:style>
  <w:style w:type="paragraph" w:customStyle="1" w:styleId="3846">
    <w:name w:val="正文格式＝72"/>
    <w:basedOn w:val="416"/>
    <w:next w:val="416"/>
    <w:autoRedefine/>
    <w:qFormat/>
    <w:uiPriority w:val="0"/>
    <w:rPr>
      <w:rFonts w:ascii="宋体" w:hAnsi="宋体"/>
      <w:b w:val="0"/>
      <w:spacing w:val="0"/>
      <w:sz w:val="24"/>
      <w:szCs w:val="24"/>
    </w:rPr>
  </w:style>
  <w:style w:type="paragraph" w:customStyle="1" w:styleId="3847">
    <w:name w:val="表格13"/>
    <w:basedOn w:val="1"/>
    <w:autoRedefine/>
    <w:qFormat/>
    <w:uiPriority w:val="0"/>
    <w:pPr>
      <w:adjustRightInd w:val="0"/>
      <w:jc w:val="center"/>
      <w:textAlignment w:val="baseline"/>
    </w:pPr>
    <w:rPr>
      <w:rFonts w:ascii="宋体"/>
      <w:kern w:val="0"/>
      <w:sz w:val="24"/>
      <w:szCs w:val="20"/>
    </w:rPr>
  </w:style>
  <w:style w:type="paragraph" w:customStyle="1" w:styleId="3848">
    <w:name w:val="图题82"/>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3849">
    <w:name w:val="Char Char Char Char Char Char Char131"/>
    <w:basedOn w:val="1"/>
    <w:autoRedefine/>
    <w:qFormat/>
    <w:uiPriority w:val="0"/>
  </w:style>
  <w:style w:type="paragraph" w:customStyle="1" w:styleId="3850">
    <w:name w:val="正文格式102"/>
    <w:basedOn w:val="1"/>
    <w:autoRedefine/>
    <w:qFormat/>
    <w:uiPriority w:val="0"/>
    <w:pPr>
      <w:spacing w:line="360" w:lineRule="auto"/>
      <w:ind w:firstLine="482"/>
    </w:pPr>
    <w:rPr>
      <w:rFonts w:ascii="宋体" w:hAnsi="宋体"/>
      <w:sz w:val="24"/>
    </w:rPr>
  </w:style>
  <w:style w:type="paragraph" w:customStyle="1" w:styleId="3851">
    <w:name w:val="表格内字体9"/>
    <w:basedOn w:val="416"/>
    <w:next w:val="416"/>
    <w:autoRedefine/>
    <w:qFormat/>
    <w:uiPriority w:val="0"/>
    <w:pPr>
      <w:spacing w:line="240" w:lineRule="auto"/>
      <w:ind w:firstLine="0"/>
      <w:jc w:val="center"/>
    </w:pPr>
    <w:rPr>
      <w:rFonts w:ascii="宋体" w:hAnsi="宋体"/>
      <w:b w:val="0"/>
      <w:spacing w:val="0"/>
      <w:szCs w:val="24"/>
    </w:rPr>
  </w:style>
  <w:style w:type="paragraph" w:customStyle="1" w:styleId="3852">
    <w:name w:val="表格内容3"/>
    <w:autoRedefine/>
    <w:qFormat/>
    <w:uiPriority w:val="0"/>
    <w:pPr>
      <w:jc w:val="center"/>
    </w:pPr>
    <w:rPr>
      <w:rFonts w:ascii="Times New Roman" w:hAnsi="Times New Roman" w:eastAsia="宋体" w:cs="Times New Roman"/>
      <w:kern w:val="2"/>
      <w:sz w:val="21"/>
      <w:szCs w:val="21"/>
      <w:lang w:val="en-US" w:eastAsia="zh-CN" w:bidi="ar-SA"/>
    </w:rPr>
  </w:style>
  <w:style w:type="paragraph" w:customStyle="1" w:styleId="3853">
    <w:name w:val="默认段落字体 Para Char6"/>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854">
    <w:name w:val="Char19"/>
    <w:basedOn w:val="1"/>
    <w:autoRedefine/>
    <w:qFormat/>
    <w:uiPriority w:val="0"/>
    <w:pPr>
      <w:adjustRightInd w:val="0"/>
      <w:snapToGrid w:val="0"/>
      <w:ind w:left="-45"/>
    </w:pPr>
  </w:style>
  <w:style w:type="paragraph" w:customStyle="1" w:styleId="3855">
    <w:name w:val="Char313"/>
    <w:basedOn w:val="1"/>
    <w:autoRedefine/>
    <w:qFormat/>
    <w:uiPriority w:val="0"/>
    <w:pPr>
      <w:ind w:left="-48"/>
    </w:pPr>
  </w:style>
  <w:style w:type="paragraph" w:customStyle="1" w:styleId="3856">
    <w:name w:val="表题412"/>
    <w:basedOn w:val="35"/>
    <w:autoRedefine/>
    <w:qFormat/>
    <w:uiPriority w:val="0"/>
    <w:pPr>
      <w:tabs>
        <w:tab w:val="left" w:pos="4305"/>
      </w:tabs>
      <w:adjustRightInd w:val="0"/>
      <w:snapToGrid w:val="0"/>
      <w:spacing w:after="0" w:line="360" w:lineRule="auto"/>
      <w:ind w:left="0" w:leftChars="0" w:firstLine="561"/>
    </w:pPr>
    <w:rPr>
      <w:rFonts w:ascii="宋体" w:hAnsi="宋体" w:cs="宋体"/>
      <w:color w:val="000000"/>
      <w:szCs w:val="24"/>
      <w:lang w:val="en-US"/>
    </w:rPr>
  </w:style>
  <w:style w:type="paragraph" w:customStyle="1" w:styleId="3857">
    <w:name w:val="表内5416"/>
    <w:basedOn w:val="1"/>
    <w:autoRedefine/>
    <w:qFormat/>
    <w:uiPriority w:val="0"/>
    <w:pPr>
      <w:adjustRightInd w:val="0"/>
      <w:snapToGrid w:val="0"/>
      <w:spacing w:line="300" w:lineRule="auto"/>
      <w:jc w:val="center"/>
    </w:pPr>
    <w:rPr>
      <w:rFonts w:ascii="宋体" w:hAnsi="宋体" w:cs="宋体"/>
      <w:szCs w:val="20"/>
    </w:rPr>
  </w:style>
  <w:style w:type="paragraph" w:customStyle="1" w:styleId="3858">
    <w:name w:val="Char Char Char Char Char Char Char7"/>
    <w:basedOn w:val="1"/>
    <w:autoRedefine/>
    <w:qFormat/>
    <w:uiPriority w:val="0"/>
  </w:style>
  <w:style w:type="paragraph" w:customStyle="1" w:styleId="3859">
    <w:name w:val="正文格式222"/>
    <w:basedOn w:val="1"/>
    <w:autoRedefine/>
    <w:qFormat/>
    <w:uiPriority w:val="0"/>
    <w:pPr>
      <w:spacing w:line="360" w:lineRule="auto"/>
      <w:ind w:firstLine="482"/>
    </w:pPr>
    <w:rPr>
      <w:rFonts w:ascii="宋体" w:hAnsi="宋体"/>
      <w:sz w:val="24"/>
    </w:rPr>
  </w:style>
  <w:style w:type="paragraph" w:customStyle="1" w:styleId="3860">
    <w:name w:val="表内文字小315"/>
    <w:basedOn w:val="1"/>
    <w:autoRedefine/>
    <w:qFormat/>
    <w:uiPriority w:val="0"/>
    <w:pPr>
      <w:adjustRightInd w:val="0"/>
      <w:snapToGrid w:val="0"/>
      <w:jc w:val="center"/>
    </w:pPr>
    <w:rPr>
      <w:rFonts w:ascii="宋体" w:hAnsi="Times" w:cs="宋体"/>
      <w:bCs/>
      <w:color w:val="003366"/>
      <w:szCs w:val="20"/>
    </w:rPr>
  </w:style>
  <w:style w:type="paragraph" w:customStyle="1" w:styleId="3861">
    <w:name w:val="表内宋5113"/>
    <w:basedOn w:val="81"/>
    <w:autoRedefine/>
    <w:qFormat/>
    <w:uiPriority w:val="0"/>
    <w:pPr>
      <w:adjustRightInd w:val="0"/>
      <w:snapToGrid w:val="0"/>
      <w:spacing w:before="0" w:beforeAutospacing="0" w:after="0" w:afterAutospacing="0"/>
      <w:jc w:val="both"/>
    </w:pPr>
    <w:rPr>
      <w:rFonts w:cs="宋体"/>
      <w:color w:val="000000"/>
      <w:sz w:val="21"/>
      <w:szCs w:val="24"/>
      <w:lang w:val="en-US"/>
    </w:rPr>
  </w:style>
  <w:style w:type="paragraph" w:customStyle="1" w:styleId="3862">
    <w:name w:val="样式212"/>
    <w:basedOn w:val="1"/>
    <w:autoRedefine/>
    <w:qFormat/>
    <w:uiPriority w:val="0"/>
    <w:pPr>
      <w:adjustRightInd w:val="0"/>
      <w:spacing w:line="360" w:lineRule="auto"/>
      <w:jc w:val="center"/>
      <w:textAlignment w:val="baseline"/>
      <w:outlineLvl w:val="0"/>
    </w:pPr>
    <w:rPr>
      <w:kern w:val="0"/>
      <w:szCs w:val="20"/>
    </w:rPr>
  </w:style>
  <w:style w:type="paragraph" w:customStyle="1" w:styleId="3863">
    <w:name w:val="燕山正文6"/>
    <w:basedOn w:val="1"/>
    <w:autoRedefine/>
    <w:qFormat/>
    <w:uiPriority w:val="0"/>
    <w:pPr>
      <w:tabs>
        <w:tab w:val="left" w:pos="4680"/>
      </w:tabs>
      <w:adjustRightInd w:val="0"/>
      <w:snapToGrid w:val="0"/>
      <w:spacing w:line="480" w:lineRule="exact"/>
    </w:pPr>
    <w:rPr>
      <w:rFonts w:ascii="宋体" w:cs="宋体"/>
      <w:sz w:val="24"/>
    </w:rPr>
  </w:style>
  <w:style w:type="paragraph" w:customStyle="1" w:styleId="3864">
    <w:name w:val="表中文字23"/>
    <w:basedOn w:val="1"/>
    <w:autoRedefine/>
    <w:qFormat/>
    <w:uiPriority w:val="0"/>
    <w:pPr>
      <w:widowControl/>
      <w:adjustRightInd w:val="0"/>
      <w:spacing w:line="240" w:lineRule="atLeast"/>
      <w:ind w:right="-42" w:rightChars="-20"/>
      <w:jc w:val="center"/>
      <w:textAlignment w:val="baseline"/>
    </w:pPr>
    <w:rPr>
      <w:rFonts w:ascii="宋体"/>
      <w:kern w:val="0"/>
      <w:szCs w:val="21"/>
    </w:rPr>
  </w:style>
  <w:style w:type="paragraph" w:customStyle="1" w:styleId="3865">
    <w:name w:val="表题31111"/>
    <w:basedOn w:val="35"/>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3866">
    <w:name w:val="表格内字体1111"/>
    <w:basedOn w:val="416"/>
    <w:autoRedefine/>
    <w:qFormat/>
    <w:uiPriority w:val="0"/>
    <w:pPr>
      <w:spacing w:line="240" w:lineRule="auto"/>
      <w:ind w:firstLine="0"/>
      <w:jc w:val="center"/>
    </w:pPr>
    <w:rPr>
      <w:rFonts w:ascii="宋体" w:hAnsi="Times New Roman" w:cs="宋体"/>
      <w:b w:val="0"/>
      <w:spacing w:val="0"/>
    </w:rPr>
  </w:style>
  <w:style w:type="paragraph" w:customStyle="1" w:styleId="3867">
    <w:name w:val="表内文字小3112"/>
    <w:basedOn w:val="1"/>
    <w:autoRedefine/>
    <w:qFormat/>
    <w:uiPriority w:val="0"/>
    <w:pPr>
      <w:adjustRightInd w:val="0"/>
      <w:snapToGrid w:val="0"/>
      <w:jc w:val="center"/>
    </w:pPr>
    <w:rPr>
      <w:rFonts w:ascii="宋体" w:hAnsi="Times" w:cs="宋体"/>
      <w:bCs/>
      <w:color w:val="003366"/>
      <w:szCs w:val="20"/>
    </w:rPr>
  </w:style>
  <w:style w:type="paragraph" w:customStyle="1" w:styleId="3868">
    <w:name w:val="表题2114"/>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3869">
    <w:name w:val="附件112"/>
    <w:basedOn w:val="3"/>
    <w:next w:val="416"/>
    <w:autoRedefine/>
    <w:qFormat/>
    <w:uiPriority w:val="0"/>
    <w:pPr>
      <w:keepLines/>
      <w:tabs>
        <w:tab w:val="left" w:pos="1566"/>
      </w:tabs>
      <w:overflowPunct/>
      <w:snapToGrid/>
      <w:spacing w:before="0" w:after="210" w:line="360" w:lineRule="auto"/>
      <w:ind w:left="0" w:firstLine="0"/>
      <w:jc w:val="left"/>
    </w:pPr>
    <w:rPr>
      <w:rFonts w:ascii="黑体" w:hAnsi="宋体"/>
      <w:b w:val="0"/>
      <w:color w:val="auto"/>
      <w:sz w:val="32"/>
      <w:szCs w:val="32"/>
    </w:rPr>
  </w:style>
  <w:style w:type="paragraph" w:customStyle="1" w:styleId="3870">
    <w:name w:val="Char241"/>
    <w:basedOn w:val="1"/>
    <w:autoRedefine/>
    <w:qFormat/>
    <w:uiPriority w:val="0"/>
    <w:pPr>
      <w:ind w:left="-48"/>
    </w:pPr>
  </w:style>
  <w:style w:type="paragraph" w:customStyle="1" w:styleId="3871">
    <w:name w:val="表内文字小121"/>
    <w:basedOn w:val="1"/>
    <w:autoRedefine/>
    <w:qFormat/>
    <w:uiPriority w:val="0"/>
    <w:pPr>
      <w:adjustRightInd w:val="0"/>
      <w:snapToGrid w:val="0"/>
      <w:jc w:val="center"/>
    </w:pPr>
    <w:rPr>
      <w:rFonts w:ascii="宋体" w:hAnsi="Times"/>
      <w:szCs w:val="20"/>
    </w:rPr>
  </w:style>
  <w:style w:type="paragraph" w:customStyle="1" w:styleId="3872">
    <w:name w:val="默认段落字体 Para Char Char Char Char112"/>
    <w:basedOn w:val="1"/>
    <w:autoRedefine/>
    <w:qFormat/>
    <w:uiPriority w:val="0"/>
  </w:style>
  <w:style w:type="paragraph" w:customStyle="1" w:styleId="3873">
    <w:name w:val="黑体三号7"/>
    <w:basedOn w:val="416"/>
    <w:autoRedefine/>
    <w:qFormat/>
    <w:uiPriority w:val="0"/>
    <w:pPr>
      <w:jc w:val="center"/>
    </w:pPr>
    <w:rPr>
      <w:rFonts w:ascii="黑体" w:hAnsi="宋体" w:eastAsia="黑体" w:cs="宋体"/>
      <w:bCs/>
      <w:spacing w:val="0"/>
      <w:sz w:val="32"/>
    </w:rPr>
  </w:style>
  <w:style w:type="paragraph" w:customStyle="1" w:styleId="3874">
    <w:name w:val="注释3"/>
    <w:basedOn w:val="416"/>
    <w:next w:val="34"/>
    <w:autoRedefine/>
    <w:qFormat/>
    <w:uiPriority w:val="0"/>
    <w:pPr>
      <w:spacing w:before="120" w:after="120" w:line="240" w:lineRule="auto"/>
      <w:ind w:firstLine="200" w:firstLineChars="200"/>
    </w:pPr>
    <w:rPr>
      <w:rFonts w:ascii="宋体" w:hAnsi="Times New Roman" w:cs="宋体"/>
      <w:b w:val="0"/>
      <w:spacing w:val="0"/>
    </w:rPr>
  </w:style>
  <w:style w:type="paragraph" w:customStyle="1" w:styleId="3875">
    <w:name w:val="表内5111"/>
    <w:basedOn w:val="1"/>
    <w:autoRedefine/>
    <w:qFormat/>
    <w:uiPriority w:val="0"/>
    <w:pPr>
      <w:adjustRightInd w:val="0"/>
      <w:snapToGrid w:val="0"/>
      <w:jc w:val="center"/>
    </w:pPr>
    <w:rPr>
      <w:rFonts w:ascii="宋体" w:hAnsi="宋体"/>
      <w:kern w:val="0"/>
      <w:sz w:val="20"/>
      <w:szCs w:val="20"/>
    </w:rPr>
  </w:style>
  <w:style w:type="paragraph" w:customStyle="1" w:styleId="3876">
    <w:name w:val="表题145"/>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3877">
    <w:name w:val="图题312"/>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3878">
    <w:name w:val="默认段落字体 Para Char Char Char Char43"/>
    <w:basedOn w:val="1"/>
    <w:autoRedefine/>
    <w:qFormat/>
    <w:uiPriority w:val="0"/>
  </w:style>
  <w:style w:type="paragraph" w:customStyle="1" w:styleId="3879">
    <w:name w:val="样式1112"/>
    <w:basedOn w:val="1604"/>
    <w:autoRedefine/>
    <w:qFormat/>
    <w:uiPriority w:val="0"/>
    <w:pPr>
      <w:spacing w:line="240" w:lineRule="auto"/>
      <w:ind w:firstLine="0"/>
      <w:jc w:val="center"/>
    </w:pPr>
    <w:rPr>
      <w:rFonts w:cs="Times New Roman"/>
      <w:b/>
      <w:color w:val="auto"/>
      <w:szCs w:val="20"/>
    </w:rPr>
  </w:style>
  <w:style w:type="paragraph" w:customStyle="1" w:styleId="3880">
    <w:name w:val="Char212"/>
    <w:basedOn w:val="1"/>
    <w:autoRedefine/>
    <w:qFormat/>
    <w:uiPriority w:val="0"/>
    <w:pPr>
      <w:ind w:left="-48"/>
    </w:pPr>
  </w:style>
  <w:style w:type="paragraph" w:customStyle="1" w:styleId="3881">
    <w:name w:val="样式 标题 4无效格式无效格式1河石管道4H4H41小小节河石管道41H42H411小小节1河石管道42...4"/>
    <w:basedOn w:val="6"/>
    <w:autoRedefine/>
    <w:qFormat/>
    <w:uiPriority w:val="0"/>
    <w:pPr>
      <w:adjustRightInd w:val="0"/>
      <w:snapToGrid w:val="0"/>
      <w:spacing w:before="0" w:after="0" w:line="360" w:lineRule="auto"/>
      <w:ind w:left="664" w:hanging="864"/>
    </w:pPr>
    <w:rPr>
      <w:rFonts w:ascii="黑体"/>
      <w:b w:val="0"/>
      <w:bCs w:val="0"/>
      <w:sz w:val="24"/>
      <w:szCs w:val="24"/>
    </w:rPr>
  </w:style>
  <w:style w:type="paragraph" w:customStyle="1" w:styleId="3882">
    <w:name w:val="表题3122"/>
    <w:basedOn w:val="35"/>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3883">
    <w:name w:val="样式 表格内字体1 +11"/>
    <w:basedOn w:val="2535"/>
    <w:next w:val="415"/>
    <w:autoRedefine/>
    <w:qFormat/>
    <w:uiPriority w:val="0"/>
    <w:rPr>
      <w:rFonts w:hAnsi="Times New Roman" w:cs="宋体"/>
      <w:szCs w:val="20"/>
    </w:rPr>
  </w:style>
  <w:style w:type="paragraph" w:customStyle="1" w:styleId="3884">
    <w:name w:val="黑体三号43"/>
    <w:basedOn w:val="416"/>
    <w:autoRedefine/>
    <w:qFormat/>
    <w:uiPriority w:val="0"/>
    <w:pPr>
      <w:jc w:val="center"/>
    </w:pPr>
    <w:rPr>
      <w:rFonts w:ascii="黑体" w:hAnsi="宋体" w:eastAsia="黑体" w:cs="宋体"/>
      <w:bCs/>
      <w:spacing w:val="0"/>
      <w:sz w:val="32"/>
    </w:rPr>
  </w:style>
  <w:style w:type="paragraph" w:customStyle="1" w:styleId="3885">
    <w:name w:val="表22"/>
    <w:basedOn w:val="1"/>
    <w:autoRedefine/>
    <w:qFormat/>
    <w:uiPriority w:val="0"/>
    <w:pPr>
      <w:adjustRightInd w:val="0"/>
      <w:snapToGrid w:val="0"/>
      <w:jc w:val="center"/>
    </w:pPr>
    <w:rPr>
      <w:rFonts w:eastAsia="仿宋_GB2312"/>
      <w:sz w:val="24"/>
    </w:rPr>
  </w:style>
  <w:style w:type="paragraph" w:customStyle="1" w:styleId="3886">
    <w:name w:val="Char74"/>
    <w:basedOn w:val="1"/>
    <w:autoRedefine/>
    <w:qFormat/>
    <w:uiPriority w:val="0"/>
    <w:pPr>
      <w:ind w:left="-48"/>
    </w:pPr>
  </w:style>
  <w:style w:type="paragraph" w:customStyle="1" w:styleId="3887">
    <w:name w:val="燕山正文24"/>
    <w:basedOn w:val="1"/>
    <w:autoRedefine/>
    <w:qFormat/>
    <w:uiPriority w:val="0"/>
    <w:pPr>
      <w:tabs>
        <w:tab w:val="left" w:pos="4680"/>
      </w:tabs>
      <w:adjustRightInd w:val="0"/>
      <w:snapToGrid w:val="0"/>
      <w:spacing w:line="480" w:lineRule="exact"/>
    </w:pPr>
    <w:rPr>
      <w:rFonts w:ascii="宋体" w:cs="宋体"/>
      <w:sz w:val="24"/>
    </w:rPr>
  </w:style>
  <w:style w:type="paragraph" w:customStyle="1" w:styleId="3888">
    <w:name w:val="表内宋5中23"/>
    <w:basedOn w:val="1"/>
    <w:autoRedefine/>
    <w:qFormat/>
    <w:uiPriority w:val="0"/>
    <w:pPr>
      <w:adjustRightInd w:val="0"/>
      <w:snapToGrid w:val="0"/>
      <w:jc w:val="center"/>
      <w:textAlignment w:val="baseline"/>
    </w:pPr>
    <w:rPr>
      <w:rFonts w:ascii="宋体" w:hAnsi="宋体"/>
      <w:kern w:val="0"/>
      <w:szCs w:val="20"/>
    </w:rPr>
  </w:style>
  <w:style w:type="paragraph" w:customStyle="1" w:styleId="3889">
    <w:name w:val="表题1212"/>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3890">
    <w:name w:val="表内文字小2142"/>
    <w:basedOn w:val="1"/>
    <w:autoRedefine/>
    <w:qFormat/>
    <w:uiPriority w:val="0"/>
    <w:pPr>
      <w:adjustRightInd w:val="0"/>
      <w:snapToGrid w:val="0"/>
      <w:jc w:val="center"/>
    </w:pPr>
    <w:rPr>
      <w:rFonts w:ascii="宋体" w:hAnsi="Times"/>
      <w:bCs/>
      <w:color w:val="000000"/>
      <w:szCs w:val="20"/>
    </w:rPr>
  </w:style>
  <w:style w:type="paragraph" w:customStyle="1" w:styleId="3891">
    <w:name w:val="A正文4"/>
    <w:basedOn w:val="1"/>
    <w:autoRedefine/>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kern w:val="0"/>
      <w:sz w:val="24"/>
    </w:rPr>
  </w:style>
  <w:style w:type="paragraph" w:customStyle="1" w:styleId="3892">
    <w:name w:val="表文字522"/>
    <w:basedOn w:val="1"/>
    <w:autoRedefine/>
    <w:qFormat/>
    <w:uiPriority w:val="0"/>
    <w:pPr>
      <w:adjustRightInd w:val="0"/>
      <w:jc w:val="left"/>
      <w:textAlignment w:val="baseline"/>
    </w:pPr>
    <w:rPr>
      <w:rFonts w:ascii="宋体"/>
      <w:kern w:val="0"/>
      <w:szCs w:val="20"/>
    </w:rPr>
  </w:style>
  <w:style w:type="paragraph" w:customStyle="1" w:styleId="3893">
    <w:name w:val="Char122"/>
    <w:basedOn w:val="1"/>
    <w:autoRedefine/>
    <w:qFormat/>
    <w:uiPriority w:val="0"/>
    <w:pPr>
      <w:adjustRightInd w:val="0"/>
      <w:snapToGrid w:val="0"/>
      <w:spacing w:line="360" w:lineRule="auto"/>
    </w:pPr>
  </w:style>
  <w:style w:type="paragraph" w:customStyle="1" w:styleId="3894">
    <w:name w:val="环评正文3"/>
    <w:autoRedefine/>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3895">
    <w:name w:val="燕山正文212"/>
    <w:basedOn w:val="1"/>
    <w:autoRedefine/>
    <w:qFormat/>
    <w:uiPriority w:val="0"/>
    <w:pPr>
      <w:tabs>
        <w:tab w:val="left" w:pos="4680"/>
      </w:tabs>
      <w:adjustRightInd w:val="0"/>
      <w:snapToGrid w:val="0"/>
      <w:spacing w:line="480" w:lineRule="exact"/>
    </w:pPr>
    <w:rPr>
      <w:rFonts w:ascii="宋体" w:cs="宋体"/>
      <w:sz w:val="24"/>
    </w:rPr>
  </w:style>
  <w:style w:type="paragraph" w:customStyle="1" w:styleId="3896">
    <w:name w:val="Char Char Char Char Char Char Char42"/>
    <w:basedOn w:val="1"/>
    <w:autoRedefine/>
    <w:qFormat/>
    <w:uiPriority w:val="0"/>
  </w:style>
  <w:style w:type="paragraph" w:customStyle="1" w:styleId="3897">
    <w:name w:val="正文格式2112"/>
    <w:basedOn w:val="1"/>
    <w:autoRedefine/>
    <w:qFormat/>
    <w:uiPriority w:val="0"/>
    <w:pPr>
      <w:spacing w:line="360" w:lineRule="auto"/>
      <w:ind w:firstLine="482"/>
    </w:pPr>
    <w:rPr>
      <w:rFonts w:ascii="宋体" w:hAnsi="宋体"/>
      <w:sz w:val="24"/>
    </w:rPr>
  </w:style>
  <w:style w:type="paragraph" w:customStyle="1" w:styleId="3898">
    <w:name w:val="正文格式＝611"/>
    <w:basedOn w:val="416"/>
    <w:next w:val="416"/>
    <w:autoRedefine/>
    <w:qFormat/>
    <w:uiPriority w:val="0"/>
    <w:rPr>
      <w:rFonts w:ascii="宋体" w:hAnsi="宋体"/>
      <w:b w:val="0"/>
      <w:spacing w:val="0"/>
      <w:sz w:val="24"/>
      <w:szCs w:val="24"/>
    </w:rPr>
  </w:style>
  <w:style w:type="paragraph" w:customStyle="1" w:styleId="3899">
    <w:name w:val="Char222"/>
    <w:basedOn w:val="1"/>
    <w:autoRedefine/>
    <w:qFormat/>
    <w:uiPriority w:val="0"/>
    <w:pPr>
      <w:adjustRightInd w:val="0"/>
      <w:snapToGrid w:val="0"/>
      <w:spacing w:beforeLines="50" w:line="360" w:lineRule="auto"/>
    </w:pPr>
    <w:rPr>
      <w:rFonts w:ascii="黑体" w:eastAsia="黑体"/>
      <w:sz w:val="32"/>
      <w:szCs w:val="32"/>
    </w:rPr>
  </w:style>
  <w:style w:type="paragraph" w:customStyle="1" w:styleId="3900">
    <w:name w:val="表格内字体2112"/>
    <w:basedOn w:val="416"/>
    <w:next w:val="416"/>
    <w:autoRedefine/>
    <w:qFormat/>
    <w:uiPriority w:val="0"/>
    <w:pPr>
      <w:spacing w:line="240" w:lineRule="auto"/>
      <w:ind w:firstLine="0"/>
      <w:jc w:val="center"/>
    </w:pPr>
    <w:rPr>
      <w:rFonts w:ascii="宋体" w:hAnsi="宋体"/>
      <w:b w:val="0"/>
      <w:spacing w:val="0"/>
      <w:szCs w:val="24"/>
    </w:rPr>
  </w:style>
  <w:style w:type="paragraph" w:customStyle="1" w:styleId="3901">
    <w:name w:val="正文格式412"/>
    <w:basedOn w:val="1"/>
    <w:autoRedefine/>
    <w:qFormat/>
    <w:uiPriority w:val="0"/>
    <w:pPr>
      <w:spacing w:line="360" w:lineRule="auto"/>
      <w:ind w:firstLine="482"/>
    </w:pPr>
    <w:rPr>
      <w:rFonts w:ascii="宋体" w:hAnsi="宋体"/>
      <w:sz w:val="24"/>
    </w:rPr>
  </w:style>
  <w:style w:type="paragraph" w:customStyle="1" w:styleId="3902">
    <w:name w:val="标题4114"/>
    <w:basedOn w:val="1"/>
    <w:autoRedefine/>
    <w:qFormat/>
    <w:uiPriority w:val="0"/>
    <w:pPr>
      <w:adjustRightInd w:val="0"/>
      <w:snapToGrid w:val="0"/>
      <w:spacing w:line="300" w:lineRule="auto"/>
      <w:jc w:val="left"/>
    </w:pPr>
    <w:rPr>
      <w:rFonts w:ascii="黑体" w:hAnsi="宋体" w:eastAsia="黑体" w:cs="宋体"/>
      <w:bCs/>
      <w:sz w:val="24"/>
      <w:szCs w:val="20"/>
    </w:rPr>
  </w:style>
  <w:style w:type="paragraph" w:customStyle="1" w:styleId="3903">
    <w:name w:val="表内5中13"/>
    <w:basedOn w:val="1"/>
    <w:autoRedefine/>
    <w:qFormat/>
    <w:uiPriority w:val="0"/>
    <w:pPr>
      <w:adjustRightInd w:val="0"/>
      <w:snapToGrid w:val="0"/>
      <w:jc w:val="center"/>
    </w:pPr>
    <w:rPr>
      <w:rFonts w:ascii="宋体" w:hAnsi="宋体" w:cs="Arial"/>
      <w:snapToGrid w:val="0"/>
      <w:color w:val="000000"/>
      <w:szCs w:val="21"/>
    </w:rPr>
  </w:style>
  <w:style w:type="paragraph" w:customStyle="1" w:styleId="3904">
    <w:name w:val="表格内字体312"/>
    <w:basedOn w:val="416"/>
    <w:next w:val="416"/>
    <w:autoRedefine/>
    <w:qFormat/>
    <w:uiPriority w:val="0"/>
    <w:pPr>
      <w:spacing w:line="240" w:lineRule="auto"/>
      <w:ind w:firstLine="0"/>
      <w:jc w:val="center"/>
    </w:pPr>
    <w:rPr>
      <w:rFonts w:ascii="宋体" w:hAnsi="宋体"/>
      <w:b w:val="0"/>
      <w:spacing w:val="0"/>
      <w:szCs w:val="24"/>
    </w:rPr>
  </w:style>
  <w:style w:type="paragraph" w:customStyle="1" w:styleId="3905">
    <w:name w:val="Char Char Char Char1 Char Char Char2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906">
    <w:name w:val="Char64"/>
    <w:basedOn w:val="1"/>
    <w:autoRedefine/>
    <w:qFormat/>
    <w:uiPriority w:val="0"/>
    <w:pPr>
      <w:adjustRightInd w:val="0"/>
      <w:snapToGrid w:val="0"/>
      <w:spacing w:beforeLines="50" w:line="360" w:lineRule="auto"/>
    </w:pPr>
    <w:rPr>
      <w:rFonts w:ascii="黑体" w:eastAsia="黑体"/>
      <w:sz w:val="32"/>
      <w:szCs w:val="32"/>
    </w:rPr>
  </w:style>
  <w:style w:type="paragraph" w:customStyle="1" w:styleId="3907">
    <w:name w:val="图题42"/>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3908">
    <w:name w:val="图题73"/>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3909">
    <w:name w:val="图题2112"/>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3910">
    <w:name w:val="Char312"/>
    <w:basedOn w:val="1"/>
    <w:autoRedefine/>
    <w:qFormat/>
    <w:uiPriority w:val="0"/>
    <w:pPr>
      <w:ind w:left="-48"/>
    </w:pPr>
  </w:style>
  <w:style w:type="paragraph" w:customStyle="1" w:styleId="3911">
    <w:name w:val="标题431212"/>
    <w:basedOn w:val="1"/>
    <w:autoRedefine/>
    <w:qFormat/>
    <w:uiPriority w:val="0"/>
    <w:pPr>
      <w:adjustRightInd w:val="0"/>
      <w:snapToGrid w:val="0"/>
      <w:spacing w:line="480" w:lineRule="exact"/>
      <w:jc w:val="center"/>
    </w:pPr>
    <w:rPr>
      <w:rFonts w:ascii="宋体" w:hAnsi="宋体" w:cs="宋体"/>
      <w:sz w:val="24"/>
    </w:rPr>
  </w:style>
  <w:style w:type="paragraph" w:customStyle="1" w:styleId="3912">
    <w:name w:val="Char44"/>
    <w:basedOn w:val="1"/>
    <w:autoRedefine/>
    <w:qFormat/>
    <w:uiPriority w:val="0"/>
    <w:pPr>
      <w:ind w:left="-48"/>
    </w:pPr>
  </w:style>
  <w:style w:type="paragraph" w:customStyle="1" w:styleId="3913">
    <w:name w:val="正文格式＝42"/>
    <w:basedOn w:val="416"/>
    <w:next w:val="416"/>
    <w:autoRedefine/>
    <w:qFormat/>
    <w:uiPriority w:val="0"/>
    <w:rPr>
      <w:rFonts w:ascii="宋体" w:hAnsi="宋体"/>
      <w:b w:val="0"/>
      <w:spacing w:val="0"/>
      <w:sz w:val="24"/>
      <w:szCs w:val="24"/>
    </w:rPr>
  </w:style>
  <w:style w:type="paragraph" w:customStyle="1" w:styleId="3914">
    <w:name w:val="表中文字312"/>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915">
    <w:name w:val="样式1212"/>
    <w:basedOn w:val="1604"/>
    <w:autoRedefine/>
    <w:qFormat/>
    <w:uiPriority w:val="0"/>
    <w:pPr>
      <w:spacing w:line="240" w:lineRule="auto"/>
      <w:ind w:firstLine="0"/>
      <w:jc w:val="center"/>
    </w:pPr>
    <w:rPr>
      <w:rFonts w:cs="Times New Roman"/>
      <w:b/>
      <w:color w:val="auto"/>
      <w:szCs w:val="20"/>
    </w:rPr>
  </w:style>
  <w:style w:type="paragraph" w:customStyle="1" w:styleId="3916">
    <w:name w:val="样式 表内小5 + 黑体 加粗 倾斜 下划线3"/>
    <w:basedOn w:val="1"/>
    <w:autoRedefine/>
    <w:qFormat/>
    <w:uiPriority w:val="0"/>
    <w:pPr>
      <w:adjustRightInd w:val="0"/>
      <w:snapToGrid w:val="0"/>
      <w:spacing w:line="300" w:lineRule="auto"/>
      <w:jc w:val="left"/>
    </w:pPr>
    <w:rPr>
      <w:rFonts w:ascii="黑体" w:hAnsi="黑体" w:eastAsia="黑体"/>
      <w:b/>
      <w:bCs/>
      <w:i/>
      <w:iCs/>
      <w:sz w:val="18"/>
      <w:u w:val="single"/>
    </w:rPr>
  </w:style>
  <w:style w:type="paragraph" w:customStyle="1" w:styleId="3917">
    <w:name w:val="Char Char Char Char Char Char Char1311"/>
    <w:basedOn w:val="1"/>
    <w:autoRedefine/>
    <w:qFormat/>
    <w:uiPriority w:val="0"/>
  </w:style>
  <w:style w:type="paragraph" w:customStyle="1" w:styleId="3918">
    <w:name w:val="表格内字体512"/>
    <w:basedOn w:val="416"/>
    <w:next w:val="416"/>
    <w:autoRedefine/>
    <w:qFormat/>
    <w:uiPriority w:val="0"/>
    <w:pPr>
      <w:adjustRightInd w:val="0"/>
      <w:snapToGrid w:val="0"/>
      <w:spacing w:line="240" w:lineRule="auto"/>
      <w:ind w:firstLine="0"/>
    </w:pPr>
    <w:rPr>
      <w:rFonts w:ascii="宋体" w:hAnsi="宋体"/>
      <w:b w:val="0"/>
      <w:spacing w:val="0"/>
      <w:szCs w:val="24"/>
    </w:rPr>
  </w:style>
  <w:style w:type="paragraph" w:customStyle="1" w:styleId="3919">
    <w:name w:val="表32"/>
    <w:basedOn w:val="1"/>
    <w:autoRedefine/>
    <w:qFormat/>
    <w:uiPriority w:val="0"/>
    <w:pPr>
      <w:adjustRightInd w:val="0"/>
      <w:snapToGrid w:val="0"/>
      <w:jc w:val="center"/>
    </w:pPr>
    <w:rPr>
      <w:rFonts w:eastAsia="仿宋_GB2312"/>
      <w:sz w:val="24"/>
    </w:rPr>
  </w:style>
  <w:style w:type="paragraph" w:customStyle="1" w:styleId="3920">
    <w:name w:val="黑体三号312"/>
    <w:basedOn w:val="416"/>
    <w:autoRedefine/>
    <w:qFormat/>
    <w:uiPriority w:val="0"/>
    <w:pPr>
      <w:jc w:val="center"/>
    </w:pPr>
    <w:rPr>
      <w:rFonts w:ascii="黑体" w:hAnsi="宋体" w:eastAsia="黑体" w:cs="宋体"/>
      <w:bCs/>
      <w:spacing w:val="0"/>
      <w:sz w:val="32"/>
    </w:rPr>
  </w:style>
  <w:style w:type="paragraph" w:customStyle="1" w:styleId="3921">
    <w:name w:val="表格内字体712"/>
    <w:basedOn w:val="416"/>
    <w:next w:val="416"/>
    <w:autoRedefine/>
    <w:qFormat/>
    <w:uiPriority w:val="0"/>
    <w:pPr>
      <w:spacing w:line="240" w:lineRule="auto"/>
      <w:ind w:firstLine="0"/>
      <w:jc w:val="center"/>
    </w:pPr>
    <w:rPr>
      <w:rFonts w:ascii="宋体" w:hAnsi="宋体"/>
      <w:b w:val="0"/>
      <w:spacing w:val="0"/>
      <w:szCs w:val="24"/>
    </w:rPr>
  </w:style>
  <w:style w:type="paragraph" w:customStyle="1" w:styleId="3922">
    <w:name w:val="Char93"/>
    <w:basedOn w:val="1"/>
    <w:autoRedefine/>
    <w:qFormat/>
    <w:uiPriority w:val="0"/>
    <w:pPr>
      <w:ind w:left="-48"/>
    </w:pPr>
  </w:style>
  <w:style w:type="paragraph" w:customStyle="1" w:styleId="3923">
    <w:name w:val="表内宋51112"/>
    <w:basedOn w:val="81"/>
    <w:autoRedefine/>
    <w:qFormat/>
    <w:uiPriority w:val="0"/>
    <w:pPr>
      <w:adjustRightInd w:val="0"/>
      <w:snapToGrid w:val="0"/>
      <w:spacing w:before="0" w:beforeAutospacing="0" w:after="0" w:afterAutospacing="0"/>
      <w:jc w:val="both"/>
    </w:pPr>
    <w:rPr>
      <w:rFonts w:cs="宋体"/>
      <w:color w:val="000000"/>
      <w:sz w:val="21"/>
      <w:szCs w:val="24"/>
      <w:lang w:val="en-US"/>
    </w:rPr>
  </w:style>
  <w:style w:type="paragraph" w:customStyle="1" w:styleId="3924">
    <w:name w:val="表格内字体10"/>
    <w:basedOn w:val="416"/>
    <w:next w:val="416"/>
    <w:autoRedefine/>
    <w:qFormat/>
    <w:uiPriority w:val="0"/>
    <w:pPr>
      <w:spacing w:line="240" w:lineRule="auto"/>
      <w:ind w:firstLine="0"/>
      <w:jc w:val="center"/>
    </w:pPr>
    <w:rPr>
      <w:rFonts w:ascii="宋体" w:hAnsi="宋体"/>
      <w:b w:val="0"/>
      <w:spacing w:val="0"/>
      <w:szCs w:val="21"/>
    </w:rPr>
  </w:style>
  <w:style w:type="paragraph" w:customStyle="1" w:styleId="3925">
    <w:name w:val="Char Char Char Char Char Char Char23"/>
    <w:basedOn w:val="1"/>
    <w:autoRedefine/>
    <w:qFormat/>
    <w:uiPriority w:val="0"/>
  </w:style>
  <w:style w:type="paragraph" w:customStyle="1" w:styleId="3926">
    <w:name w:val="默认段落字体 Para Char Char Char Char312"/>
    <w:basedOn w:val="1"/>
    <w:autoRedefine/>
    <w:qFormat/>
    <w:uiPriority w:val="0"/>
  </w:style>
  <w:style w:type="paragraph" w:customStyle="1" w:styleId="3927">
    <w:name w:val="燕山正文116"/>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928">
    <w:name w:val="标题4122"/>
    <w:basedOn w:val="6"/>
    <w:next w:val="1"/>
    <w:autoRedefine/>
    <w:qFormat/>
    <w:uiPriority w:val="0"/>
    <w:pPr>
      <w:spacing w:before="160" w:after="170" w:line="360" w:lineRule="auto"/>
      <w:ind w:left="0" w:firstLine="0"/>
    </w:pPr>
    <w:rPr>
      <w:rFonts w:ascii="黑体"/>
      <w:sz w:val="24"/>
    </w:rPr>
  </w:style>
  <w:style w:type="paragraph" w:customStyle="1" w:styleId="3929">
    <w:name w:val="表题3132"/>
    <w:basedOn w:val="35"/>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3930">
    <w:name w:val="Char172"/>
    <w:basedOn w:val="1"/>
    <w:autoRedefine/>
    <w:qFormat/>
    <w:uiPriority w:val="0"/>
    <w:pPr>
      <w:ind w:left="-48"/>
    </w:pPr>
  </w:style>
  <w:style w:type="paragraph" w:customStyle="1" w:styleId="3931">
    <w:name w:val="正文格式14"/>
    <w:basedOn w:val="1"/>
    <w:autoRedefine/>
    <w:qFormat/>
    <w:uiPriority w:val="0"/>
    <w:pPr>
      <w:spacing w:line="360" w:lineRule="auto"/>
      <w:ind w:firstLine="482"/>
    </w:pPr>
    <w:rPr>
      <w:rFonts w:ascii="宋体" w:hAnsi="宋体"/>
      <w:sz w:val="24"/>
    </w:rPr>
  </w:style>
  <w:style w:type="paragraph" w:customStyle="1" w:styleId="3932">
    <w:name w:val="环评正文12"/>
    <w:autoRedefine/>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3933">
    <w:name w:val="正文修改8"/>
    <w:basedOn w:val="192"/>
    <w:autoRedefine/>
    <w:qFormat/>
    <w:uiPriority w:val="0"/>
    <w:rPr>
      <w:rFonts w:hAnsi="宋体"/>
      <w:color w:val="000000"/>
    </w:rPr>
  </w:style>
  <w:style w:type="paragraph" w:customStyle="1" w:styleId="3934">
    <w:name w:val="表6"/>
    <w:basedOn w:val="1"/>
    <w:autoRedefine/>
    <w:qFormat/>
    <w:uiPriority w:val="0"/>
    <w:pPr>
      <w:adjustRightInd w:val="0"/>
      <w:snapToGrid w:val="0"/>
      <w:jc w:val="center"/>
    </w:pPr>
    <w:rPr>
      <w:rFonts w:eastAsia="仿宋_GB2312"/>
      <w:sz w:val="24"/>
    </w:rPr>
  </w:style>
  <w:style w:type="paragraph" w:customStyle="1" w:styleId="3935">
    <w:name w:val="表题143"/>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3936">
    <w:name w:val="表内文字小26"/>
    <w:basedOn w:val="1"/>
    <w:autoRedefine/>
    <w:qFormat/>
    <w:uiPriority w:val="0"/>
    <w:pPr>
      <w:adjustRightInd w:val="0"/>
      <w:snapToGrid w:val="0"/>
      <w:jc w:val="center"/>
    </w:pPr>
    <w:rPr>
      <w:rFonts w:ascii="宋体" w:hAnsi="Times"/>
      <w:bCs/>
      <w:color w:val="000000"/>
      <w:szCs w:val="20"/>
    </w:rPr>
  </w:style>
  <w:style w:type="paragraph" w:customStyle="1" w:styleId="3937">
    <w:name w:val="表题2112"/>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3938">
    <w:name w:val="图题612"/>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3939">
    <w:name w:val="表内宋5中112"/>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3940">
    <w:name w:val="表题1412"/>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3941">
    <w:name w:val="表7"/>
    <w:basedOn w:val="1"/>
    <w:autoRedefine/>
    <w:qFormat/>
    <w:uiPriority w:val="0"/>
    <w:pPr>
      <w:adjustRightInd w:val="0"/>
      <w:snapToGrid w:val="0"/>
      <w:jc w:val="center"/>
    </w:pPr>
    <w:rPr>
      <w:rFonts w:eastAsia="仿宋_GB2312"/>
      <w:sz w:val="24"/>
    </w:rPr>
  </w:style>
  <w:style w:type="paragraph" w:customStyle="1" w:styleId="3942">
    <w:name w:val="正文格式612"/>
    <w:basedOn w:val="1"/>
    <w:autoRedefine/>
    <w:qFormat/>
    <w:uiPriority w:val="0"/>
    <w:pPr>
      <w:spacing w:line="360" w:lineRule="auto"/>
      <w:ind w:firstLine="482"/>
    </w:pPr>
    <w:rPr>
      <w:rFonts w:ascii="宋体" w:hAnsi="宋体"/>
      <w:sz w:val="24"/>
    </w:rPr>
  </w:style>
  <w:style w:type="paragraph" w:customStyle="1" w:styleId="3943">
    <w:name w:val="表内文字小82"/>
    <w:basedOn w:val="1"/>
    <w:autoRedefine/>
    <w:qFormat/>
    <w:uiPriority w:val="0"/>
    <w:pPr>
      <w:adjustRightInd w:val="0"/>
      <w:snapToGrid w:val="0"/>
      <w:jc w:val="center"/>
    </w:pPr>
    <w:rPr>
      <w:rFonts w:ascii="宋体" w:hAnsi="Times" w:cs="宋体"/>
      <w:szCs w:val="20"/>
    </w:rPr>
  </w:style>
  <w:style w:type="paragraph" w:customStyle="1" w:styleId="3944">
    <w:name w:val="图题15"/>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3945">
    <w:name w:val="正文格式712"/>
    <w:basedOn w:val="1"/>
    <w:autoRedefine/>
    <w:qFormat/>
    <w:uiPriority w:val="0"/>
    <w:pPr>
      <w:spacing w:line="360" w:lineRule="auto"/>
      <w:ind w:firstLine="482"/>
    </w:pPr>
    <w:rPr>
      <w:rFonts w:ascii="宋体" w:hAnsi="宋体"/>
      <w:sz w:val="24"/>
    </w:rPr>
  </w:style>
  <w:style w:type="paragraph" w:customStyle="1" w:styleId="3946">
    <w:name w:val="Char Char Char Char Char Char Char110"/>
    <w:basedOn w:val="1"/>
    <w:autoRedefine/>
    <w:qFormat/>
    <w:uiPriority w:val="0"/>
  </w:style>
  <w:style w:type="paragraph" w:customStyle="1" w:styleId="3947">
    <w:name w:val="Default2"/>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948">
    <w:name w:val="Fax Header12"/>
    <w:basedOn w:val="1"/>
    <w:autoRedefine/>
    <w:qFormat/>
    <w:uiPriority w:val="0"/>
    <w:pPr>
      <w:widowControl/>
      <w:spacing w:before="240" w:after="60"/>
      <w:jc w:val="left"/>
    </w:pPr>
    <w:rPr>
      <w:kern w:val="0"/>
      <w:sz w:val="20"/>
      <w:szCs w:val="20"/>
    </w:rPr>
  </w:style>
  <w:style w:type="paragraph" w:customStyle="1" w:styleId="3949">
    <w:name w:val="燕山正文1114"/>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950">
    <w:name w:val="正文格式＝9"/>
    <w:basedOn w:val="416"/>
    <w:next w:val="416"/>
    <w:autoRedefine/>
    <w:qFormat/>
    <w:uiPriority w:val="0"/>
    <w:rPr>
      <w:rFonts w:ascii="宋体" w:hAnsi="宋体"/>
      <w:b w:val="0"/>
      <w:spacing w:val="0"/>
      <w:sz w:val="24"/>
      <w:szCs w:val="24"/>
    </w:rPr>
  </w:style>
  <w:style w:type="paragraph" w:customStyle="1" w:styleId="3951">
    <w:name w:val="正文格式＝52"/>
    <w:basedOn w:val="416"/>
    <w:next w:val="416"/>
    <w:autoRedefine/>
    <w:qFormat/>
    <w:uiPriority w:val="0"/>
    <w:rPr>
      <w:rFonts w:ascii="宋体" w:hAnsi="宋体"/>
      <w:b w:val="0"/>
      <w:spacing w:val="0"/>
      <w:sz w:val="24"/>
      <w:szCs w:val="24"/>
    </w:rPr>
  </w:style>
  <w:style w:type="paragraph" w:customStyle="1" w:styleId="3952">
    <w:name w:val="表格内字体62"/>
    <w:basedOn w:val="416"/>
    <w:next w:val="416"/>
    <w:autoRedefine/>
    <w:qFormat/>
    <w:uiPriority w:val="0"/>
    <w:pPr>
      <w:spacing w:line="240" w:lineRule="auto"/>
      <w:ind w:firstLine="0"/>
      <w:jc w:val="center"/>
    </w:pPr>
    <w:rPr>
      <w:rFonts w:ascii="宋体" w:hAnsi="宋体"/>
      <w:b w:val="0"/>
      <w:spacing w:val="0"/>
      <w:szCs w:val="24"/>
    </w:rPr>
  </w:style>
  <w:style w:type="paragraph" w:customStyle="1" w:styleId="3953">
    <w:name w:val="表题14112"/>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3954">
    <w:name w:val="默认段落字体 Para Char Char Char Char42"/>
    <w:basedOn w:val="1"/>
    <w:autoRedefine/>
    <w:qFormat/>
    <w:uiPriority w:val="0"/>
  </w:style>
  <w:style w:type="paragraph" w:customStyle="1" w:styleId="3955">
    <w:name w:val="表格内容12"/>
    <w:autoRedefine/>
    <w:qFormat/>
    <w:uiPriority w:val="0"/>
    <w:pPr>
      <w:jc w:val="center"/>
    </w:pPr>
    <w:rPr>
      <w:rFonts w:ascii="Times New Roman" w:hAnsi="Times New Roman" w:eastAsia="宋体" w:cs="Times New Roman"/>
      <w:kern w:val="2"/>
      <w:sz w:val="21"/>
      <w:szCs w:val="21"/>
      <w:lang w:val="en-US" w:eastAsia="zh-CN" w:bidi="ar-SA"/>
    </w:rPr>
  </w:style>
  <w:style w:type="paragraph" w:customStyle="1" w:styleId="3956">
    <w:name w:val="图题注2"/>
    <w:basedOn w:val="22"/>
    <w:autoRedefine/>
    <w:qFormat/>
    <w:uiPriority w:val="0"/>
    <w:pPr>
      <w:widowControl w:val="0"/>
      <w:spacing w:after="0" w:line="240" w:lineRule="auto"/>
      <w:ind w:left="0" w:right="0" w:firstLine="0"/>
      <w:jc w:val="center"/>
    </w:pPr>
    <w:rPr>
      <w:rFonts w:ascii="黑体" w:hAnsi="Arial" w:cs="宋体"/>
      <w:b/>
      <w:bCs/>
      <w:color w:val="auto"/>
      <w:sz w:val="24"/>
      <w:szCs w:val="24"/>
    </w:rPr>
  </w:style>
  <w:style w:type="paragraph" w:customStyle="1" w:styleId="3957">
    <w:name w:val="正文格式822"/>
    <w:basedOn w:val="1"/>
    <w:autoRedefine/>
    <w:qFormat/>
    <w:uiPriority w:val="0"/>
    <w:pPr>
      <w:spacing w:line="360" w:lineRule="auto"/>
      <w:ind w:firstLine="482"/>
    </w:pPr>
    <w:rPr>
      <w:rFonts w:ascii="宋体" w:hAnsi="宋体"/>
      <w:sz w:val="24"/>
    </w:rPr>
  </w:style>
  <w:style w:type="paragraph" w:customStyle="1" w:styleId="3958">
    <w:name w:val="正文24"/>
    <w:autoRedefine/>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959">
    <w:name w:val="默认段落字体 Para Char41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960">
    <w:name w:val="Char72"/>
    <w:basedOn w:val="1"/>
    <w:autoRedefine/>
    <w:qFormat/>
    <w:uiPriority w:val="0"/>
    <w:pPr>
      <w:ind w:left="-48"/>
    </w:pPr>
  </w:style>
  <w:style w:type="paragraph" w:customStyle="1" w:styleId="3961">
    <w:name w:val="表格内字体112"/>
    <w:basedOn w:val="416"/>
    <w:autoRedefine/>
    <w:qFormat/>
    <w:uiPriority w:val="0"/>
    <w:pPr>
      <w:spacing w:line="240" w:lineRule="auto"/>
      <w:ind w:firstLine="0"/>
      <w:jc w:val="center"/>
    </w:pPr>
    <w:rPr>
      <w:rFonts w:ascii="宋体" w:hAnsi="Times New Roman" w:cs="宋体"/>
      <w:b w:val="0"/>
      <w:spacing w:val="0"/>
    </w:rPr>
  </w:style>
  <w:style w:type="paragraph" w:customStyle="1" w:styleId="3962">
    <w:name w:val="Char Char Char Char Char Char Char132"/>
    <w:basedOn w:val="1"/>
    <w:autoRedefine/>
    <w:qFormat/>
    <w:uiPriority w:val="0"/>
  </w:style>
  <w:style w:type="paragraph" w:customStyle="1" w:styleId="3963">
    <w:name w:val="表中文字42"/>
    <w:basedOn w:val="1"/>
    <w:autoRedefine/>
    <w:qFormat/>
    <w:uiPriority w:val="0"/>
    <w:pPr>
      <w:snapToGrid w:val="0"/>
      <w:spacing w:line="340" w:lineRule="exact"/>
      <w:ind w:firstLine="480" w:firstLineChars="200"/>
      <w:jc w:val="center"/>
    </w:pPr>
    <w:rPr>
      <w:rFonts w:ascii="Arial" w:hAnsi="Arial"/>
      <w:kern w:val="0"/>
      <w:sz w:val="20"/>
      <w:lang w:eastAsia="zh-TW"/>
    </w:rPr>
  </w:style>
  <w:style w:type="paragraph" w:customStyle="1" w:styleId="3964">
    <w:name w:val="表内512"/>
    <w:basedOn w:val="1"/>
    <w:autoRedefine/>
    <w:qFormat/>
    <w:uiPriority w:val="0"/>
    <w:pPr>
      <w:adjustRightInd w:val="0"/>
      <w:snapToGrid w:val="0"/>
      <w:jc w:val="center"/>
    </w:pPr>
    <w:rPr>
      <w:rFonts w:ascii="宋体" w:hAnsi="宋体"/>
      <w:kern w:val="0"/>
      <w:sz w:val="20"/>
      <w:szCs w:val="20"/>
    </w:rPr>
  </w:style>
  <w:style w:type="paragraph" w:customStyle="1" w:styleId="3965">
    <w:name w:val="Char Char Char Char Char Char Char52"/>
    <w:basedOn w:val="1"/>
    <w:autoRedefine/>
    <w:qFormat/>
    <w:uiPriority w:val="0"/>
  </w:style>
  <w:style w:type="paragraph" w:customStyle="1" w:styleId="3966">
    <w:name w:val="样式 样式 宋体 + 首行缩进:  2 字符12"/>
    <w:basedOn w:val="1"/>
    <w:autoRedefine/>
    <w:qFormat/>
    <w:uiPriority w:val="0"/>
    <w:pPr>
      <w:spacing w:line="360" w:lineRule="auto"/>
      <w:ind w:firstLine="480" w:firstLineChars="200"/>
      <w:jc w:val="left"/>
    </w:pPr>
    <w:rPr>
      <w:rFonts w:ascii="宋体" w:cs="宋体"/>
      <w:sz w:val="24"/>
    </w:rPr>
  </w:style>
  <w:style w:type="paragraph" w:customStyle="1" w:styleId="3967">
    <w:name w:val="Char432"/>
    <w:basedOn w:val="1"/>
    <w:autoRedefine/>
    <w:qFormat/>
    <w:uiPriority w:val="0"/>
    <w:pPr>
      <w:ind w:left="-48"/>
    </w:pPr>
  </w:style>
  <w:style w:type="paragraph" w:customStyle="1" w:styleId="3968">
    <w:name w:val="xl632"/>
    <w:basedOn w:val="1"/>
    <w:autoRedefine/>
    <w:qFormat/>
    <w:uiPriority w:val="0"/>
    <w:pPr>
      <w:widowControl/>
      <w:spacing w:before="100" w:beforeAutospacing="1" w:after="100" w:afterAutospacing="1"/>
      <w:jc w:val="center"/>
      <w:textAlignment w:val="center"/>
    </w:pPr>
    <w:rPr>
      <w:rFonts w:hint="eastAsia" w:ascii="黑体" w:hAnsi="宋体" w:eastAsia="黑体"/>
      <w:kern w:val="0"/>
      <w:sz w:val="24"/>
    </w:rPr>
  </w:style>
  <w:style w:type="paragraph" w:customStyle="1" w:styleId="3969">
    <w:name w:val="正文修改412"/>
    <w:basedOn w:val="192"/>
    <w:autoRedefine/>
    <w:qFormat/>
    <w:uiPriority w:val="0"/>
    <w:rPr>
      <w:rFonts w:hAnsi="宋体"/>
      <w:color w:val="000000"/>
    </w:rPr>
  </w:style>
  <w:style w:type="paragraph" w:customStyle="1" w:styleId="3970">
    <w:name w:val="标准2"/>
    <w:basedOn w:val="1"/>
    <w:autoRedefine/>
    <w:qFormat/>
    <w:uiPriority w:val="0"/>
    <w:pPr>
      <w:adjustRightInd w:val="0"/>
      <w:spacing w:before="120" w:line="336" w:lineRule="auto"/>
      <w:jc w:val="center"/>
      <w:textAlignment w:val="baseline"/>
    </w:pPr>
    <w:rPr>
      <w:rFonts w:ascii="黑体" w:eastAsia="黑体"/>
      <w:szCs w:val="20"/>
    </w:rPr>
  </w:style>
  <w:style w:type="paragraph" w:customStyle="1" w:styleId="3971">
    <w:name w:val="Fax Header2"/>
    <w:basedOn w:val="1"/>
    <w:autoRedefine/>
    <w:qFormat/>
    <w:uiPriority w:val="0"/>
    <w:pPr>
      <w:widowControl/>
      <w:spacing w:before="240" w:after="60"/>
      <w:jc w:val="left"/>
    </w:pPr>
    <w:rPr>
      <w:kern w:val="0"/>
      <w:sz w:val="20"/>
      <w:szCs w:val="20"/>
    </w:rPr>
  </w:style>
  <w:style w:type="paragraph" w:customStyle="1" w:styleId="3972">
    <w:name w:val="图题712"/>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3973">
    <w:name w:val="Char82"/>
    <w:basedOn w:val="1"/>
    <w:autoRedefine/>
    <w:qFormat/>
    <w:uiPriority w:val="0"/>
    <w:pPr>
      <w:ind w:left="-48"/>
    </w:pPr>
  </w:style>
  <w:style w:type="paragraph" w:customStyle="1" w:styleId="3974">
    <w:name w:val="表内541412"/>
    <w:basedOn w:val="1"/>
    <w:autoRedefine/>
    <w:qFormat/>
    <w:uiPriority w:val="0"/>
    <w:pPr>
      <w:adjustRightInd w:val="0"/>
      <w:snapToGrid w:val="0"/>
      <w:spacing w:line="300" w:lineRule="auto"/>
      <w:jc w:val="center"/>
    </w:pPr>
    <w:rPr>
      <w:rFonts w:ascii="宋体" w:hAnsi="宋体" w:cs="宋体"/>
      <w:szCs w:val="20"/>
    </w:rPr>
  </w:style>
  <w:style w:type="paragraph" w:customStyle="1" w:styleId="3975">
    <w:name w:val="图题72"/>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3976">
    <w:name w:val="表中文字52"/>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977">
    <w:name w:val="表内小5中2"/>
    <w:basedOn w:val="1"/>
    <w:autoRedefine/>
    <w:qFormat/>
    <w:uiPriority w:val="0"/>
    <w:pPr>
      <w:adjustRightInd w:val="0"/>
      <w:snapToGrid w:val="0"/>
      <w:jc w:val="center"/>
    </w:pPr>
    <w:rPr>
      <w:rFonts w:ascii="宋体" w:hAnsi="宋体"/>
      <w:sz w:val="18"/>
      <w:szCs w:val="20"/>
    </w:rPr>
  </w:style>
  <w:style w:type="paragraph" w:customStyle="1" w:styleId="3978">
    <w:name w:val="正文格式83"/>
    <w:basedOn w:val="1"/>
    <w:autoRedefine/>
    <w:qFormat/>
    <w:uiPriority w:val="0"/>
    <w:pPr>
      <w:spacing w:line="360" w:lineRule="auto"/>
      <w:ind w:firstLine="482"/>
    </w:pPr>
    <w:rPr>
      <w:rFonts w:ascii="宋体" w:hAnsi="宋体"/>
      <w:sz w:val="24"/>
    </w:rPr>
  </w:style>
  <w:style w:type="paragraph" w:customStyle="1" w:styleId="3979">
    <w:name w:val="表题19"/>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3980">
    <w:name w:val="文本框22"/>
    <w:basedOn w:val="1"/>
    <w:autoRedefine/>
    <w:qFormat/>
    <w:uiPriority w:val="0"/>
    <w:pPr>
      <w:adjustRightInd w:val="0"/>
      <w:snapToGrid w:val="0"/>
      <w:spacing w:after="6"/>
      <w:jc w:val="center"/>
    </w:pPr>
    <w:rPr>
      <w:rFonts w:eastAsia="仿宋_GB2312"/>
    </w:rPr>
  </w:style>
  <w:style w:type="paragraph" w:customStyle="1" w:styleId="3981">
    <w:name w:val="正文格式92"/>
    <w:basedOn w:val="1"/>
    <w:autoRedefine/>
    <w:qFormat/>
    <w:uiPriority w:val="0"/>
    <w:pPr>
      <w:spacing w:line="360" w:lineRule="auto"/>
      <w:ind w:firstLine="482"/>
    </w:pPr>
    <w:rPr>
      <w:rFonts w:ascii="宋体" w:hAnsi="宋体"/>
      <w:sz w:val="24"/>
    </w:rPr>
  </w:style>
  <w:style w:type="paragraph" w:customStyle="1" w:styleId="3982">
    <w:name w:val="表题912"/>
    <w:basedOn w:val="45"/>
    <w:autoRedefine/>
    <w:qFormat/>
    <w:uiPriority w:val="0"/>
    <w:pPr>
      <w:adjustRightInd w:val="0"/>
      <w:snapToGrid w:val="0"/>
      <w:spacing w:line="300" w:lineRule="auto"/>
      <w:jc w:val="center"/>
    </w:pPr>
    <w:rPr>
      <w:rFonts w:ascii="黑体" w:eastAsia="黑体"/>
      <w:sz w:val="24"/>
      <w:szCs w:val="20"/>
    </w:rPr>
  </w:style>
  <w:style w:type="paragraph" w:customStyle="1" w:styleId="3983">
    <w:name w:val="Char26"/>
    <w:basedOn w:val="1"/>
    <w:autoRedefine/>
    <w:qFormat/>
    <w:uiPriority w:val="0"/>
    <w:pPr>
      <w:ind w:left="-48"/>
    </w:pPr>
  </w:style>
  <w:style w:type="paragraph" w:customStyle="1" w:styleId="3984">
    <w:name w:val="文本框5"/>
    <w:basedOn w:val="1"/>
    <w:autoRedefine/>
    <w:qFormat/>
    <w:uiPriority w:val="0"/>
    <w:pPr>
      <w:adjustRightInd w:val="0"/>
      <w:snapToGrid w:val="0"/>
      <w:spacing w:after="6"/>
      <w:jc w:val="center"/>
    </w:pPr>
    <w:rPr>
      <w:rFonts w:eastAsia="仿宋_GB2312"/>
    </w:rPr>
  </w:style>
  <w:style w:type="paragraph" w:customStyle="1" w:styleId="3985">
    <w:name w:val="表内535"/>
    <w:basedOn w:val="1"/>
    <w:autoRedefine/>
    <w:qFormat/>
    <w:uiPriority w:val="0"/>
    <w:pPr>
      <w:adjustRightInd w:val="0"/>
      <w:snapToGrid w:val="0"/>
      <w:spacing w:line="300" w:lineRule="auto"/>
      <w:jc w:val="left"/>
    </w:pPr>
    <w:rPr>
      <w:rFonts w:ascii="宋体"/>
      <w:szCs w:val="20"/>
    </w:rPr>
  </w:style>
  <w:style w:type="paragraph" w:customStyle="1" w:styleId="3986">
    <w:name w:val="Char Char Char Char Char Char Char20"/>
    <w:basedOn w:val="1"/>
    <w:autoRedefine/>
    <w:qFormat/>
    <w:uiPriority w:val="0"/>
  </w:style>
  <w:style w:type="paragraph" w:customStyle="1" w:styleId="3987">
    <w:name w:val="正文缩3"/>
    <w:basedOn w:val="1"/>
    <w:autoRedefine/>
    <w:qFormat/>
    <w:uiPriority w:val="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3988">
    <w:name w:val="Char29"/>
    <w:basedOn w:val="1"/>
    <w:autoRedefine/>
    <w:qFormat/>
    <w:uiPriority w:val="0"/>
    <w:pPr>
      <w:ind w:left="-48"/>
    </w:pPr>
  </w:style>
  <w:style w:type="paragraph" w:customStyle="1" w:styleId="3989">
    <w:name w:val="燕山正文51"/>
    <w:basedOn w:val="1"/>
    <w:autoRedefine/>
    <w:qFormat/>
    <w:uiPriority w:val="0"/>
    <w:pPr>
      <w:tabs>
        <w:tab w:val="left" w:pos="4680"/>
      </w:tabs>
      <w:adjustRightInd w:val="0"/>
      <w:snapToGrid w:val="0"/>
      <w:spacing w:line="480" w:lineRule="exact"/>
    </w:pPr>
    <w:rPr>
      <w:rFonts w:ascii="宋体" w:cs="宋体"/>
      <w:sz w:val="24"/>
    </w:rPr>
  </w:style>
  <w:style w:type="paragraph" w:customStyle="1" w:styleId="3990">
    <w:name w:val="表内宋54"/>
    <w:basedOn w:val="1718"/>
    <w:autoRedefine/>
    <w:qFormat/>
    <w:uiPriority w:val="0"/>
    <w:pPr>
      <w:widowControl/>
      <w:autoSpaceDE w:val="0"/>
      <w:autoSpaceDN w:val="0"/>
      <w:jc w:val="left"/>
      <w:textAlignment w:val="auto"/>
    </w:pPr>
    <w:rPr>
      <w:color w:val="auto"/>
      <w:w w:val="90"/>
    </w:rPr>
  </w:style>
  <w:style w:type="paragraph" w:customStyle="1" w:styleId="3991">
    <w:name w:val="表题1211"/>
    <w:basedOn w:val="22"/>
    <w:autoRedefine/>
    <w:qFormat/>
    <w:uiPriority w:val="0"/>
    <w:pPr>
      <w:widowControl w:val="0"/>
      <w:spacing w:after="0" w:line="360" w:lineRule="auto"/>
      <w:ind w:left="0" w:right="0" w:firstLine="0"/>
      <w:jc w:val="center"/>
    </w:pPr>
    <w:rPr>
      <w:rFonts w:ascii="黑体" w:hAnsi="Arial" w:cs="Arial"/>
      <w:color w:val="auto"/>
      <w:sz w:val="24"/>
      <w:szCs w:val="24"/>
    </w:rPr>
  </w:style>
  <w:style w:type="paragraph" w:customStyle="1" w:styleId="3992">
    <w:name w:val="表内5中21"/>
    <w:basedOn w:val="1"/>
    <w:autoRedefine/>
    <w:qFormat/>
    <w:uiPriority w:val="0"/>
    <w:pPr>
      <w:adjustRightInd w:val="0"/>
      <w:snapToGrid w:val="0"/>
      <w:jc w:val="center"/>
    </w:pPr>
    <w:rPr>
      <w:rFonts w:ascii="宋体" w:hAnsi="宋体" w:cs="Arial"/>
      <w:snapToGrid w:val="0"/>
      <w:color w:val="000000"/>
      <w:szCs w:val="21"/>
    </w:rPr>
  </w:style>
  <w:style w:type="paragraph" w:customStyle="1" w:styleId="3993">
    <w:name w:val="表题134"/>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3994">
    <w:name w:val="表题3141"/>
    <w:basedOn w:val="35"/>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3995">
    <w:name w:val="表内文字小2114"/>
    <w:basedOn w:val="1"/>
    <w:autoRedefine/>
    <w:qFormat/>
    <w:uiPriority w:val="0"/>
    <w:pPr>
      <w:adjustRightInd w:val="0"/>
      <w:snapToGrid w:val="0"/>
      <w:jc w:val="center"/>
    </w:pPr>
    <w:rPr>
      <w:rFonts w:ascii="宋体" w:hAnsi="Times"/>
      <w:bCs/>
      <w:color w:val="000000"/>
      <w:szCs w:val="20"/>
    </w:rPr>
  </w:style>
  <w:style w:type="paragraph" w:customStyle="1" w:styleId="3996">
    <w:name w:val="表41"/>
    <w:basedOn w:val="1"/>
    <w:autoRedefine/>
    <w:qFormat/>
    <w:uiPriority w:val="0"/>
    <w:pPr>
      <w:adjustRightInd w:val="0"/>
      <w:snapToGrid w:val="0"/>
      <w:jc w:val="center"/>
    </w:pPr>
    <w:rPr>
      <w:rFonts w:eastAsia="仿宋_GB2312"/>
      <w:sz w:val="24"/>
    </w:rPr>
  </w:style>
  <w:style w:type="paragraph" w:customStyle="1" w:styleId="3997">
    <w:name w:val="样式131"/>
    <w:basedOn w:val="1604"/>
    <w:autoRedefine/>
    <w:qFormat/>
    <w:uiPriority w:val="0"/>
    <w:pPr>
      <w:spacing w:line="240" w:lineRule="auto"/>
      <w:ind w:firstLine="0"/>
      <w:jc w:val="center"/>
    </w:pPr>
    <w:rPr>
      <w:rFonts w:cs="Times New Roman"/>
      <w:b/>
      <w:color w:val="auto"/>
      <w:szCs w:val="20"/>
    </w:rPr>
  </w:style>
  <w:style w:type="paragraph" w:customStyle="1" w:styleId="3998">
    <w:name w:val="首行缩进:  0.99 厘米 + 首行缩进:  2 字符11"/>
    <w:basedOn w:val="1"/>
    <w:autoRedefine/>
    <w:qFormat/>
    <w:uiPriority w:val="0"/>
    <w:pPr>
      <w:widowControl/>
      <w:topLinePunct/>
      <w:spacing w:line="480" w:lineRule="exact"/>
      <w:ind w:firstLine="420" w:firstLineChars="200"/>
      <w:jc w:val="center"/>
    </w:pPr>
    <w:rPr>
      <w:rFonts w:ascii="宋体" w:cs="宋体"/>
      <w:snapToGrid w:val="0"/>
      <w:color w:val="FF0000"/>
      <w:kern w:val="0"/>
      <w:szCs w:val="21"/>
    </w:rPr>
  </w:style>
  <w:style w:type="paragraph" w:customStyle="1" w:styleId="3999">
    <w:name w:val="Char3111"/>
    <w:basedOn w:val="1"/>
    <w:autoRedefine/>
    <w:qFormat/>
    <w:uiPriority w:val="0"/>
    <w:pPr>
      <w:ind w:left="-48"/>
    </w:pPr>
  </w:style>
  <w:style w:type="paragraph" w:customStyle="1" w:styleId="4000">
    <w:name w:val="正文缩11"/>
    <w:basedOn w:val="1"/>
    <w:autoRedefine/>
    <w:qFormat/>
    <w:uiPriority w:val="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4001">
    <w:name w:val="黑体三号14"/>
    <w:basedOn w:val="416"/>
    <w:autoRedefine/>
    <w:qFormat/>
    <w:uiPriority w:val="0"/>
    <w:pPr>
      <w:jc w:val="center"/>
    </w:pPr>
    <w:rPr>
      <w:rFonts w:ascii="黑体" w:hAnsi="宋体" w:eastAsia="黑体" w:cs="宋体"/>
      <w:bCs/>
      <w:spacing w:val="0"/>
      <w:sz w:val="32"/>
    </w:rPr>
  </w:style>
  <w:style w:type="paragraph" w:customStyle="1" w:styleId="4002">
    <w:name w:val="表格内字体2111"/>
    <w:basedOn w:val="416"/>
    <w:next w:val="416"/>
    <w:autoRedefine/>
    <w:qFormat/>
    <w:uiPriority w:val="0"/>
    <w:pPr>
      <w:spacing w:line="240" w:lineRule="auto"/>
      <w:ind w:firstLine="0"/>
      <w:jc w:val="center"/>
    </w:pPr>
    <w:rPr>
      <w:rFonts w:ascii="宋体" w:hAnsi="宋体"/>
      <w:b w:val="0"/>
      <w:spacing w:val="0"/>
      <w:szCs w:val="24"/>
    </w:rPr>
  </w:style>
  <w:style w:type="paragraph" w:customStyle="1" w:styleId="4003">
    <w:name w:val="样式 标题 3 + 段前: 12 磅11"/>
    <w:basedOn w:val="5"/>
    <w:autoRedefine/>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lang w:val="en-US"/>
    </w:rPr>
  </w:style>
  <w:style w:type="paragraph" w:customStyle="1" w:styleId="4004">
    <w:name w:val="表内541311"/>
    <w:basedOn w:val="1"/>
    <w:autoRedefine/>
    <w:qFormat/>
    <w:uiPriority w:val="0"/>
    <w:pPr>
      <w:adjustRightInd w:val="0"/>
      <w:snapToGrid w:val="0"/>
      <w:spacing w:line="300" w:lineRule="auto"/>
      <w:jc w:val="center"/>
    </w:pPr>
    <w:rPr>
      <w:rFonts w:ascii="宋体" w:hAnsi="宋体" w:cs="宋体"/>
      <w:szCs w:val="20"/>
    </w:rPr>
  </w:style>
  <w:style w:type="paragraph" w:customStyle="1" w:styleId="4005">
    <w:name w:val="正文格式221"/>
    <w:basedOn w:val="1"/>
    <w:autoRedefine/>
    <w:qFormat/>
    <w:uiPriority w:val="0"/>
    <w:pPr>
      <w:spacing w:line="360" w:lineRule="auto"/>
      <w:ind w:firstLine="482"/>
    </w:pPr>
    <w:rPr>
      <w:rFonts w:ascii="宋体" w:hAnsi="宋体"/>
      <w:sz w:val="24"/>
    </w:rPr>
  </w:style>
  <w:style w:type="paragraph" w:customStyle="1" w:styleId="4006">
    <w:name w:val="燕山正文121"/>
    <w:basedOn w:val="1"/>
    <w:autoRedefine/>
    <w:qFormat/>
    <w:uiPriority w:val="0"/>
    <w:pPr>
      <w:tabs>
        <w:tab w:val="left" w:pos="4680"/>
      </w:tabs>
      <w:adjustRightInd w:val="0"/>
      <w:snapToGrid w:val="0"/>
      <w:spacing w:line="480" w:lineRule="exact"/>
    </w:pPr>
    <w:rPr>
      <w:rFonts w:ascii="宋体" w:cs="宋体"/>
      <w:sz w:val="24"/>
    </w:rPr>
  </w:style>
  <w:style w:type="paragraph" w:customStyle="1" w:styleId="4007">
    <w:name w:val="表文字5114"/>
    <w:basedOn w:val="1"/>
    <w:autoRedefine/>
    <w:qFormat/>
    <w:uiPriority w:val="0"/>
    <w:pPr>
      <w:adjustRightInd w:val="0"/>
      <w:jc w:val="left"/>
      <w:textAlignment w:val="baseline"/>
    </w:pPr>
    <w:rPr>
      <w:rFonts w:ascii="宋体"/>
      <w:kern w:val="0"/>
      <w:szCs w:val="20"/>
    </w:rPr>
  </w:style>
  <w:style w:type="paragraph" w:customStyle="1" w:styleId="4008">
    <w:name w:val="Char83"/>
    <w:basedOn w:val="1"/>
    <w:autoRedefine/>
    <w:qFormat/>
    <w:uiPriority w:val="0"/>
    <w:pPr>
      <w:ind w:left="-48"/>
    </w:pPr>
  </w:style>
  <w:style w:type="paragraph" w:customStyle="1" w:styleId="4009">
    <w:name w:val="表内小5中3"/>
    <w:basedOn w:val="1"/>
    <w:autoRedefine/>
    <w:qFormat/>
    <w:uiPriority w:val="0"/>
    <w:pPr>
      <w:adjustRightInd w:val="0"/>
      <w:snapToGrid w:val="0"/>
      <w:jc w:val="center"/>
    </w:pPr>
    <w:rPr>
      <w:rFonts w:ascii="宋体" w:hAnsi="宋体"/>
      <w:sz w:val="18"/>
      <w:szCs w:val="20"/>
    </w:rPr>
  </w:style>
  <w:style w:type="paragraph" w:customStyle="1" w:styleId="4010">
    <w:name w:val="表内5中43"/>
    <w:basedOn w:val="1"/>
    <w:autoRedefine/>
    <w:qFormat/>
    <w:uiPriority w:val="0"/>
    <w:pPr>
      <w:adjustRightInd w:val="0"/>
      <w:snapToGrid w:val="0"/>
      <w:jc w:val="center"/>
    </w:pPr>
    <w:rPr>
      <w:rFonts w:ascii="宋体"/>
      <w:bCs/>
      <w:szCs w:val="20"/>
    </w:rPr>
  </w:style>
  <w:style w:type="paragraph" w:customStyle="1" w:styleId="4011">
    <w:name w:val="默认段落字体 Para Char43"/>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4012">
    <w:name w:val="燕山正文133"/>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4013">
    <w:name w:val="正文格式93"/>
    <w:basedOn w:val="1"/>
    <w:autoRedefine/>
    <w:qFormat/>
    <w:uiPriority w:val="0"/>
    <w:pPr>
      <w:spacing w:line="360" w:lineRule="auto"/>
      <w:ind w:firstLine="482"/>
    </w:pPr>
    <w:rPr>
      <w:rFonts w:ascii="宋体" w:hAnsi="宋体"/>
      <w:sz w:val="24"/>
    </w:rPr>
  </w:style>
  <w:style w:type="paragraph" w:customStyle="1" w:styleId="4014">
    <w:name w:val="燕山正文52"/>
    <w:basedOn w:val="1"/>
    <w:autoRedefine/>
    <w:qFormat/>
    <w:uiPriority w:val="0"/>
    <w:pPr>
      <w:tabs>
        <w:tab w:val="left" w:pos="4680"/>
      </w:tabs>
      <w:adjustRightInd w:val="0"/>
      <w:snapToGrid w:val="0"/>
      <w:spacing w:line="480" w:lineRule="exact"/>
    </w:pPr>
    <w:rPr>
      <w:rFonts w:ascii="宋体" w:cs="宋体"/>
      <w:sz w:val="24"/>
    </w:rPr>
  </w:style>
  <w:style w:type="paragraph" w:customStyle="1" w:styleId="4015">
    <w:name w:val="样式132"/>
    <w:basedOn w:val="1604"/>
    <w:autoRedefine/>
    <w:qFormat/>
    <w:uiPriority w:val="0"/>
    <w:pPr>
      <w:spacing w:line="240" w:lineRule="auto"/>
      <w:ind w:firstLine="0"/>
      <w:jc w:val="center"/>
    </w:pPr>
    <w:rPr>
      <w:rFonts w:cs="Times New Roman"/>
      <w:b/>
      <w:color w:val="auto"/>
      <w:szCs w:val="20"/>
    </w:rPr>
  </w:style>
  <w:style w:type="paragraph" w:customStyle="1" w:styleId="4016">
    <w:name w:val="图题112"/>
    <w:basedOn w:val="416"/>
    <w:next w:val="416"/>
    <w:autoRedefine/>
    <w:qFormat/>
    <w:uiPriority w:val="0"/>
    <w:pPr>
      <w:ind w:firstLine="0"/>
      <w:jc w:val="center"/>
    </w:pPr>
    <w:rPr>
      <w:rFonts w:ascii="黑体" w:hAnsi="宋体" w:eastAsia="黑体" w:cs="宋体"/>
      <w:bCs/>
      <w:spacing w:val="0"/>
      <w:sz w:val="24"/>
      <w:szCs w:val="24"/>
    </w:rPr>
  </w:style>
  <w:style w:type="paragraph" w:customStyle="1" w:styleId="4017">
    <w:name w:val="Default4"/>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4018">
    <w:name w:val="正文修改112"/>
    <w:basedOn w:val="192"/>
    <w:autoRedefine/>
    <w:qFormat/>
    <w:uiPriority w:val="0"/>
    <w:rPr>
      <w:rFonts w:hAnsi="宋体"/>
      <w:color w:val="000000"/>
    </w:rPr>
  </w:style>
  <w:style w:type="paragraph" w:customStyle="1" w:styleId="4019">
    <w:name w:val="表内5中6"/>
    <w:basedOn w:val="1"/>
    <w:autoRedefine/>
    <w:qFormat/>
    <w:uiPriority w:val="0"/>
    <w:pPr>
      <w:adjustRightInd w:val="0"/>
      <w:snapToGrid w:val="0"/>
      <w:jc w:val="center"/>
    </w:pPr>
    <w:rPr>
      <w:rFonts w:ascii="宋体" w:hAnsi="宋体" w:cs="Arial"/>
      <w:snapToGrid w:val="0"/>
      <w:color w:val="000000"/>
      <w:szCs w:val="21"/>
    </w:rPr>
  </w:style>
  <w:style w:type="paragraph" w:customStyle="1" w:styleId="4020">
    <w:name w:val="表内文字小21212"/>
    <w:basedOn w:val="1"/>
    <w:autoRedefine/>
    <w:qFormat/>
    <w:uiPriority w:val="0"/>
    <w:pPr>
      <w:adjustRightInd w:val="0"/>
      <w:snapToGrid w:val="0"/>
      <w:jc w:val="center"/>
    </w:pPr>
    <w:rPr>
      <w:rFonts w:ascii="宋体" w:hAnsi="Times"/>
      <w:bCs/>
      <w:color w:val="000000"/>
      <w:szCs w:val="20"/>
    </w:rPr>
  </w:style>
  <w:style w:type="paragraph" w:customStyle="1" w:styleId="4021">
    <w:name w:val="表题31212"/>
    <w:basedOn w:val="35"/>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4022">
    <w:name w:val="环评正文4"/>
    <w:autoRedefine/>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4023">
    <w:name w:val="表文字5212"/>
    <w:basedOn w:val="1"/>
    <w:autoRedefine/>
    <w:qFormat/>
    <w:uiPriority w:val="0"/>
    <w:pPr>
      <w:adjustRightInd w:val="0"/>
      <w:jc w:val="left"/>
      <w:textAlignment w:val="baseline"/>
    </w:pPr>
    <w:rPr>
      <w:rFonts w:ascii="宋体"/>
      <w:kern w:val="0"/>
      <w:szCs w:val="20"/>
    </w:rPr>
  </w:style>
  <w:style w:type="paragraph" w:customStyle="1" w:styleId="4024">
    <w:name w:val="表内53112"/>
    <w:basedOn w:val="1"/>
    <w:autoRedefine/>
    <w:qFormat/>
    <w:uiPriority w:val="0"/>
    <w:pPr>
      <w:adjustRightInd w:val="0"/>
      <w:snapToGrid w:val="0"/>
      <w:spacing w:line="300" w:lineRule="auto"/>
      <w:jc w:val="left"/>
    </w:pPr>
    <w:rPr>
      <w:rFonts w:ascii="宋体"/>
      <w:szCs w:val="20"/>
    </w:rPr>
  </w:style>
  <w:style w:type="paragraph" w:customStyle="1" w:styleId="4025">
    <w:name w:val="表文字51112"/>
    <w:basedOn w:val="1"/>
    <w:autoRedefine/>
    <w:qFormat/>
    <w:uiPriority w:val="0"/>
    <w:pPr>
      <w:adjustRightInd w:val="0"/>
      <w:jc w:val="left"/>
      <w:textAlignment w:val="baseline"/>
    </w:pPr>
    <w:rPr>
      <w:rFonts w:ascii="宋体"/>
      <w:kern w:val="0"/>
      <w:szCs w:val="20"/>
    </w:rPr>
  </w:style>
  <w:style w:type="paragraph" w:customStyle="1" w:styleId="4026">
    <w:name w:val="正文格式512"/>
    <w:basedOn w:val="1"/>
    <w:autoRedefine/>
    <w:qFormat/>
    <w:uiPriority w:val="0"/>
    <w:pPr>
      <w:spacing w:line="360" w:lineRule="auto"/>
      <w:ind w:firstLine="482"/>
    </w:pPr>
    <w:rPr>
      <w:rFonts w:ascii="宋体" w:hAnsi="宋体"/>
      <w:sz w:val="24"/>
    </w:rPr>
  </w:style>
  <w:style w:type="paragraph" w:customStyle="1" w:styleId="4027">
    <w:name w:val="Char322"/>
    <w:basedOn w:val="1"/>
    <w:autoRedefine/>
    <w:qFormat/>
    <w:uiPriority w:val="0"/>
    <w:pPr>
      <w:ind w:left="-48"/>
    </w:pPr>
  </w:style>
  <w:style w:type="paragraph" w:customStyle="1" w:styleId="4028">
    <w:name w:val="燕山正文312"/>
    <w:basedOn w:val="1"/>
    <w:autoRedefine/>
    <w:qFormat/>
    <w:uiPriority w:val="0"/>
    <w:pPr>
      <w:tabs>
        <w:tab w:val="left" w:pos="4680"/>
      </w:tabs>
      <w:adjustRightInd w:val="0"/>
      <w:snapToGrid w:val="0"/>
      <w:spacing w:line="480" w:lineRule="exact"/>
    </w:pPr>
    <w:rPr>
      <w:rFonts w:ascii="宋体" w:cs="宋体"/>
      <w:sz w:val="24"/>
    </w:rPr>
  </w:style>
  <w:style w:type="paragraph" w:customStyle="1" w:styleId="4029">
    <w:name w:val="黑体三号412"/>
    <w:basedOn w:val="416"/>
    <w:autoRedefine/>
    <w:qFormat/>
    <w:uiPriority w:val="0"/>
    <w:pPr>
      <w:jc w:val="center"/>
    </w:pPr>
    <w:rPr>
      <w:rFonts w:ascii="黑体" w:hAnsi="宋体" w:eastAsia="黑体" w:cs="宋体"/>
      <w:bCs/>
      <w:spacing w:val="0"/>
      <w:sz w:val="32"/>
    </w:rPr>
  </w:style>
  <w:style w:type="paragraph" w:customStyle="1" w:styleId="4030">
    <w:name w:val="样式 正文缩进 + 宋体 黑色 首行缩进:  2 字符12"/>
    <w:basedOn w:val="9"/>
    <w:autoRedefine/>
    <w:qFormat/>
    <w:uiPriority w:val="0"/>
    <w:pPr>
      <w:spacing w:line="360" w:lineRule="auto"/>
      <w:ind w:firstLine="480"/>
      <w:jc w:val="left"/>
    </w:pPr>
    <w:rPr>
      <w:rFonts w:ascii="宋体" w:hAnsi="宋体" w:cs="宋体"/>
      <w:color w:val="FF00FF"/>
      <w:kern w:val="0"/>
      <w:sz w:val="24"/>
      <w:szCs w:val="20"/>
      <w:lang w:val="en-US"/>
    </w:rPr>
  </w:style>
  <w:style w:type="paragraph" w:customStyle="1" w:styleId="4031">
    <w:name w:val="表中文字412"/>
    <w:basedOn w:val="1"/>
    <w:autoRedefine/>
    <w:qFormat/>
    <w:uiPriority w:val="0"/>
    <w:pPr>
      <w:snapToGrid w:val="0"/>
      <w:spacing w:line="340" w:lineRule="exact"/>
      <w:ind w:firstLine="480" w:firstLineChars="200"/>
      <w:jc w:val="center"/>
    </w:pPr>
    <w:rPr>
      <w:rFonts w:ascii="Arial" w:hAnsi="Arial"/>
      <w:kern w:val="0"/>
      <w:sz w:val="20"/>
      <w:lang w:eastAsia="zh-TW"/>
    </w:rPr>
  </w:style>
  <w:style w:type="paragraph" w:customStyle="1" w:styleId="4032">
    <w:name w:val="表题1512"/>
    <w:basedOn w:val="22"/>
    <w:autoRedefine/>
    <w:qFormat/>
    <w:uiPriority w:val="0"/>
    <w:pPr>
      <w:widowControl w:val="0"/>
      <w:spacing w:after="0" w:line="360" w:lineRule="auto"/>
      <w:ind w:left="0" w:right="0" w:firstLine="0"/>
      <w:jc w:val="center"/>
    </w:pPr>
    <w:rPr>
      <w:rFonts w:ascii="黑体" w:hAnsi="Arial" w:cs="Arial"/>
      <w:b/>
      <w:color w:val="auto"/>
      <w:sz w:val="24"/>
      <w:szCs w:val="24"/>
    </w:rPr>
  </w:style>
  <w:style w:type="paragraph" w:customStyle="1" w:styleId="4033">
    <w:name w:val="燕山正文412"/>
    <w:basedOn w:val="1"/>
    <w:autoRedefine/>
    <w:qFormat/>
    <w:uiPriority w:val="0"/>
    <w:pPr>
      <w:tabs>
        <w:tab w:val="left" w:pos="4680"/>
      </w:tabs>
      <w:adjustRightInd w:val="0"/>
      <w:snapToGrid w:val="0"/>
      <w:spacing w:line="480" w:lineRule="exact"/>
    </w:pPr>
    <w:rPr>
      <w:rFonts w:ascii="宋体" w:cs="宋体"/>
      <w:sz w:val="24"/>
    </w:rPr>
  </w:style>
  <w:style w:type="paragraph" w:customStyle="1" w:styleId="4034">
    <w:name w:val="Char332"/>
    <w:basedOn w:val="1"/>
    <w:autoRedefine/>
    <w:qFormat/>
    <w:uiPriority w:val="0"/>
    <w:pPr>
      <w:ind w:left="-48"/>
    </w:pPr>
  </w:style>
  <w:style w:type="paragraph" w:customStyle="1" w:styleId="4035">
    <w:name w:val="表内5418"/>
    <w:basedOn w:val="1"/>
    <w:autoRedefine/>
    <w:qFormat/>
    <w:uiPriority w:val="0"/>
    <w:pPr>
      <w:adjustRightInd w:val="0"/>
      <w:snapToGrid w:val="0"/>
      <w:spacing w:line="300" w:lineRule="auto"/>
      <w:jc w:val="center"/>
    </w:pPr>
    <w:rPr>
      <w:rFonts w:ascii="宋体" w:hAnsi="宋体" w:cs="宋体"/>
      <w:szCs w:val="20"/>
    </w:rPr>
  </w:style>
  <w:style w:type="paragraph" w:customStyle="1" w:styleId="4036">
    <w:name w:val="默认段落字体 Para Char Char Char Char9"/>
    <w:basedOn w:val="1"/>
    <w:autoRedefine/>
    <w:qFormat/>
    <w:uiPriority w:val="0"/>
  </w:style>
  <w:style w:type="paragraph" w:customStyle="1" w:styleId="4037">
    <w:name w:val="表格内字体25"/>
    <w:basedOn w:val="416"/>
    <w:next w:val="416"/>
    <w:autoRedefine/>
    <w:qFormat/>
    <w:uiPriority w:val="0"/>
    <w:pPr>
      <w:spacing w:line="240" w:lineRule="auto"/>
      <w:ind w:firstLine="0"/>
      <w:jc w:val="center"/>
    </w:pPr>
    <w:rPr>
      <w:rFonts w:ascii="宋体" w:hAnsi="宋体"/>
      <w:b w:val="0"/>
      <w:spacing w:val="0"/>
      <w:szCs w:val="24"/>
    </w:rPr>
  </w:style>
  <w:style w:type="paragraph" w:customStyle="1" w:styleId="4038">
    <w:name w:val="正文25"/>
    <w:autoRedefine/>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4039">
    <w:name w:val="表内文字小6"/>
    <w:basedOn w:val="1"/>
    <w:autoRedefine/>
    <w:qFormat/>
    <w:uiPriority w:val="0"/>
    <w:pPr>
      <w:adjustRightInd w:val="0"/>
      <w:snapToGrid w:val="0"/>
      <w:jc w:val="center"/>
    </w:pPr>
    <w:rPr>
      <w:rFonts w:ascii="宋体" w:hAnsi="Times"/>
      <w:szCs w:val="20"/>
    </w:rPr>
  </w:style>
  <w:style w:type="paragraph" w:customStyle="1" w:styleId="4040">
    <w:name w:val="正文格式17"/>
    <w:basedOn w:val="1"/>
    <w:autoRedefine/>
    <w:qFormat/>
    <w:uiPriority w:val="0"/>
    <w:pPr>
      <w:spacing w:line="360" w:lineRule="auto"/>
      <w:ind w:firstLine="482"/>
    </w:pPr>
    <w:rPr>
      <w:rFonts w:ascii="宋体" w:hAnsi="宋体"/>
      <w:sz w:val="24"/>
    </w:rPr>
  </w:style>
  <w:style w:type="paragraph" w:customStyle="1" w:styleId="4041">
    <w:name w:val="表题3114"/>
    <w:basedOn w:val="35"/>
    <w:autoRedefine/>
    <w:qFormat/>
    <w:uiPriority w:val="0"/>
    <w:pPr>
      <w:tabs>
        <w:tab w:val="left" w:pos="4305"/>
      </w:tabs>
      <w:adjustRightInd w:val="0"/>
      <w:snapToGrid w:val="0"/>
      <w:spacing w:after="0"/>
      <w:ind w:left="0" w:leftChars="0"/>
      <w:jc w:val="center"/>
    </w:pPr>
    <w:rPr>
      <w:rFonts w:ascii="宋体" w:hAnsi="宋体"/>
      <w:lang w:val="en-US"/>
    </w:rPr>
  </w:style>
  <w:style w:type="paragraph" w:customStyle="1" w:styleId="4042">
    <w:name w:val="默认段落字体 Para Char Char Char Char14"/>
    <w:basedOn w:val="1"/>
    <w:autoRedefine/>
    <w:qFormat/>
    <w:uiPriority w:val="0"/>
  </w:style>
  <w:style w:type="paragraph" w:customStyle="1" w:styleId="4043">
    <w:name w:val="表头-lcc"/>
    <w:basedOn w:val="1"/>
    <w:qFormat/>
    <w:uiPriority w:val="0"/>
    <w:pPr>
      <w:jc w:val="center"/>
    </w:pPr>
    <w:rPr>
      <w:b/>
      <w:szCs w:val="21"/>
    </w:rPr>
  </w:style>
  <w:style w:type="paragraph" w:customStyle="1" w:styleId="4044">
    <w:name w:val="表内lcc"/>
    <w:basedOn w:val="1242"/>
    <w:qFormat/>
    <w:uiPriority w:val="0"/>
  </w:style>
  <w:style w:type="paragraph" w:customStyle="1" w:styleId="4045">
    <w:name w:val="正文lcc"/>
    <w:basedOn w:val="1"/>
    <w:qFormat/>
    <w:uiPriority w:val="0"/>
    <w:pPr>
      <w:snapToGrid w:val="0"/>
      <w:spacing w:line="360" w:lineRule="auto"/>
      <w:ind w:firstLine="480" w:firstLineChars="200"/>
    </w:pPr>
    <w:rPr>
      <w:color w:val="000000"/>
      <w:sz w:val="24"/>
      <w:szCs w:val="20"/>
    </w:rPr>
  </w:style>
  <w:style w:type="paragraph" w:customStyle="1" w:styleId="4046">
    <w:name w:val="表头lcc1"/>
    <w:basedOn w:val="1"/>
    <w:qFormat/>
    <w:uiPriority w:val="0"/>
    <w:pPr>
      <w:jc w:val="center"/>
    </w:pPr>
    <w:rPr>
      <w:b/>
      <w:kern w:val="0"/>
      <w:szCs w:val="20"/>
    </w:rPr>
  </w:style>
  <w:style w:type="paragraph" w:customStyle="1" w:styleId="4047">
    <w:name w:val="表文-lcc"/>
    <w:basedOn w:val="4048"/>
    <w:qFormat/>
    <w:uiPriority w:val="0"/>
    <w:pPr>
      <w:jc w:val="center"/>
    </w:pPr>
  </w:style>
  <w:style w:type="paragraph" w:customStyle="1" w:styleId="4048">
    <w:name w:val="正文-lcc"/>
    <w:basedOn w:val="1"/>
    <w:qFormat/>
    <w:uiPriority w:val="0"/>
    <w:pPr>
      <w:snapToGrid w:val="0"/>
      <w:spacing w:line="360" w:lineRule="auto"/>
      <w:ind w:firstLine="200" w:firstLineChars="200"/>
    </w:pPr>
    <w:rPr>
      <w:rFonts w:eastAsia="仿宋"/>
      <w:color w:val="000000"/>
      <w:sz w:val="24"/>
    </w:rPr>
  </w:style>
  <w:style w:type="paragraph" w:customStyle="1" w:styleId="4049">
    <w:name w:val="刘炳昊正文"/>
    <w:basedOn w:val="1"/>
    <w:autoRedefine/>
    <w:qFormat/>
    <w:uiPriority w:val="0"/>
    <w:pPr>
      <w:keepNext/>
      <w:keepLines/>
      <w:spacing w:line="360" w:lineRule="auto"/>
      <w:ind w:firstLine="562" w:firstLineChars="200"/>
      <w:outlineLvl w:val="2"/>
    </w:pPr>
    <w:rPr>
      <w:kern w:val="0"/>
      <w:sz w:val="24"/>
    </w:rPr>
  </w:style>
  <w:style w:type="character" w:customStyle="1" w:styleId="4050">
    <w:name w:val="表表文字 Char"/>
    <w:basedOn w:val="90"/>
    <w:link w:val="4051"/>
    <w:qFormat/>
    <w:uiPriority w:val="0"/>
    <w:rPr>
      <w:szCs w:val="21"/>
    </w:rPr>
  </w:style>
  <w:style w:type="paragraph" w:customStyle="1" w:styleId="4051">
    <w:name w:val="表表文字"/>
    <w:basedOn w:val="1"/>
    <w:link w:val="4050"/>
    <w:qFormat/>
    <w:uiPriority w:val="0"/>
    <w:pPr>
      <w:wordWrap w:val="0"/>
      <w:adjustRightInd w:val="0"/>
      <w:snapToGrid w:val="0"/>
      <w:jc w:val="center"/>
    </w:pPr>
    <w:rPr>
      <w:kern w:val="0"/>
      <w:sz w:val="20"/>
      <w:szCs w:val="21"/>
    </w:rPr>
  </w:style>
  <w:style w:type="character" w:customStyle="1" w:styleId="4052">
    <w:name w:val="fontstyle01"/>
    <w:basedOn w:val="90"/>
    <w:qFormat/>
    <w:uiPriority w:val="0"/>
    <w:rPr>
      <w:rFonts w:ascii="宋体" w:hAnsi="宋体" w:eastAsia="宋体" w:cs="宋体"/>
      <w:color w:val="000000"/>
      <w:sz w:val="24"/>
      <w:szCs w:val="24"/>
    </w:rPr>
  </w:style>
  <w:style w:type="character" w:customStyle="1" w:styleId="4053">
    <w:name w:val="fontstyle21"/>
    <w:basedOn w:val="90"/>
    <w:qFormat/>
    <w:uiPriority w:val="0"/>
    <w:rPr>
      <w:rFonts w:ascii="TimesNewRomanPSMT" w:hAnsi="TimesNewRomanPSMT" w:eastAsia="TimesNewRomanPSMT" w:cs="TimesNewRomanPSMT"/>
      <w:color w:val="000000"/>
      <w:sz w:val="24"/>
      <w:szCs w:val="24"/>
    </w:rPr>
  </w:style>
  <w:style w:type="character" w:customStyle="1" w:styleId="4054">
    <w:name w:val="fontstyle11"/>
    <w:qFormat/>
    <w:uiPriority w:val="0"/>
    <w:rPr>
      <w:rFonts w:hint="default" w:ascii="TimesNewRomanPSMT" w:hAnsi="TimesNewRomanPSMT"/>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1.wmf"/><Relationship Id="rId23" Type="http://schemas.openxmlformats.org/officeDocument/2006/relationships/image" Target="media/image10.wmf"/><Relationship Id="rId22" Type="http://schemas.openxmlformats.org/officeDocument/2006/relationships/image" Target="media/image9.wmf"/><Relationship Id="rId21" Type="http://schemas.openxmlformats.org/officeDocument/2006/relationships/image" Target="media/image8.wmf"/><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4.bin"/><Relationship Id="rId17" Type="http://schemas.openxmlformats.org/officeDocument/2006/relationships/image" Target="media/image5.emf"/><Relationship Id="rId16" Type="http://schemas.openxmlformats.org/officeDocument/2006/relationships/oleObject" Target="embeddings/oleObject3.bin"/><Relationship Id="rId15" Type="http://schemas.openxmlformats.org/officeDocument/2006/relationships/image" Target="media/image4.emf"/><Relationship Id="rId14" Type="http://schemas.openxmlformats.org/officeDocument/2006/relationships/oleObject" Target="embeddings/oleObject2.bin"/><Relationship Id="rId13" Type="http://schemas.openxmlformats.org/officeDocument/2006/relationships/image" Target="media/image3.emf"/><Relationship Id="rId12" Type="http://schemas.openxmlformats.org/officeDocument/2006/relationships/oleObject" Target="embeddings/oleObject1.bin"/><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97</Pages>
  <Words>25103</Words>
  <Characters>27309</Characters>
  <Lines>530</Lines>
  <Paragraphs>149</Paragraphs>
  <TotalTime>21</TotalTime>
  <ScaleCrop>false</ScaleCrop>
  <LinksUpToDate>false</LinksUpToDate>
  <CharactersWithSpaces>27400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2023-11-01T07:51:00Z</dcterms:created>
  <dc:creator>lhj</dc:creator>
  <cp:lastModifiedBy>a moon</cp:lastModifiedBy>
  <cp:lastPrinted>2025-04-27T03:22:00Z</cp:lastPrinted>
  <dcterms:modified xsi:type="dcterms:W3CDTF">2025-04-27T08:31:34Z</dcterms:modified>
  <dc:title>附件2</dc:title>
  <cp:revision>101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E8BA73A68764474B912A92DF0589A296_13</vt:lpwstr>
  </property>
  <property fmtid="{D5CDD505-2E9C-101B-9397-08002B2CF9AE}" pid="4" name="KSOTemplateDocerSaveRecord">
    <vt:lpwstr>eyJoZGlkIjoiOWIwOTc1N2ZjYTgzNTU1ZjhhMzEzZTEwYjExMzIyNmIiLCJ1c2VySWQiOiIyNjEyMzM3ODAifQ==</vt:lpwstr>
  </property>
</Properties>
</file>